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r w:rsidR="00385C13">
        <w:rPr>
          <w:b/>
          <w:color w:val="FF0000"/>
          <w:sz w:val="56"/>
          <w:szCs w:val="32"/>
        </w:rPr>
        <w:t>IMRB</w:t>
      </w:r>
      <w:r w:rsidRPr="00DC503E">
        <w:rPr>
          <w:b/>
          <w:color w:val="FF0000"/>
          <w:sz w:val="56"/>
          <w:szCs w:val="32"/>
        </w:rPr>
        <w:t>”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</w:p>
    <w:p w:rsidR="009F1A24" w:rsidRDefault="009F1A24" w:rsidP="00AA1D53">
      <w:pPr>
        <w:pStyle w:val="NoSpacing"/>
      </w:pPr>
    </w:p>
    <w:p w:rsidR="002252F1" w:rsidRDefault="002252F1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3E0098">
        <w:rPr>
          <w:b/>
        </w:rPr>
        <w:t>[SVN</w:t>
      </w:r>
      <w:r w:rsidR="00024D39" w:rsidRPr="00AA1D53">
        <w:rPr>
          <w:b/>
        </w:rPr>
        <w:t xml:space="preserve">] </w:t>
      </w:r>
      <w:r w:rsidR="00024D39" w:rsidRPr="00AA1D53">
        <w:rPr>
          <w:b/>
          <w:color w:val="FF0000"/>
        </w:rPr>
        <w:t>*</w:t>
      </w:r>
    </w:p>
    <w:p w:rsidR="00C850AD" w:rsidRDefault="00C92DC1" w:rsidP="00C850AD">
      <w:pPr>
        <w:pStyle w:val="NoSpacing"/>
        <w:rPr>
          <w:rStyle w:val="Hyperlink"/>
        </w:rPr>
      </w:pPr>
      <w:hyperlink r:id="rId5" w:history="1">
        <w:r w:rsidR="003E0098" w:rsidRPr="009D698A">
          <w:rPr>
            <w:rStyle w:val="Hyperlink"/>
          </w:rPr>
          <w:t>http://192.168.2.4/content2016/IMRB/03_Project_Development/Construction/Media_Development/Build/Weighting and Projection Fundamentals/story.html</w:t>
        </w:r>
      </w:hyperlink>
    </w:p>
    <w:p w:rsidR="003E0098" w:rsidRDefault="003E0098" w:rsidP="00C850AD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385C13" w:rsidRDefault="00C92DC1" w:rsidP="00B948DD">
      <w:pPr>
        <w:pStyle w:val="NoSpacing"/>
      </w:pPr>
      <w:hyperlink r:id="rId6" w:history="1">
        <w:r w:rsidR="00385C13" w:rsidRPr="004B15EB">
          <w:rPr>
            <w:rStyle w:val="Hyperlink"/>
          </w:rPr>
          <w:t>http://192.168.2.4/content2016/IMRB/03_Project_Development/Construction/QC_Reports/External/Gold/IMRB_2 June.docx</w:t>
        </w:r>
      </w:hyperlink>
    </w:p>
    <w:p w:rsidR="00385C13" w:rsidRDefault="00385C13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948DD" w:rsidRDefault="00C92DC1" w:rsidP="00B948DD">
      <w:pPr>
        <w:pStyle w:val="NoSpacing"/>
      </w:pPr>
      <w:hyperlink r:id="rId7" w:history="1">
        <w:r w:rsidR="00385C13" w:rsidRPr="004B15EB">
          <w:rPr>
            <w:rStyle w:val="Hyperlink"/>
          </w:rPr>
          <w:t>http://192.168.2.4/content2016/IMRB/03_Project_Development/Construction/ID/Storyboards/IMRB_Weighting and Projection Fundamentals_SB.pptx</w:t>
        </w:r>
      </w:hyperlink>
    </w:p>
    <w:p w:rsidR="00385C13" w:rsidRDefault="00385C13" w:rsidP="00B948DD">
      <w:pPr>
        <w:pStyle w:val="NoSpacing"/>
      </w:pPr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B645B0" w:rsidP="004F7ABA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Scope of validation is </w:t>
      </w:r>
      <w:r w:rsidR="009376A3" w:rsidRPr="00460356">
        <w:rPr>
          <w:b/>
        </w:rPr>
        <w:t>feedback sheet</w:t>
      </w:r>
      <w:r w:rsidR="00460356" w:rsidRPr="00460356">
        <w:t xml:space="preserve"> </w:t>
      </w:r>
      <w:r w:rsidR="00385C13">
        <w:t>only.</w:t>
      </w:r>
    </w:p>
    <w:p w:rsidR="009D2DDC" w:rsidRDefault="009D2DDC" w:rsidP="004F7ABA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Check the course in all the 3 browsers</w:t>
      </w:r>
      <w:r w:rsidR="002D3C37">
        <w:t xml:space="preserve"> </w:t>
      </w:r>
      <w:r w:rsidR="002D3C37" w:rsidRPr="002D3C37">
        <w:rPr>
          <w:b/>
        </w:rPr>
        <w:t>Chrome</w:t>
      </w:r>
      <w:r w:rsidR="002D3C37">
        <w:t xml:space="preserve">, </w:t>
      </w:r>
      <w:r w:rsidR="002D3C37" w:rsidRPr="002D3C37">
        <w:rPr>
          <w:b/>
        </w:rPr>
        <w:t>Firefox</w:t>
      </w:r>
      <w:r w:rsidR="002D3C37">
        <w:t xml:space="preserve"> &amp; </w:t>
      </w:r>
      <w:r w:rsidR="002D3C37" w:rsidRPr="002D3C37">
        <w:rPr>
          <w:b/>
        </w:rPr>
        <w:t>IE</w:t>
      </w:r>
      <w:r>
        <w:t>.</w:t>
      </w:r>
    </w:p>
    <w:p w:rsidR="003E0098" w:rsidRDefault="003E0098" w:rsidP="004F7ABA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Since we have changed the storyline version to </w:t>
      </w:r>
      <w:r w:rsidRPr="00C92DC1">
        <w:rPr>
          <w:b/>
        </w:rPr>
        <w:t>360</w:t>
      </w:r>
      <w:r>
        <w:t>, so there might be some formatting issues. So please have a check to the complete course as well.</w:t>
      </w:r>
    </w:p>
    <w:p w:rsidR="00385C13" w:rsidRDefault="00385C13" w:rsidP="004F7ABA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As per the client he is not able to move forward after he vi</w:t>
      </w:r>
      <w:bookmarkStart w:id="0" w:name="_GoBack"/>
      <w:bookmarkEnd w:id="0"/>
      <w:r>
        <w:t>sit “</w:t>
      </w:r>
      <w:r w:rsidRPr="00385C13">
        <w:rPr>
          <w:b/>
        </w:rPr>
        <w:t>One variable</w:t>
      </w:r>
      <w:r>
        <w:t>” section in the screen shown below in screenshot.</w:t>
      </w:r>
    </w:p>
    <w:p w:rsidR="00385C13" w:rsidRDefault="00385C13" w:rsidP="00385C13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Please note menu is forced.</w:t>
      </w:r>
    </w:p>
    <w:p w:rsidR="00B178C0" w:rsidRDefault="003E0098" w:rsidP="00B178C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Tomorrow is the client delivery.</w:t>
      </w:r>
    </w:p>
    <w:p w:rsidR="003E0098" w:rsidRDefault="003E0098" w:rsidP="00B178C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For any confusion please do connect before you start the validation.</w:t>
      </w:r>
    </w:p>
    <w:p w:rsidR="00372E20" w:rsidRDefault="00385C13" w:rsidP="005B5A0E">
      <w:pPr>
        <w:spacing w:after="0" w:line="240" w:lineRule="auto"/>
      </w:pPr>
      <w:r>
        <w:rPr>
          <w:noProof/>
        </w:rPr>
        <w:drawing>
          <wp:inline distT="0" distB="0" distL="0" distR="0" wp14:anchorId="03AE6654" wp14:editId="66FAAAEF">
            <wp:extent cx="5260793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18" t="20986" r="11218" b="18275"/>
                    <a:stretch/>
                  </pic:blipFill>
                  <pic:spPr bwMode="auto">
                    <a:xfrm>
                      <a:off x="0" y="0"/>
                      <a:ext cx="5317468" cy="333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A0E" w:rsidRDefault="005B5A0E" w:rsidP="005B5A0E">
      <w:pPr>
        <w:rPr>
          <w:rFonts w:ascii="Source Code Pro" w:hAnsi="Source Code Pro"/>
          <w:color w:val="1F497D"/>
        </w:rPr>
      </w:pPr>
    </w:p>
    <w:p w:rsidR="005B5A0E" w:rsidRDefault="005B5A0E" w:rsidP="005B5A0E">
      <w:pPr>
        <w:spacing w:line="240" w:lineRule="auto"/>
        <w:rPr>
          <w:rFonts w:ascii="Source Code Pro" w:hAnsi="Source Code Pro"/>
          <w:b/>
          <w:bCs/>
          <w:color w:val="004462"/>
        </w:rPr>
      </w:pPr>
      <w:r>
        <w:rPr>
          <w:rFonts w:ascii="Source Code Pro" w:hAnsi="Source Code Pro"/>
          <w:b/>
          <w:bCs/>
          <w:color w:val="004462"/>
        </w:rPr>
        <w:t>Regards,</w:t>
      </w:r>
    </w:p>
    <w:p w:rsidR="005B5A0E" w:rsidRDefault="005B5A0E" w:rsidP="005B5A0E">
      <w:pPr>
        <w:spacing w:line="240" w:lineRule="auto"/>
        <w:rPr>
          <w:rFonts w:ascii="Source Code Pro" w:hAnsi="Source Code Pro"/>
          <w:b/>
          <w:bCs/>
          <w:color w:val="004462"/>
        </w:rPr>
      </w:pPr>
      <w:r>
        <w:rPr>
          <w:rFonts w:ascii="Source Code Pro" w:hAnsi="Source Code Pro"/>
          <w:b/>
          <w:bCs/>
          <w:color w:val="004462"/>
        </w:rPr>
        <w:t>Neeraj Chauhan</w:t>
      </w:r>
    </w:p>
    <w:p w:rsidR="005B5A0E" w:rsidRDefault="005B5A0E" w:rsidP="005B5A0E">
      <w:pPr>
        <w:spacing w:line="240" w:lineRule="auto"/>
        <w:rPr>
          <w:rFonts w:ascii="Source Code Pro" w:hAnsi="Source Code Pro"/>
          <w:color w:val="004462"/>
          <w:sz w:val="20"/>
          <w:szCs w:val="20"/>
        </w:rPr>
      </w:pPr>
      <w:r>
        <w:rPr>
          <w:rFonts w:ascii="Source Code Pro" w:hAnsi="Source Code Pro"/>
          <w:color w:val="004462"/>
        </w:rPr>
        <w:t xml:space="preserve">Sr. Graphic Designer </w:t>
      </w:r>
      <w:r>
        <w:rPr>
          <w:rFonts w:ascii="Source Code Pro" w:hAnsi="Source Code Pro"/>
          <w:color w:val="004462"/>
          <w:sz w:val="20"/>
          <w:szCs w:val="20"/>
        </w:rPr>
        <w:t>| G-Cube Solutions</w:t>
      </w:r>
    </w:p>
    <w:p w:rsidR="005B5A0E" w:rsidRDefault="005B5A0E" w:rsidP="005B5A0E">
      <w:pPr>
        <w:spacing w:line="240" w:lineRule="auto"/>
        <w:rPr>
          <w:rFonts w:ascii="Source Code Pro" w:hAnsi="Source Code Pro"/>
          <w:color w:val="1F497D"/>
          <w:sz w:val="20"/>
          <w:szCs w:val="20"/>
        </w:rPr>
      </w:pPr>
      <w:r>
        <w:rPr>
          <w:rFonts w:ascii="Source Code Pro" w:hAnsi="Source Code Pro"/>
          <w:noProof/>
          <w:color w:val="1F497D"/>
          <w:sz w:val="20"/>
          <w:szCs w:val="20"/>
        </w:rPr>
        <w:drawing>
          <wp:inline distT="0" distB="0" distL="0" distR="0">
            <wp:extent cx="148590" cy="116840"/>
            <wp:effectExtent l="0" t="0" r="3810" b="0"/>
            <wp:docPr id="11" name="Picture 11" descr="cid:image001.png@01D2DEB3.D13C7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2DEB3.D13C7C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>
          <w:rPr>
            <w:rStyle w:val="Hyperlink"/>
            <w:rFonts w:ascii="Source Code Pro" w:hAnsi="Source Code Pro"/>
            <w:sz w:val="20"/>
            <w:szCs w:val="20"/>
          </w:rPr>
          <w:t>neerajc@gc-solutions.net</w:t>
        </w:r>
      </w:hyperlink>
    </w:p>
    <w:p w:rsidR="005B5A0E" w:rsidRDefault="005B5A0E" w:rsidP="005B5A0E">
      <w:pPr>
        <w:spacing w:line="240" w:lineRule="auto"/>
        <w:rPr>
          <w:rFonts w:ascii="Source Code Pro" w:hAnsi="Source Code Pro"/>
          <w:color w:val="004462"/>
          <w:sz w:val="20"/>
          <w:szCs w:val="20"/>
        </w:rPr>
      </w:pPr>
      <w:r>
        <w:rPr>
          <w:rFonts w:ascii="Source Code Pro" w:hAnsi="Source Code Pro"/>
          <w:noProof/>
          <w:color w:val="004462"/>
          <w:sz w:val="20"/>
          <w:szCs w:val="20"/>
        </w:rPr>
        <w:drawing>
          <wp:inline distT="0" distB="0" distL="0" distR="0">
            <wp:extent cx="159385" cy="159385"/>
            <wp:effectExtent l="0" t="0" r="0" b="0"/>
            <wp:docPr id="10" name="Picture 10" descr="cid:image002.png@01D2DEB3.D13C7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2DEB3.D13C7C0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Source Code Pro" w:hAnsi="Source Code Pro"/>
          <w:color w:val="004462"/>
          <w:sz w:val="20"/>
          <w:szCs w:val="20"/>
        </w:rPr>
        <w:t>neerajc-gc</w:t>
      </w:r>
      <w:proofErr w:type="spellEnd"/>
    </w:p>
    <w:p w:rsidR="005B5A0E" w:rsidRDefault="005B5A0E" w:rsidP="005B5A0E">
      <w:pPr>
        <w:spacing w:line="240" w:lineRule="auto"/>
        <w:rPr>
          <w:rFonts w:ascii="Source Code Pro" w:hAnsi="Source Code Pro"/>
          <w:color w:val="004462"/>
          <w:sz w:val="20"/>
          <w:szCs w:val="20"/>
        </w:rPr>
      </w:pPr>
      <w:r>
        <w:rPr>
          <w:rFonts w:ascii="Source Code Pro" w:hAnsi="Source Code Pro"/>
          <w:noProof/>
          <w:color w:val="004462"/>
          <w:sz w:val="20"/>
          <w:szCs w:val="20"/>
        </w:rPr>
        <w:drawing>
          <wp:inline distT="0" distB="0" distL="0" distR="0">
            <wp:extent cx="148590" cy="138430"/>
            <wp:effectExtent l="0" t="0" r="3810" b="0"/>
            <wp:docPr id="9" name="Picture 9" descr="cid:image003.png@01D2DEB3.D13C7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png@01D2DEB3.D13C7C0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Code Pro" w:hAnsi="Source Code Pro"/>
          <w:color w:val="004462"/>
          <w:sz w:val="20"/>
          <w:szCs w:val="20"/>
          <w:lang w:val="fr-FR"/>
        </w:rPr>
        <w:t xml:space="preserve">+91.120.4000.318 </w:t>
      </w:r>
      <w:r>
        <w:rPr>
          <w:rFonts w:ascii="Source Code Pro" w:hAnsi="Source Code Pro"/>
          <w:noProof/>
          <w:color w:val="004462"/>
          <w:sz w:val="20"/>
          <w:szCs w:val="20"/>
        </w:rPr>
        <w:drawing>
          <wp:inline distT="0" distB="0" distL="0" distR="0">
            <wp:extent cx="85090" cy="148590"/>
            <wp:effectExtent l="0" t="0" r="0" b="3810"/>
            <wp:docPr id="6" name="Picture 6" descr="cid:image004.png@01D2DEB3.D13C7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png@01D2DEB3.D13C7C0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Code Pro" w:hAnsi="Source Code Pro"/>
          <w:color w:val="004462"/>
          <w:sz w:val="20"/>
          <w:szCs w:val="20"/>
        </w:rPr>
        <w:t> </w:t>
      </w:r>
      <w:r>
        <w:rPr>
          <w:rFonts w:ascii="Source Code Pro" w:hAnsi="Source Code Pro"/>
          <w:color w:val="004462"/>
          <w:sz w:val="20"/>
          <w:szCs w:val="20"/>
          <w:lang w:val="fr-FR"/>
        </w:rPr>
        <w:t>9811321200</w:t>
      </w:r>
    </w:p>
    <w:p w:rsidR="005B5A0E" w:rsidRPr="005B5A0E" w:rsidRDefault="005B5A0E" w:rsidP="005B5A0E">
      <w:pPr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3072765" cy="42545"/>
            <wp:effectExtent l="0" t="0" r="0" b="0"/>
            <wp:docPr id="5" name="Picture 5" descr="cid:image005.png@01D2DEB3.D13C7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5.png@01D2DEB3.D13C7C0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A0E" w:rsidRPr="005B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05"/>
    <w:rsid w:val="00024D39"/>
    <w:rsid w:val="000B3E82"/>
    <w:rsid w:val="000D01FC"/>
    <w:rsid w:val="001979A0"/>
    <w:rsid w:val="001E10AA"/>
    <w:rsid w:val="00213617"/>
    <w:rsid w:val="002252F1"/>
    <w:rsid w:val="00292481"/>
    <w:rsid w:val="002B682E"/>
    <w:rsid w:val="002B7EBD"/>
    <w:rsid w:val="002C1947"/>
    <w:rsid w:val="002D3C37"/>
    <w:rsid w:val="00372E20"/>
    <w:rsid w:val="00380319"/>
    <w:rsid w:val="00385C13"/>
    <w:rsid w:val="003926EE"/>
    <w:rsid w:val="003B2CA0"/>
    <w:rsid w:val="003C17C3"/>
    <w:rsid w:val="003E0098"/>
    <w:rsid w:val="003E2457"/>
    <w:rsid w:val="00413899"/>
    <w:rsid w:val="00442C91"/>
    <w:rsid w:val="00460356"/>
    <w:rsid w:val="00461805"/>
    <w:rsid w:val="00466C3D"/>
    <w:rsid w:val="004F7ABA"/>
    <w:rsid w:val="005B5A0E"/>
    <w:rsid w:val="006D423C"/>
    <w:rsid w:val="006E1E6E"/>
    <w:rsid w:val="007643E1"/>
    <w:rsid w:val="007D4144"/>
    <w:rsid w:val="007D7918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D2DDC"/>
    <w:rsid w:val="009F1A24"/>
    <w:rsid w:val="00A418E2"/>
    <w:rsid w:val="00A5579D"/>
    <w:rsid w:val="00AA1D53"/>
    <w:rsid w:val="00B178C0"/>
    <w:rsid w:val="00B33101"/>
    <w:rsid w:val="00B645B0"/>
    <w:rsid w:val="00B65C4E"/>
    <w:rsid w:val="00B67713"/>
    <w:rsid w:val="00B871D0"/>
    <w:rsid w:val="00B948DD"/>
    <w:rsid w:val="00BE5880"/>
    <w:rsid w:val="00C850AD"/>
    <w:rsid w:val="00C92DC1"/>
    <w:rsid w:val="00CA0499"/>
    <w:rsid w:val="00CE73F2"/>
    <w:rsid w:val="00D86EC9"/>
    <w:rsid w:val="00DC503E"/>
    <w:rsid w:val="00E147E7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5977E-A902-43BF-AB6A-7DFDD865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2.png@01D2DEB3.D13C7C00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92.168.2.4/content2016/IMRB/03_Project_Development/Construction/ID/Storyboards/IMRB_Weighting%20and%20Projection%20Fundamentals_SB.pptx" TargetMode="External"/><Relationship Id="rId12" Type="http://schemas.openxmlformats.org/officeDocument/2006/relationships/image" Target="media/image3.png"/><Relationship Id="rId17" Type="http://schemas.openxmlformats.org/officeDocument/2006/relationships/image" Target="cid:image004.png@01D2DEB3.D13C7C0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IMRB/03_Project_Development/Construction/QC_Reports/External/Gold/IMRB_2%20June.docx" TargetMode="External"/><Relationship Id="rId11" Type="http://schemas.openxmlformats.org/officeDocument/2006/relationships/hyperlink" Target="mailto:neerajc@gc-solutions.net" TargetMode="External"/><Relationship Id="rId5" Type="http://schemas.openxmlformats.org/officeDocument/2006/relationships/hyperlink" Target="http://192.168.2.4/content2016/IMRB/03_Project_Development/Construction/Media_Development/Build/Weighting%20and%20Projection%20Fundamentals/story.html" TargetMode="External"/><Relationship Id="rId15" Type="http://schemas.openxmlformats.org/officeDocument/2006/relationships/image" Target="cid:image003.png@01D2DEB3.D13C7C00" TargetMode="External"/><Relationship Id="rId10" Type="http://schemas.openxmlformats.org/officeDocument/2006/relationships/image" Target="cid:image001.png@01D2DEB3.D13C7C00" TargetMode="External"/><Relationship Id="rId19" Type="http://schemas.openxmlformats.org/officeDocument/2006/relationships/image" Target="cid:image005.png@01D2DEB3.D13C7C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Neeraj Chauhan</cp:lastModifiedBy>
  <cp:revision>63</cp:revision>
  <dcterms:created xsi:type="dcterms:W3CDTF">2015-10-09T08:14:00Z</dcterms:created>
  <dcterms:modified xsi:type="dcterms:W3CDTF">2017-06-06T08:37:00Z</dcterms:modified>
</cp:coreProperties>
</file>