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57" w:rsidRDefault="00EF4557" w:rsidP="00EF4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Course:</w:t>
      </w: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http://pacific.gc-solutions.net/content2017/MediBank/Security Awareness e-course/03_Project_Development/Construction/Media_Development/Build/output</w:t>
      </w: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SB:</w:t>
      </w: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http://pacific.gc-solutions.net/content2017/MediBank/Security Awareness e-course/03_Project_Development/Construction/Client_Inputs_Requirements/Base_Content/IntroToInfoSecurity_v3.0_Medibank.docx</w:t>
        </w:r>
      </w:hyperlink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Path for reference course:</w:t>
      </w:r>
    </w:p>
    <w:p w:rsidR="00EF4557" w:rsidRDefault="00EF4557" w:rsidP="00EF4557">
      <w:pPr>
        <w:rPr>
          <w:color w:val="1F497D"/>
          <w:lang w:val="en-AU"/>
        </w:rPr>
      </w:pPr>
      <w:hyperlink r:id="rId7" w:history="1">
        <w:r>
          <w:rPr>
            <w:rStyle w:val="Hyperlink"/>
            <w:lang w:val="en-AU"/>
          </w:rPr>
          <w:t>https://review.money101.com.au/FinancialCrimes/_REBRAND/IntroToInfoSec_111016/story_html5.html</w:t>
        </w:r>
      </w:hyperlink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Release notes: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standard, audio check screen has been added which is not given in SB.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Placement of graphics and text formatting is the same as per </w:t>
      </w:r>
      <w:proofErr w:type="spellStart"/>
      <w:r>
        <w:rPr>
          <w:rFonts w:ascii="Arial" w:hAnsi="Arial" w:cs="Arial"/>
          <w:sz w:val="20"/>
          <w:szCs w:val="20"/>
        </w:rPr>
        <w:t>MediBank</w:t>
      </w:r>
      <w:proofErr w:type="spellEnd"/>
      <w:r>
        <w:rPr>
          <w:rFonts w:ascii="Arial" w:hAnsi="Arial" w:cs="Arial"/>
          <w:sz w:val="20"/>
          <w:szCs w:val="20"/>
        </w:rPr>
        <w:t xml:space="preserve"> standard and reference screen provided into SB. 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viz. notes mentioned in the SB, so we have kept graphic strategy per the previous course “CC” and get approval on functional pages prior started development.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Free navigation is being used in this course as per reference course. We have just adapted </w:t>
      </w:r>
      <w:proofErr w:type="spellStart"/>
      <w:r>
        <w:rPr>
          <w:rFonts w:ascii="Arial" w:hAnsi="Arial" w:cs="Arial"/>
          <w:sz w:val="20"/>
          <w:szCs w:val="20"/>
        </w:rPr>
        <w:t>Medibank</w:t>
      </w:r>
      <w:proofErr w:type="spellEnd"/>
      <w:r>
        <w:rPr>
          <w:rFonts w:ascii="Arial" w:hAnsi="Arial" w:cs="Arial"/>
          <w:sz w:val="20"/>
          <w:szCs w:val="20"/>
        </w:rPr>
        <w:t xml:space="preserve"> color theme and layouts as preferred by the client.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Bold and </w:t>
      </w:r>
      <w:proofErr w:type="spellStart"/>
      <w:r>
        <w:rPr>
          <w:rFonts w:ascii="Arial" w:hAnsi="Arial" w:cs="Arial"/>
          <w:sz w:val="20"/>
          <w:szCs w:val="20"/>
        </w:rPr>
        <w:t>unbold</w:t>
      </w:r>
      <w:proofErr w:type="spellEnd"/>
      <w:r>
        <w:rPr>
          <w:rFonts w:ascii="Arial" w:hAnsi="Arial" w:cs="Arial"/>
          <w:sz w:val="20"/>
          <w:szCs w:val="20"/>
        </w:rPr>
        <w:t xml:space="preserve"> instances have been kept per the requirement of screen. If compare with the running sample course there are lot of mismatches in SB hence, will share this as a release note.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kept help screen according to other courses which has appropriate text to guide learner, will also share this as a release note.</w:t>
      </w:r>
    </w:p>
    <w:p w:rsidR="00EF4557" w:rsidRDefault="00EF4557" w:rsidP="00EF45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Few sample screens has suggested by the client to use in this build we have used too though kept various layouts per screen’s requirement.</w:t>
      </w:r>
    </w:p>
    <w:p w:rsidR="00EF4557" w:rsidRDefault="00EF4557" w:rsidP="00EF455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25083" w:rsidRDefault="00D25083"/>
    <w:sectPr w:rsidR="00D2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14B"/>
    <w:multiLevelType w:val="hybridMultilevel"/>
    <w:tmpl w:val="44780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57"/>
    <w:rsid w:val="00D25083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5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55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5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5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view.money101.com.au/FinancialCrimes/_REBRAND/IntroToInfoSec_111016/story_html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ific.gc-solutions.net/content2017/MediBank/Security%20Awareness%20e-course/03_Project_Development/Construction/Client_Inputs_Requirements/Base_Content/IntroToInfoSecurity_v3.0_Medibank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Kakkar</dc:creator>
  <cp:lastModifiedBy>Sumit Kakkar</cp:lastModifiedBy>
  <cp:revision>1</cp:revision>
  <dcterms:created xsi:type="dcterms:W3CDTF">2017-06-15T13:54:00Z</dcterms:created>
  <dcterms:modified xsi:type="dcterms:W3CDTF">2017-06-15T13:55:00Z</dcterms:modified>
</cp:coreProperties>
</file>