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323182" w:rsidRDefault="00526A43" w:rsidP="009F1961">
      <w:pPr>
        <w:rPr>
          <w:rFonts w:ascii="Calibri" w:hAnsi="Calibri"/>
          <w:color w:val="1F497D"/>
          <w:sz w:val="22"/>
          <w:szCs w:val="22"/>
        </w:rPr>
      </w:pPr>
      <w:r w:rsidRPr="00526A43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1/TD-MEM-05006B-AR-V3/Axial_TD-MEM-05006B-AR-V3_SB.PPTX</w:t>
      </w:r>
    </w:p>
    <w:p w:rsidR="00526A43" w:rsidRDefault="00526A43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A80667" w:rsidRDefault="00A80667" w:rsidP="00A80667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color w:val="1F497D"/>
          <w:sz w:val="22"/>
          <w:szCs w:val="22"/>
        </w:rPr>
        <w:t xml:space="preserve"> - FT Mechanics Assessment Digitization/03_Project_Development/Construction/Media_Development/Build/part_1/MEM05006B_Perform_Brazing_andor_Silver_Soldering/MEM05006B_Perform_Brazing_andor_Silver_Soldering.zip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02624C" w:rsidRDefault="0002624C" w:rsidP="0002624C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 xml:space="preserve">On hold - We are working on one issue related to </w:t>
      </w:r>
      <w:proofErr w:type="spellStart"/>
      <w:r>
        <w:rPr>
          <w:rFonts w:ascii="Calibri" w:hAnsi="Calibri"/>
          <w:b/>
          <w:color w:val="FF0000"/>
          <w:sz w:val="22"/>
          <w:szCs w:val="22"/>
        </w:rPr>
        <w:t>pdf</w:t>
      </w:r>
      <w:proofErr w:type="spellEnd"/>
      <w:r>
        <w:rPr>
          <w:rFonts w:ascii="Calibri" w:hAnsi="Calibri"/>
          <w:b/>
          <w:color w:val="FF0000"/>
          <w:sz w:val="22"/>
          <w:szCs w:val="22"/>
        </w:rPr>
        <w:t xml:space="preserve"> where feedback provided to learner in second or third attempt is shown undefined.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5E1F1D" w:rsidRDefault="005E1F1D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2624C"/>
    <w:rsid w:val="00043AEF"/>
    <w:rsid w:val="000C0A35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E1F1D"/>
    <w:rsid w:val="00621FBD"/>
    <w:rsid w:val="006D4585"/>
    <w:rsid w:val="00757CA8"/>
    <w:rsid w:val="007600BC"/>
    <w:rsid w:val="007F3458"/>
    <w:rsid w:val="00913C8C"/>
    <w:rsid w:val="00920F21"/>
    <w:rsid w:val="00950919"/>
    <w:rsid w:val="009F1961"/>
    <w:rsid w:val="00A80667"/>
    <w:rsid w:val="00AB42F8"/>
    <w:rsid w:val="00AC48A7"/>
    <w:rsid w:val="00B47C58"/>
    <w:rsid w:val="00BD19ED"/>
    <w:rsid w:val="00CE0177"/>
    <w:rsid w:val="00D61C4D"/>
    <w:rsid w:val="00DB4090"/>
    <w:rsid w:val="00DE6C00"/>
    <w:rsid w:val="00EC7E3B"/>
    <w:rsid w:val="00EF770D"/>
    <w:rsid w:val="00F3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A806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A80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40</cp:revision>
  <dcterms:created xsi:type="dcterms:W3CDTF">2017-06-05T06:16:00Z</dcterms:created>
  <dcterms:modified xsi:type="dcterms:W3CDTF">2017-06-29T10:36:00Z</dcterms:modified>
</cp:coreProperties>
</file>