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작업 내역서</w:t>
      </w:r>
    </w:p>
    <w:p>
      <w:pPr>
        <w:jc w:val="center"/>
      </w:pPr>
      <w:r>
        <w:t>스마트팜 기자재·시공업체 공식 데이터 통합 / C16 장비추가 개선</w:t>
        <w:br/>
        <w:t>+ IPinsight 패턴 이식 / 데이터 정리 / 세션 프로세스 개선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  <w:tcW w:w="6804" w:type="dxa"/>
          </w:tcPr>
          <w:p>
            <w:r>
              <w:t>WR-2026-0618</w:t>
            </w:r>
          </w:p>
        </w:tc>
      </w:tr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320"/>
            <w:tcW w:w="6804" w:type="dxa"/>
          </w:tcPr>
          <w:p>
            <w:r>
              <w:t>2026-06-18</w:t>
            </w:r>
          </w:p>
        </w:tc>
      </w:tr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4320"/>
            <w:tcW w:w="6804" w:type="dxa"/>
          </w:tcPr>
          <w:p>
            <w:r>
              <w:t>KAASA smartfarmingsight  /  IPinsight</w:t>
            </w:r>
          </w:p>
        </w:tc>
      </w:tr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4320"/>
            <w:tcW w:w="6804" w:type="dxa"/>
          </w:tcPr>
          <w:p>
            <w:r>
              <w:t>개발팀</w:t>
            </w:r>
          </w:p>
        </w:tc>
      </w:tr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대상 범위</w:t>
            </w:r>
          </w:p>
        </w:tc>
        <w:tc>
          <w:tcPr>
            <w:tcW w:type="dxa" w:w="4320"/>
            <w:tcW w:w="6804" w:type="dxa"/>
          </w:tcPr>
          <w:p>
            <w:r>
              <w:t>기자재 참조 DB·C16·IPinsight 보고서 파이프라인·PII 정리·세션 훅</w:t>
            </w:r>
          </w:p>
        </w:tc>
      </w:tr>
      <w:tr>
        <w:tc>
          <w:tcPr>
            <w:tcW w:type="dxa" w:w="4320"/>
            <w:tcW w:w="1984" w:type="dxa"/>
          </w:tcPr>
          <w:p>
            <w:r>
              <w:rPr>
                <w:b/>
              </w:rPr>
              <w:t>도메인</w:t>
            </w:r>
          </w:p>
        </w:tc>
        <w:tc>
          <w:tcPr>
            <w:tcW w:type="dxa" w:w="4320"/>
            <w:tcW w:w="6804" w:type="dxa"/>
          </w:tcPr>
          <w:p>
            <w:r>
              <w:t>farmingsight.org</w:t>
            </w:r>
          </w:p>
        </w:tc>
      </w:tr>
    </w:tbl>
    <w:p/>
    <w:p>
      <w:pPr>
        <w:pStyle w:val="Heading1"/>
      </w:pPr>
      <w:r>
        <w:rPr>
          <w:color w:val="1F5C99"/>
          <w:sz w:val="26"/>
        </w:rPr>
        <w:t>1. 작업 개요</w:t>
      </w:r>
    </w:p>
    <w:p>
      <w:pPr/>
      <w:r>
        <w:t>오전 세션: 스마트팜코리아 공식 DB(231025·250117판)를 도입하여 기자재·시공업체 정보를 공식 분류체계로 재분류하고, 재실행 가능한 빌드 파이프라인으로 지속 업그레이드 체계를 구축하였다. 아울러 장비추가(C16) 화면의 사용성을 개선하였다.</w:t>
        <w:br/>
        <w:br/>
        <w:t>오후 세션: JS IPinsight 인수인계 문서(ip-이전문서.docx)를 분석하여 글로벌기술사업화 혁신 패턴(StoreA 강제 인계, 의존 보고서 컴팩션)을 Python IPinsight에 이식하였다. 아울러 smart_farm 데이터 정리(PII 제거·중복 삭제) 및 세션 종료 자동화 훅을 추가하였다.</w:t>
      </w:r>
    </w:p>
    <w:p>
      <w:pPr>
        <w:pStyle w:val="Heading1"/>
      </w:pPr>
      <w:r>
        <w:rPr>
          <w:color w:val="1F5C99"/>
          <w:sz w:val="26"/>
        </w:rPr>
        <w:t>2. 작업 항목 및 결과</w:t>
      </w:r>
    </w:p>
    <w:p>
      <w:pPr>
        <w:pStyle w:val="Heading2"/>
      </w:pPr>
      <w:r>
        <w:rPr>
          <w:sz w:val="22"/>
        </w:rPr>
        <w:t>2.1 기자재·시공업체 공식 참조 데이터 구축 (오전)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공식 분류체계</w:t>
            </w:r>
          </w:p>
        </w:tc>
        <w:tc>
          <w:tcPr>
            <w:tcW w:type="dxa" w:w="2880"/>
          </w:tcPr>
          <w:p>
            <w:r>
              <w:t>equipment_taxonomy.json</w:t>
            </w:r>
          </w:p>
        </w:tc>
        <w:tc>
          <w:tcPr>
            <w:tcW w:type="dxa" w:w="2880"/>
          </w:tcPr>
          <w:p>
            <w:r>
              <w:t>5대분류 — 감지부·제어부·양액관수·축산설비·기타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자사제품</w:t>
            </w:r>
          </w:p>
        </w:tc>
        <w:tc>
          <w:tcPr>
            <w:tcW w:type="dxa" w:w="2880"/>
          </w:tcPr>
          <w:p>
            <w:r>
              <w:t>vendor_products.json</w:t>
            </w:r>
          </w:p>
        </w:tc>
        <w:tc>
          <w:tcPr>
            <w:tcW w:type="dxa" w:w="2880"/>
          </w:tcPr>
          <w:p>
            <w:r>
              <w:t>제조사 제품 312건 (활용분야·표준장치명·모델·KC인증)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기업 디렉터리</w:t>
            </w:r>
          </w:p>
        </w:tc>
        <w:tc>
          <w:tcPr>
            <w:tcW w:type="dxa" w:w="2880"/>
          </w:tcPr>
          <w:p>
            <w:r>
              <w:t>vendors.json</w:t>
            </w:r>
          </w:p>
        </w:tc>
        <w:tc>
          <w:tcPr>
            <w:tcW w:type="dxa" w:w="2880"/>
          </w:tcPr>
          <w:p>
            <w:r>
              <w:t>제조·유통·시공 기업 623개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시공업체</w:t>
            </w:r>
          </w:p>
        </w:tc>
        <w:tc>
          <w:tcPr>
            <w:tcW w:type="dxa" w:w="2880"/>
          </w:tcPr>
          <w:p>
            <w:r>
              <w:t>construction_companies.json</w:t>
            </w:r>
          </w:p>
        </w:tc>
        <w:tc>
          <w:tcPr>
            <w:tcW w:type="dxa" w:w="2880"/>
          </w:tcPr>
          <w:p>
            <w:r>
              <w:t>온실 시공업체 도급순위 97개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메타</w:t>
            </w:r>
          </w:p>
        </w:tc>
        <w:tc>
          <w:tcPr>
            <w:tcW w:type="dxa" w:w="2880"/>
          </w:tcPr>
          <w:p>
            <w:r>
              <w:t>_meta.json</w:t>
            </w:r>
          </w:p>
        </w:tc>
        <w:tc>
          <w:tcPr>
            <w:tcW w:type="dxa" w:w="2880"/>
          </w:tcPr>
          <w:p>
            <w:r>
              <w:t>출처·버전(250117)·집계 기록</w:t>
            </w:r>
          </w:p>
        </w:tc>
      </w:tr>
    </w:tbl>
    <w:p/>
    <w:p>
      <w:pPr>
        <w:pStyle w:val="Heading2"/>
      </w:pPr>
      <w:r>
        <w:rPr>
          <w:sz w:val="22"/>
        </w:rPr>
        <w:t>2.2 공식 분류체계 재분류 결과 (오전)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대분류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제품수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표준 장치명(예시)</w:t>
            </w:r>
          </w:p>
        </w:tc>
      </w:tr>
      <w:tr>
        <w:tc>
          <w:tcPr>
            <w:tcW w:type="dxa" w:w="2880"/>
          </w:tcPr>
          <w:p>
            <w:r>
              <w:t>제어부(구동기)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환경제어기·환풍기·냉방기·안개분무·악취제거</w:t>
            </w:r>
          </w:p>
        </w:tc>
      </w:tr>
      <w:tr>
        <w:tc>
          <w:tcPr>
            <w:tcW w:type="dxa" w:w="2880"/>
          </w:tcPr>
          <w:p>
            <w:r>
              <w:t>축산설비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급이기·사료빈·방역기·선별기·원유냉각</w:t>
            </w:r>
          </w:p>
        </w:tc>
      </w:tr>
      <w:tr>
        <w:tc>
          <w:tcPr>
            <w:tcW w:type="dxa" w:w="2880"/>
          </w:tcPr>
          <w:p>
            <w:r>
              <w:t>기타·미분류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기타</w:t>
            </w:r>
          </w:p>
        </w:tc>
      </w:tr>
      <w:tr>
        <w:tc>
          <w:tcPr>
            <w:tcW w:type="dxa" w:w="2880"/>
          </w:tcPr>
          <w:p>
            <w:r>
              <w:t>양액·관수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양액기·자동급수기</w:t>
            </w:r>
          </w:p>
        </w:tc>
      </w:tr>
      <w:tr>
        <w:tc>
          <w:tcPr>
            <w:tcW w:type="dxa" w:w="2880"/>
          </w:tcPr>
          <w:p>
            <w:r>
              <w:t>감지부(센서)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생체정보수집기·체중기</w:t>
            </w:r>
          </w:p>
        </w:tc>
      </w:tr>
    </w:tbl>
    <w:p/>
    <w:p>
      <w:pPr>
        <w:pStyle w:val="Heading2"/>
      </w:pPr>
      <w:r>
        <w:rPr>
          <w:sz w:val="22"/>
        </w:rPr>
        <w:t>2.3 지속 업그레이드 파이프라인 (오전)</w:t>
      </w:r>
    </w:p>
    <w:p>
      <w:pPr>
        <w:pStyle w:val="ListBullet"/>
      </w:pPr>
      <w:r>
        <w:t>scripts/build_equipment_reference.py — DB 엑셀(xlsx) → JSON 멱등 변환 빌더</w:t>
      </w:r>
    </w:p>
    <w:p>
      <w:pPr>
        <w:pStyle w:val="ListBullet"/>
      </w:pPr>
      <w:r>
        <w:t>신규 DB 배포 시 --src 경로만 교체해 재실행하면 참조 데이터 전량 자동 갱신</w:t>
      </w:r>
    </w:p>
    <w:p>
      <w:pPr/>
      <w:r>
        <w:t>실행: python scripts/build_equipment_reference.py --src "&lt;새 DB.xlsx&gt;"</w:t>
      </w:r>
    </w:p>
    <w:p>
      <w:pPr>
        <w:pStyle w:val="Heading2"/>
      </w:pPr>
      <w:r>
        <w:rPr>
          <w:sz w:val="22"/>
        </w:rPr>
        <w:t>2.4 장비추가(C16) 화면 개선 (오전)</w:t>
      </w:r>
    </w:p>
    <w:p>
      <w:pPr>
        <w:pStyle w:val="ListBullet"/>
      </w:pPr>
      <w:r>
        <w:t>장비 불러오기(📋) 버튼 추가 — 견적서 업로드 영역 이동 + 파일 선택창 즉시 오픈</w:t>
      </w:r>
    </w:p>
    <w:p>
      <w:pPr>
        <w:pStyle w:val="ListBullet"/>
      </w:pPr>
      <w:r>
        <w:t>이기종 연계(통신프로토콜·주소·포트·데이터포인트 매핑)를 접힘식 '다음 단계·선택'으로 분리 → 등록 진입장벽 완화</w:t>
      </w:r>
    </w:p>
    <w:p>
      <w:pPr>
        <w:pStyle w:val="ListBullet"/>
      </w:pPr>
      <w:r>
        <w:t>통신 프로토콜 필수 해제, 최종 버튼 명칭 '장비 저장' → '✓ 장비 등록'</w:t>
      </w:r>
    </w:p>
    <w:p>
      <w:pPr>
        <w:pStyle w:val="ListBullet"/>
      </w:pPr>
      <w:r>
        <w:t>서비스워커 캐시 v50 → v51 갱신</w:t>
      </w:r>
    </w:p>
    <w:p>
      <w:pPr>
        <w:pStyle w:val="Heading2"/>
      </w:pPr>
      <w:r>
        <w:rPr>
          <w:sz w:val="22"/>
        </w:rPr>
        <w:t>2.5 IPinsight 보고서 파이프라인 개선 (오후) — 커밋: 8405430</w:t>
      </w:r>
    </w:p>
    <w:p>
      <w:pPr/>
      <w:r>
        <w:t>JS IPinsight 인수인계 문서(ip-이전문서.docx) 분석을 통해 글로벌기술사업화 혁신 패턴 2종을 Python IPinsight에 이식하였다.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함수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2880"/>
          </w:tcPr>
          <w:p>
            <w:r>
              <w:t>StoreA 강제 인계</w:t>
            </w:r>
          </w:p>
        </w:tc>
        <w:tc>
          <w:tcPr>
            <w:tcW w:type="dxa" w:w="2880"/>
          </w:tcPr>
          <w:p>
            <w:r>
              <w:t>_enrich_from_store_a(report_id, result, store_a)</w:t>
            </w:r>
          </w:p>
        </w:tc>
        <w:tc>
          <w:tcPr>
            <w:tcW w:type="dxa" w:w="2880"/>
          </w:tcPr>
          <w:p>
            <w:r>
              <w:t>LLM이 청구항·구성요소를 비우거나 환각해도 PCML 결과로 강제 덮어씀. R5 valuationBlock, R6 r5Summary, R7 pcmlStrengths 보장.</w:t>
            </w:r>
          </w:p>
        </w:tc>
      </w:tr>
      <w:tr>
        <w:tc>
          <w:tcPr>
            <w:tcW w:type="dxa" w:w="2880"/>
          </w:tcPr>
          <w:p>
            <w:r>
              <w:t>의존 보고서 컴팩션</w:t>
            </w:r>
          </w:p>
        </w:tc>
        <w:tc>
          <w:tcPr>
            <w:tcW w:type="dxa" w:w="2880"/>
          </w:tcPr>
          <w:p>
            <w:r>
              <w:t>_compact_dep_reports(dep_reports)</w:t>
            </w:r>
          </w:p>
        </w:tc>
        <w:tc>
          <w:tcPr>
            <w:tcW w:type="dxa" w:w="2880"/>
          </w:tcPr>
          <w:p>
            <w:r>
              <w:t>R6(←R5), R7(←R5+R2) 생성 시 선행 보고서 전체 대신 keyFindings + 핵심 블록만 LLM에 전달하여 토큰 절감.</w:t>
            </w:r>
          </w:p>
        </w:tc>
      </w:tr>
    </w:tbl>
    <w:p/>
    <w:p>
      <w:pPr>
        <w:pStyle w:val="Heading2"/>
      </w:pPr>
      <w:r>
        <w:rPr>
          <w:sz w:val="22"/>
        </w:rPr>
        <w:t>2.6 IPinsight PCML v3.0 도메인 키 기본값 추가 (오후) — 커밋: 486de3d</w:t>
      </w:r>
    </w:p>
    <w:p>
      <w:pPr/>
      <w:r>
        <w:t>_ensure_v2_compat_sv()에 tech/market/business/regulatory_core_nodes setdefault(0) 추가.</w:t>
      </w:r>
    </w:p>
    <w:p>
      <w:pPr>
        <w:pStyle w:val="ListBullet"/>
      </w:pPr>
      <w:r>
        <w:t>원인: Groq 429 → 50초 대기 후 응답에서 v3.0 도메인 키 누락 → test_pcml_shared_variables FAIL</w:t>
      </w:r>
    </w:p>
    <w:p>
      <w:pPr>
        <w:pStyle w:val="ListBullet"/>
      </w:pPr>
      <w:r>
        <w:t>효과: Groq 부하 시에도 221개 테스트 안정 통과</w:t>
      </w:r>
    </w:p>
    <w:p>
      <w:pPr>
        <w:pStyle w:val="Heading2"/>
      </w:pPr>
      <w:r>
        <w:rPr>
          <w:sz w:val="22"/>
        </w:rPr>
        <w:t>2.7 smart_farm 데이터 정리 (오후) — 커밋: e1109fc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조치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사유</w:t>
            </w:r>
          </w:p>
        </w:tc>
      </w:tr>
      <w:tr>
        <w:tc>
          <w:tcPr>
            <w:tcW w:type="dxa" w:w="2880"/>
          </w:tcPr>
          <w:p>
            <w:r>
              <w:t>api/data/user_contacts.json</w:t>
            </w:r>
          </w:p>
        </w:tc>
        <w:tc>
          <w:tcPr>
            <w:tcW w:type="dxa" w:w="2880"/>
          </w:tcPr>
          <w:p>
            <w:r>
              <w:t>'abc' 항목 제거</w:t>
            </w:r>
          </w:p>
        </w:tc>
        <w:tc>
          <w:tcPr>
            <w:tcW w:type="dxa" w:w="2880"/>
          </w:tcPr>
          <w:p>
            <w:r>
              <w:t>실전화번호(010-2760-2398) PII 노출</w:t>
            </w:r>
          </w:p>
        </w:tc>
      </w:tr>
      <w:tr>
        <w:tc>
          <w:tcPr>
            <w:tcW w:type="dxa" w:w="2880"/>
          </w:tcPr>
          <w:p>
            <w:r>
              <w:t>api/data/user_roles.json</w:t>
            </w:r>
          </w:p>
        </w:tc>
        <w:tc>
          <w:tcPr>
            <w:tcW w:type="dxa" w:w="2880"/>
          </w:tcPr>
          <w:p>
            <w:r>
              <w:t>'abc': 'farmer' 제거</w:t>
            </w:r>
          </w:p>
        </w:tc>
        <w:tc>
          <w:tcPr>
            <w:tcW w:type="dxa" w:w="2880"/>
          </w:tcPr>
          <w:p>
            <w:r>
              <w:t>미사용 테스트 계정</w:t>
            </w:r>
          </w:p>
        </w:tc>
      </w:tr>
      <w:tr>
        <w:tc>
          <w:tcPr>
            <w:tcW w:type="dxa" w:w="2880"/>
          </w:tcPr>
          <w:p>
            <w:r>
              <w:t>api/data/farm_registry.json</w:t>
            </w:r>
          </w:p>
        </w:tc>
        <w:tc>
          <w:tcPr>
            <w:tcW w:type="dxa" w:w="2880"/>
          </w:tcPr>
          <w:p>
            <w:r>
              <w:t>farm_q93tkj 중복 항목 제거</w:t>
            </w:r>
          </w:p>
        </w:tc>
        <w:tc>
          <w:tcPr>
            <w:tcW w:type="dxa" w:w="2880"/>
          </w:tcPr>
          <w:p>
            <w:r>
              <w:t>동일 farm_id 2회 등재</w:t>
            </w:r>
          </w:p>
        </w:tc>
      </w:tr>
      <w:tr>
        <w:tc>
          <w:tcPr>
            <w:tcW w:type="dxa" w:w="2880"/>
          </w:tcPr>
          <w:p>
            <w:r>
              <w:t>api/data/onboarding/farm_q93tkj.json</w:t>
            </w:r>
          </w:p>
        </w:tc>
        <w:tc>
          <w:tcPr>
            <w:tcW w:type="dxa" w:w="2880"/>
          </w:tcPr>
          <w:p>
            <w:r>
              <w:t>파일 삭제</w:t>
            </w:r>
          </w:p>
        </w:tc>
        <w:tc>
          <w:tcPr>
            <w:tcW w:type="dxa" w:w="2880"/>
          </w:tcPr>
          <w:p>
            <w:r>
              <w:t>인코딩 깨진 파일, JSON 파싱 불가</w:t>
            </w:r>
          </w:p>
        </w:tc>
      </w:tr>
    </w:tbl>
    <w:p/>
    <w:p>
      <w:pPr>
        <w:pStyle w:val="Heading2"/>
      </w:pPr>
      <w:r>
        <w:rPr>
          <w:sz w:val="22"/>
        </w:rPr>
        <w:t>2.8 세션 프로세스 개선 (오후) — 커밋: 86a4c6f</w:t>
      </w:r>
    </w:p>
    <w:p>
      <w:pPr>
        <w:pStyle w:val="ListBullet"/>
      </w:pPr>
      <w:r>
        <w:t>Stop 훅 추가(.claude/settings.json): 세션 종료 시 agent가 git 상태 확인 후 NEXT.md 자동 갱신</w:t>
      </w:r>
    </w:p>
    <w:p>
      <w:pPr>
        <w:pStyle w:val="ListBullet"/>
      </w:pPr>
      <w:r>
        <w:t>NEXT.md 30줄 표준 압축: 완료 이력 14건 → archive/SESSIONS_2026-06.md 이관</w:t>
      </w:r>
    </w:p>
    <w:p>
      <w:pPr>
        <w:pStyle w:val="ListBullet"/>
      </w:pPr>
      <w:r>
        <w:t>includeGitInstructions: false 유지 — PR 생성 프로세스 세션에서 제외</w:t>
      </w:r>
    </w:p>
    <w:p>
      <w:pPr>
        <w:pStyle w:val="Heading1"/>
      </w:pPr>
      <w:r>
        <w:rPr>
          <w:color w:val="1F5C99"/>
          <w:sz w:val="26"/>
        </w:rPr>
        <w:t>3. 형상 관리 이력 (Git)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커밋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2880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86a4c6f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chore(session): NEXT.md 30줄 압축 + archive 이관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e1109fc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fix(data): PII 제거 — abc 테스트 계정·중복 농장 삭제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486de3d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fix(pcml): v3.0 도메인 키 기본값 보장 — Groq 재시도 후 누락 방지 [IPinsight]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8405430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feat(reports): StoreA 강제 인계 + 의존 보고서 컴팩션 이식 [IPinsight]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18457e5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feat(ref): 기자재·시공업체 공식 참조 데이터 + 재생성 파이프라인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05598f4</w:t>
            </w:r>
          </w:p>
        </w:tc>
        <w:tc>
          <w:tcPr>
            <w:tcW w:type="dxa" w:w="2880"/>
          </w:tcPr>
          <w:p>
            <w:r>
              <w:t>06-18</w:t>
            </w:r>
          </w:p>
        </w:tc>
        <w:tc>
          <w:tcPr>
            <w:tcW w:type="dxa" w:w="2880"/>
          </w:tcPr>
          <w:p>
            <w:r>
              <w:t>merge(c16): 장비추가 개선 — 불러오기 버튼·이기종 연계 분리·등록 버튼</w:t>
            </w:r>
          </w:p>
        </w:tc>
      </w:tr>
    </w:tbl>
    <w:p/>
    <w:p>
      <w:pPr>
        <w:pStyle w:val="Heading1"/>
      </w:pPr>
      <w:r>
        <w:rPr>
          <w:color w:val="1F5C99"/>
          <w:sz w:val="26"/>
        </w:rPr>
        <w:t>4. 검증</w:t>
      </w:r>
    </w:p>
    <w:p>
      <w:pPr>
        <w:pStyle w:val="ListBullet"/>
      </w:pPr>
      <w:r>
        <w:t>빌드 산출: vendor_products 312 / vendors 623 / construction 97 / 분류 5 — 정상 생성 확인</w:t>
      </w:r>
    </w:p>
    <w:p>
      <w:pPr>
        <w:pStyle w:val="ListBullet"/>
      </w:pPr>
      <w:r>
        <w:t>C16 화면: 로컬 200 응답, sw.js v51 서빙, 불러오기 버튼 존재 확인</w:t>
      </w:r>
    </w:p>
    <w:p>
      <w:pPr>
        <w:pStyle w:val="ListBullet"/>
      </w:pPr>
      <w:r>
        <w:t>IPinsight: 221개 테스트 통과 (Groq 429 재시도 후에도 안정 통과 확인)</w:t>
      </w:r>
    </w:p>
    <w:p>
      <w:pPr>
        <w:pStyle w:val="ListBullet"/>
      </w:pPr>
      <w:r>
        <w:t>NEXT.md: 30줄 이내 유지 확인 (wc -l = 30)</w:t>
      </w:r>
    </w:p>
    <w:p>
      <w:pPr>
        <w:pStyle w:val="ListBullet"/>
      </w:pPr>
      <w:r>
        <w:t>settings.json: JSON 유효성 확인, Stop 훅 type=agent 등록 확인</w:t>
      </w:r>
    </w:p>
    <w:p>
      <w:pPr>
        <w:pStyle w:val="ListBullet"/>
      </w:pPr>
      <w:r>
        <w:t>master 브랜치 최신 커밋: 86a4c6f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