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REACT Distress Override Pipeline</w:t>
      </w:r>
    </w:p>
    <w:p>
      <w:pPr>
        <w:spacing w:after="160"/>
      </w:pPr>
      <w:r>
        <w:rPr>
          <w:b/>
          <w:bCs/>
          <w:sz w:val="22"/>
          <w:szCs w:val="22"/>
        </w:rPr>
        <w:t xml:space="preserve">Protocol Section 11 — Baseline &amp; Momentary Overrides, End to End</w:t>
      </w:r>
    </w:p>
    <w:p>
      <w:pPr>
        <w:spacing w:after="160"/>
      </w:pPr>
      <w:r>
        <w:rPr>
          <w:i/>
          <w:iCs/>
          <w:color w:val="5B6472"/>
          <w:sz w:val="22"/>
          <w:szCs w:val="22"/>
        </w:rPr>
        <w:t xml:space="preserve">SMASH Research Lab · University of Florida · PI: Dr. Yonghwan Chang</w:t>
      </w:r>
    </w:p>
    <w:p>
      <w:pPr>
        <w:pStyle w:val="Heading1"/>
        <w:spacing w:after="120" w:before="360"/>
      </w:pPr>
      <w:r>
        <w:t xml:space="preserve">1. Purpose</w:t>
      </w:r>
    </w:p>
    <w:p>
      <w:pPr>
        <w:spacing w:after="160"/>
      </w:pPr>
      <w:r>
        <w:rPr>
          <w:sz w:val="22"/>
          <w:szCs w:val="22"/>
        </w:rPr>
        <w:t xml:space="preserve">The distress override is the mechanism that keeps a coping prompt from ever reaching a participant who has just screened positive for distress, and shows them support resources instead. It has two independent sources that can raise a flag, one shared suppression point inside the JITAI decision engine that reads any active flag, and one participant-facing surface — the in-app resource card — that shows whenever a flag is active. This document traces the whole path end to end, file by file, as implemented as of 2026-09-23.</w:t>
      </w:r>
    </w:p>
    <w:p>
      <w:pPr>
        <w:spacing w:after="160"/>
      </w:pPr>
      <w:r>
        <w:rPr>
          <w:sz w:val="22"/>
          <w:szCs w:val="22"/>
        </w:rPr>
        <w:t xml:space="preserve">It is deliberately kept separate from </w:t>
      </w:r>
      <w:r>
        <w:rPr>
          <w:rFonts w:ascii="Courier New" w:cs="Courier New" w:eastAsia="Courier New" w:hAnsi="Courier New"/>
          <w:sz w:val="20"/>
          <w:szCs w:val="20"/>
        </w:rPr>
        <w:t xml:space="preserve">ROUTING_TRIGGER_RULES</w:t>
      </w:r>
      <w:r>
        <w:rPr>
          <w:sz w:val="22"/>
          <w:szCs w:val="22"/>
        </w:rPr>
        <w:t xml:space="preserve"> (</w:t>
      </w:r>
      <w:r>
        <w:rPr>
          <w:rFonts w:ascii="Courier New" w:cs="Courier New" w:eastAsia="Courier New" w:hAnsi="Courier New"/>
          <w:sz w:val="20"/>
          <w:szCs w:val="20"/>
        </w:rPr>
        <w:t xml:space="preserve">backend/app/ema_catalog.py</w:t>
      </w:r>
      <w:r>
        <w:rPr>
          <w:sz w:val="22"/>
          <w:szCs w:val="22"/>
        </w:rPr>
        <w:t xml:space="preserve">), the already-approved, frozen mechanism that picks which coping-message </w:t>
      </w:r>
      <w:r>
        <w:rPr>
          <w:i/>
          <w:iCs/>
          <w:sz w:val="22"/>
          <w:szCs w:val="22"/>
        </w:rPr>
        <w:t xml:space="preserve">topic</w:t>
      </w:r>
      <w:r>
        <w:rPr>
          <w:sz w:val="22"/>
          <w:szCs w:val="22"/>
        </w:rPr>
        <w:t xml:space="preserve"> to send. Both read the same raw check-in items, but the override uses stricter, exact-value cutoffs and its only job is to stop a send altogether — it never influences which message would have been chosen.</w:t>
      </w:r>
    </w:p>
    <w:p>
      <w:pPr>
        <w:pStyle w:val="Heading1"/>
        <w:spacing w:after="120" w:before="360"/>
      </w:pPr>
      <w:r>
        <w:t xml:space="preserve">2. Two Flag Sources, One Model</w:t>
      </w:r>
    </w:p>
    <w:p>
      <w:pPr>
        <w:spacing w:after="160"/>
      </w:pPr>
      <w:r>
        <w:rPr>
          <w:sz w:val="22"/>
          <w:szCs w:val="22"/>
        </w:rPr>
        <w:t xml:space="preserve">Every flag is a row in </w:t>
      </w:r>
      <w:r>
        <w:rPr>
          <w:rFonts w:ascii="Courier New" w:cs="Courier New" w:eastAsia="Courier New" w:hAnsi="Courier New"/>
          <w:sz w:val="20"/>
          <w:szCs w:val="20"/>
        </w:rPr>
        <w:t xml:space="preserve">DistressFlag</w:t>
      </w:r>
      <w:r>
        <w:rPr>
          <w:sz w:val="22"/>
          <w:szCs w:val="22"/>
        </w:rPr>
        <w:t xml:space="preserve"> (</w:t>
      </w:r>
      <w:r>
        <w:rPr>
          <w:rFonts w:ascii="Courier New" w:cs="Courier New" w:eastAsia="Courier New" w:hAnsi="Courier New"/>
          <w:sz w:val="20"/>
          <w:szCs w:val="20"/>
        </w:rPr>
        <w:t xml:space="preserve">backend/app/models.py</w:t>
      </w:r>
      <w:r>
        <w:rPr>
          <w:sz w:val="22"/>
          <w:szCs w:val="22"/>
        </w:rPr>
        <w:t xml:space="preserve">), distinguished by </w:t>
      </w:r>
      <w:r>
        <w:rPr>
          <w:rFonts w:ascii="Courier New" w:cs="Courier New" w:eastAsia="Courier New" w:hAnsi="Courier New"/>
          <w:sz w:val="20"/>
          <w:szCs w:val="20"/>
        </w:rPr>
        <w:t xml:space="preserve">source</w:t>
      </w:r>
      <w:r>
        <w:rPr>
          <w:sz w:val="22"/>
          <w:szCs w:val="22"/>
        </w:rPr>
        <w:t xml:space="preserve">. Both sources feed the same suppression logic and the same resource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shd w:fill="DCE6F1" w:color="auto" w:val="clear"/>
            <w:tcMar>
              <w:top w:type="dxa" w:w="80"/>
              <w:left w:type="dxa" w:w="100"/>
              <w:bottom w:type="dxa" w:w="80"/>
              <w:right w:type="dxa" w:w="100"/>
            </w:tcMar>
          </w:tcPr>
          <w:p>
            <w:r>
              <w:rPr>
                <w:b/>
                <w:bCs/>
                <w:sz w:val="22"/>
                <w:szCs w:val="22"/>
              </w:rPr>
              <w:t xml:space="preserve"/>
            </w:r>
          </w:p>
        </w:tc>
        <w:tc>
          <w:tcPr>
            <w:tcW w:type="dxa" w:w="3880"/>
            <w:shd w:fill="DCE6F1" w:color="auto" w:val="clear"/>
            <w:tcMar>
              <w:top w:type="dxa" w:w="80"/>
              <w:left w:type="dxa" w:w="100"/>
              <w:bottom w:type="dxa" w:w="80"/>
              <w:right w:type="dxa" w:w="100"/>
            </w:tcMar>
          </w:tcPr>
          <w:p>
            <w:r>
              <w:rPr>
                <w:b/>
                <w:bCs/>
                <w:sz w:val="22"/>
                <w:szCs w:val="22"/>
              </w:rPr>
              <w:t xml:space="preserve">baseline</w:t>
            </w:r>
          </w:p>
        </w:tc>
        <w:tc>
          <w:tcPr>
            <w:tcW w:type="dxa" w:w="3880"/>
            <w:shd w:fill="DCE6F1" w:color="auto" w:val="clear"/>
            <w:tcMar>
              <w:top w:type="dxa" w:w="80"/>
              <w:left w:type="dxa" w:w="100"/>
              <w:bottom w:type="dxa" w:w="80"/>
              <w:right w:type="dxa" w:w="100"/>
            </w:tcMar>
          </w:tcPr>
          <w:p>
            <w:r>
              <w:rPr>
                <w:b/>
                <w:bCs/>
                <w:sz w:val="22"/>
                <w:szCs w:val="22"/>
              </w:rPr>
              <w:t xml:space="preserve">momentary</w:t>
            </w:r>
          </w:p>
        </w:tc>
      </w:tr>
      <w:tr>
        <w:tc>
          <w:tcPr>
            <w:tcW w:type="dxa" w:w="1600"/>
            <w:tcMar>
              <w:top w:type="dxa" w:w="80"/>
              <w:left w:type="dxa" w:w="100"/>
              <w:bottom w:type="dxa" w:w="80"/>
              <w:right w:type="dxa" w:w="100"/>
            </w:tcMar>
          </w:tcPr>
          <w:p>
            <w:r>
              <w:rPr>
                <w:b/>
                <w:bCs/>
                <w:sz w:val="22"/>
                <w:szCs w:val="22"/>
              </w:rPr>
              <w:t xml:space="preserve">Raised from</w:t>
            </w:r>
          </w:p>
        </w:tc>
        <w:tc>
          <w:tcPr>
            <w:tcW w:type="dxa" w:w="3880"/>
            <w:tcMar>
              <w:top w:type="dxa" w:w="80"/>
              <w:left w:type="dxa" w:w="100"/>
              <w:bottom w:type="dxa" w:w="80"/>
              <w:right w:type="dxa" w:w="100"/>
            </w:tcMar>
          </w:tcPr>
          <w:p>
            <w:r>
              <w:rPr>
                <w:sz w:val="22"/>
                <w:szCs w:val="22"/>
              </w:rPr>
              <w:t xml:space="preserve">A once-per-participant Qualtrics screening survey</w:t>
            </w:r>
          </w:p>
        </w:tc>
        <w:tc>
          <w:tcPr>
            <w:tcW w:type="dxa" w:w="3880"/>
            <w:tcMar>
              <w:top w:type="dxa" w:w="80"/>
              <w:left w:type="dxa" w:w="100"/>
              <w:bottom w:type="dxa" w:w="80"/>
              <w:right w:type="dxa" w:w="100"/>
            </w:tcMar>
          </w:tcPr>
          <w:p>
            <w:r>
              <w:rPr>
                <w:sz w:val="22"/>
                <w:szCs w:val="22"/>
              </w:rPr>
              <w:t xml:space="preserve">Any in-app check-in, every time one is submitted</w:t>
            </w:r>
          </w:p>
        </w:tc>
      </w:tr>
      <w:tr>
        <w:tc>
          <w:tcPr>
            <w:tcW w:type="dxa" w:w="1600"/>
            <w:tcMar>
              <w:top w:type="dxa" w:w="80"/>
              <w:left w:type="dxa" w:w="100"/>
              <w:bottom w:type="dxa" w:w="80"/>
              <w:right w:type="dxa" w:w="100"/>
            </w:tcMar>
          </w:tcPr>
          <w:p>
            <w:r>
              <w:rPr>
                <w:b/>
                <w:bCs/>
                <w:sz w:val="22"/>
                <w:szCs w:val="22"/>
              </w:rPr>
              <w:t xml:space="preserve">Raised by</w:t>
            </w:r>
          </w:p>
        </w:tc>
        <w:tc>
          <w:tcPr>
            <w:tcW w:type="dxa" w:w="3880"/>
            <w:tcMar>
              <w:top w:type="dxa" w:w="80"/>
              <w:left w:type="dxa" w:w="100"/>
              <w:bottom w:type="dxa" w:w="80"/>
              <w:right w:type="dxa" w:w="100"/>
            </w:tcMar>
          </w:tcPr>
          <w:p>
            <w:r>
              <w:rPr>
                <w:rFonts w:ascii="Courier New" w:cs="Courier New" w:eastAsia="Courier New" w:hAnsi="Courier New"/>
                <w:sz w:val="20"/>
                <w:szCs w:val="20"/>
              </w:rPr>
              <w:t xml:space="preserve">manage.py import_baseline_distress_flags</w:t>
            </w:r>
            <w:r>
              <w:rPr>
                <w:sz w:val="22"/>
                <w:szCs w:val="22"/>
              </w:rPr>
              <w:t xml:space="preserve">, or a staff member directly in Django Admin</w:t>
            </w:r>
          </w:p>
        </w:tc>
        <w:tc>
          <w:tcPr>
            <w:tcW w:type="dxa" w:w="3880"/>
            <w:tcMar>
              <w:top w:type="dxa" w:w="80"/>
              <w:left w:type="dxa" w:w="100"/>
              <w:bottom w:type="dxa" w:w="80"/>
              <w:right w:type="dxa" w:w="100"/>
            </w:tcMar>
          </w:tcPr>
          <w:p>
            <w:r>
              <w:rPr>
                <w:rFonts w:ascii="Courier New" w:cs="Courier New" w:eastAsia="Courier New" w:hAnsi="Courier New"/>
                <w:sz w:val="20"/>
                <w:szCs w:val="20"/>
              </w:rPr>
              <w:t xml:space="preserve">raise_momentary_flag()</w:t>
            </w:r>
            <w:r>
              <w:rPr>
                <w:sz w:val="22"/>
                <w:szCs w:val="22"/>
              </w:rPr>
              <w:t xml:space="preserve"> inside </w:t>
            </w:r>
            <w:r>
              <w:rPr>
                <w:rFonts w:ascii="Courier New" w:cs="Courier New" w:eastAsia="Courier New" w:hAnsi="Courier New"/>
                <w:sz w:val="20"/>
                <w:szCs w:val="20"/>
              </w:rPr>
              <w:t xml:space="preserve">POST /ema/responses/</w:t>
            </w:r>
          </w:p>
        </w:tc>
      </w:tr>
      <w:tr>
        <w:tc>
          <w:tcPr>
            <w:tcW w:type="dxa" w:w="1600"/>
            <w:tcMar>
              <w:top w:type="dxa" w:w="80"/>
              <w:left w:type="dxa" w:w="100"/>
              <w:bottom w:type="dxa" w:w="80"/>
              <w:right w:type="dxa" w:w="100"/>
            </w:tcMar>
          </w:tcPr>
          <w:p>
            <w:r>
              <w:rPr>
                <w:b/>
                <w:bCs/>
                <w:sz w:val="22"/>
                <w:szCs w:val="22"/>
              </w:rPr>
              <w:t xml:space="preserve">Signals</w:t>
            </w:r>
          </w:p>
        </w:tc>
        <w:tc>
          <w:tcPr>
            <w:tcW w:type="dxa" w:w="3880"/>
            <w:tcMar>
              <w:top w:type="dxa" w:w="80"/>
              <w:left w:type="dxa" w:w="100"/>
              <w:bottom w:type="dxa" w:w="80"/>
              <w:right w:type="dxa" w:w="100"/>
            </w:tcMar>
          </w:tcPr>
          <w:p>
            <w:r>
              <w:rPr>
                <w:sz w:val="22"/>
                <w:szCs w:val="22"/>
              </w:rPr>
              <w:t xml:space="preserve">6 automated + 1 manual-only (7 total)</w:t>
            </w:r>
          </w:p>
        </w:tc>
        <w:tc>
          <w:tcPr>
            <w:tcW w:type="dxa" w:w="3880"/>
            <w:tcMar>
              <w:top w:type="dxa" w:w="80"/>
              <w:left w:type="dxa" w:w="100"/>
              <w:bottom w:type="dxa" w:w="80"/>
              <w:right w:type="dxa" w:w="100"/>
            </w:tcMar>
          </w:tcPr>
          <w:p>
            <w:r>
              <w:rPr>
                <w:sz w:val="22"/>
                <w:szCs w:val="22"/>
              </w:rPr>
              <w:t xml:space="preserve">4, independently reportable</w:t>
            </w:r>
          </w:p>
        </w:tc>
      </w:tr>
      <w:tr>
        <w:tc>
          <w:tcPr>
            <w:tcW w:type="dxa" w:w="1600"/>
            <w:tcMar>
              <w:top w:type="dxa" w:w="80"/>
              <w:left w:type="dxa" w:w="100"/>
              <w:bottom w:type="dxa" w:w="80"/>
              <w:right w:type="dxa" w:w="100"/>
            </w:tcMar>
          </w:tcPr>
          <w:p>
            <w:r>
              <w:rPr>
                <w:b/>
                <w:bCs/>
                <w:sz w:val="22"/>
                <w:szCs w:val="22"/>
              </w:rPr>
              <w:t xml:space="preserve">Becomes inactive</w:t>
            </w:r>
          </w:p>
        </w:tc>
        <w:tc>
          <w:tcPr>
            <w:tcW w:type="dxa" w:w="3880"/>
            <w:tcMar>
              <w:top w:type="dxa" w:w="80"/>
              <w:left w:type="dxa" w:w="100"/>
              <w:bottom w:type="dxa" w:w="80"/>
              <w:right w:type="dxa" w:w="100"/>
            </w:tcMar>
          </w:tcPr>
          <w:p>
            <w:r>
              <w:rPr>
                <w:sz w:val="22"/>
                <w:szCs w:val="22"/>
              </w:rPr>
              <w:t xml:space="preserve">When staff mark contact documented (Django Admin action)</w:t>
            </w:r>
          </w:p>
        </w:tc>
        <w:tc>
          <w:tcPr>
            <w:tcW w:type="dxa" w:w="3880"/>
            <w:tcMar>
              <w:top w:type="dxa" w:w="80"/>
              <w:left w:type="dxa" w:w="100"/>
              <w:bottom w:type="dxa" w:w="80"/>
              <w:right w:type="dxa" w:w="100"/>
            </w:tcMar>
          </w:tcPr>
          <w:p>
            <w:r>
              <w:rPr>
                <w:sz w:val="22"/>
                <w:szCs w:val="22"/>
              </w:rPr>
              <w:t xml:space="preserve">Automatically, 24h after being raised</w:t>
            </w:r>
          </w:p>
        </w:tc>
      </w:tr>
      <w:tr>
        <w:tc>
          <w:tcPr>
            <w:tcW w:type="dxa" w:w="1600"/>
            <w:tcMar>
              <w:top w:type="dxa" w:w="80"/>
              <w:left w:type="dxa" w:w="100"/>
              <w:bottom w:type="dxa" w:w="80"/>
              <w:right w:type="dxa" w:w="100"/>
            </w:tcMar>
          </w:tcPr>
          <w:p>
            <w:r>
              <w:rPr>
                <w:b/>
                <w:bCs/>
                <w:sz w:val="22"/>
                <w:szCs w:val="22"/>
              </w:rPr>
              <w:t xml:space="preserve">Linked to a check-in?</w:t>
            </w:r>
          </w:p>
        </w:tc>
        <w:tc>
          <w:tcPr>
            <w:tcW w:type="dxa" w:w="3880"/>
            <w:tcMar>
              <w:top w:type="dxa" w:w="80"/>
              <w:left w:type="dxa" w:w="100"/>
              <w:bottom w:type="dxa" w:w="80"/>
              <w:right w:type="dxa" w:w="100"/>
            </w:tcMar>
          </w:tcPr>
          <w:p>
            <w:r>
              <w:rPr>
                <w:rFonts w:ascii="Courier New" w:cs="Courier New" w:eastAsia="Courier New" w:hAnsi="Courier New"/>
                <w:sz w:val="20"/>
                <w:szCs w:val="20"/>
              </w:rPr>
              <w:t xml:space="preserve">ema</w:t>
            </w:r>
            <w:r>
              <w:rPr>
                <w:sz w:val="22"/>
                <w:szCs w:val="22"/>
              </w:rPr>
              <w:t xml:space="preserve"> is null — not tied to one</w:t>
            </w:r>
          </w:p>
        </w:tc>
        <w:tc>
          <w:tcPr>
            <w:tcW w:type="dxa" w:w="3880"/>
            <w:tcMar>
              <w:top w:type="dxa" w:w="80"/>
              <w:left w:type="dxa" w:w="100"/>
              <w:bottom w:type="dxa" w:w="80"/>
              <w:right w:type="dxa" w:w="100"/>
            </w:tcMar>
          </w:tcPr>
          <w:p>
            <w:r>
              <w:rPr>
                <w:rFonts w:ascii="Courier New" w:cs="Courier New" w:eastAsia="Courier New" w:hAnsi="Courier New"/>
                <w:sz w:val="20"/>
                <w:szCs w:val="20"/>
              </w:rPr>
              <w:t xml:space="preserve">ema</w:t>
            </w:r>
            <w:r>
              <w:rPr>
                <w:sz w:val="22"/>
                <w:szCs w:val="22"/>
              </w:rPr>
              <w:t xml:space="preserve"> points at the check-in that raised it</w:t>
            </w:r>
          </w:p>
        </w:tc>
      </w:tr>
    </w:tbl>
    <w:p>
      <w:pPr>
        <w:pStyle w:val="Heading1"/>
        <w:spacing w:after="120" w:before="360"/>
      </w:pPr>
      <w:r>
        <w:t xml:space="preserve">3. Baseline Path</w:t>
      </w:r>
    </w:p>
    <w:p>
      <w:pPr>
        <w:spacing w:after="160"/>
      </w:pPr>
      <w:r>
        <w:rPr>
          <w:b/>
          <w:bCs/>
          <w:sz w:val="22"/>
          <w:szCs w:val="22"/>
        </w:rPr>
        <w:t xml:space="preserve">3.1 Scoring the export</w:t>
      </w:r>
    </w:p>
    <w:p>
      <w:pPr>
        <w:spacing w:after="160"/>
      </w:pPr>
      <w:r>
        <w:rPr>
          <w:sz w:val="22"/>
          <w:szCs w:val="22"/>
        </w:rPr>
        <w:t xml:space="preserve">The Qualtrics export is scored offline in </w:t>
      </w:r>
      <w:r>
        <w:rPr>
          <w:rFonts w:ascii="Courier New" w:cs="Courier New" w:eastAsia="Courier New" w:hAnsi="Courier New"/>
          <w:sz w:val="20"/>
          <w:szCs w:val="20"/>
        </w:rPr>
        <w:t xml:space="preserve">analytics/baseline_survey_scoring/</w:t>
      </w:r>
      <w:r>
        <w:rPr>
          <w:sz w:val="22"/>
          <w:szCs w:val="22"/>
        </w:rPr>
        <w:t xml:space="preserve">. </w:t>
      </w:r>
      <w:r>
        <w:rPr>
          <w:rFonts w:ascii="Courier New" w:cs="Courier New" w:eastAsia="Courier New" w:hAnsi="Courier New"/>
          <w:sz w:val="20"/>
          <w:szCs w:val="20"/>
        </w:rPr>
        <w:t xml:space="preserve">scoring.py</w:t>
      </w:r>
      <w:r>
        <w:rPr>
          <w:sz w:val="22"/>
          <w:szCs w:val="22"/>
        </w:rPr>
        <w:t xml:space="preserve"> computes six automated Section 11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DCE6F1" w:color="auto" w:val="clear"/>
            <w:tcMar>
              <w:top w:type="dxa" w:w="80"/>
              <w:left w:type="dxa" w:w="100"/>
              <w:bottom w:type="dxa" w:w="80"/>
              <w:right w:type="dxa" w:w="100"/>
            </w:tcMar>
          </w:tcPr>
          <w:p>
            <w:r>
              <w:rPr>
                <w:b/>
                <w:bCs/>
                <w:sz w:val="22"/>
                <w:szCs w:val="22"/>
              </w:rPr>
              <w:t xml:space="preserve">Signal code</w:t>
            </w:r>
          </w:p>
        </w:tc>
        <w:tc>
          <w:tcPr>
            <w:tcW w:type="dxa" w:w="2600"/>
            <w:shd w:fill="DCE6F1" w:color="auto" w:val="clear"/>
            <w:tcMar>
              <w:top w:type="dxa" w:w="80"/>
              <w:left w:type="dxa" w:w="100"/>
              <w:bottom w:type="dxa" w:w="80"/>
              <w:right w:type="dxa" w:w="100"/>
            </w:tcMar>
          </w:tcPr>
          <w:p>
            <w:r>
              <w:rPr>
                <w:b/>
                <w:bCs/>
                <w:sz w:val="22"/>
                <w:szCs w:val="22"/>
              </w:rPr>
              <w:t xml:space="preserve">Source column</w:t>
            </w:r>
          </w:p>
        </w:tc>
        <w:tc>
          <w:tcPr>
            <w:tcW w:type="dxa" w:w="4160"/>
            <w:shd w:fill="DCE6F1" w:color="auto" w:val="clear"/>
            <w:tcMar>
              <w:top w:type="dxa" w:w="80"/>
              <w:left w:type="dxa" w:w="100"/>
              <w:bottom w:type="dxa" w:w="80"/>
              <w:right w:type="dxa" w:w="100"/>
            </w:tcMar>
          </w:tcPr>
          <w:p>
            <w:r>
              <w:rPr>
                <w:b/>
                <w:bCs/>
                <w:sz w:val="22"/>
                <w:szCs w:val="22"/>
              </w:rPr>
              <w:t xml:space="preserve">Condition</w:t>
            </w:r>
          </w:p>
        </w:tc>
      </w:tr>
      <w:tr>
        <w:tc>
          <w:tcPr>
            <w:tcW w:type="dxa" w:w="2600"/>
            <w:tcMar>
              <w:top w:type="dxa" w:w="80"/>
              <w:left w:type="dxa" w:w="100"/>
              <w:bottom w:type="dxa" w:w="80"/>
              <w:right w:type="dxa" w:w="100"/>
            </w:tcMar>
          </w:tcPr>
          <w:p>
            <w:r>
              <w:rPr>
                <w:sz w:val="22"/>
                <w:szCs w:val="22"/>
              </w:rPr>
              <w:t xml:space="preserve">phq9_self_harm</w:t>
            </w:r>
          </w:p>
        </w:tc>
        <w:tc>
          <w:tcPr>
            <w:tcW w:type="dxa" w:w="2600"/>
            <w:tcMar>
              <w:top w:type="dxa" w:w="80"/>
              <w:left w:type="dxa" w:w="100"/>
              <w:bottom w:type="dxa" w:w="80"/>
              <w:right w:type="dxa" w:w="100"/>
            </w:tcMar>
          </w:tcPr>
          <w:p>
            <w:r>
              <w:rPr>
                <w:sz w:val="22"/>
                <w:szCs w:val="22"/>
              </w:rPr>
              <w:t xml:space="default"/>
            </w:r>
          </w:p>
        </w:tc>
        <w:tc>
          <w:tcPr>
            <w:tcW w:type="dxa" w:w="4160"/>
            <w:tcMar>
              <w:top w:type="dxa" w:w="80"/>
              <w:left w:type="dxa" w:w="100"/>
              <w:bottom w:type="dxa" w:w="80"/>
              <w:right w:type="dxa" w:w="100"/>
            </w:tcMar>
          </w:tcPr>
          <w:p>
            <w:r>
              <w:rPr>
                <w:rFonts w:ascii="Courier New" w:cs="Courier New" w:eastAsia="Courier New" w:hAnsi="Courier New"/>
                <w:sz w:val="20"/>
                <w:szCs w:val="20"/>
              </w:rPr>
              <w:t xml:space="preserve">phq9_9</w:t>
            </w:r>
            <w:r>
              <w:rPr>
                <w:sz w:val="22"/>
                <w:szCs w:val="22"/>
              </w:rPr>
              <w:t xml:space="preserve"> (self-harm item) nonzero, alone — never summed with the rest of the total</w:t>
            </w:r>
          </w:p>
        </w:tc>
      </w:tr>
      <w:tr>
        <w:tc>
          <w:tcPr>
            <w:tcW w:type="dxa" w:w="2600"/>
            <w:tcMar>
              <w:top w:type="dxa" w:w="80"/>
              <w:left w:type="dxa" w:w="100"/>
              <w:bottom w:type="dxa" w:w="80"/>
              <w:right w:type="dxa" w:w="100"/>
            </w:tcMar>
          </w:tcPr>
          <w:p>
            <w:r>
              <w:rPr>
                <w:sz w:val="22"/>
                <w:szCs w:val="22"/>
              </w:rPr>
              <w:t xml:space="preserve">phq9_severity</w:t>
            </w:r>
          </w:p>
        </w:tc>
        <w:tc>
          <w:tcPr>
            <w:tcW w:type="dxa" w:w="2600"/>
            <w:tcMar>
              <w:top w:type="dxa" w:w="80"/>
              <w:left w:type="dxa" w:w="100"/>
              <w:bottom w:type="dxa" w:w="80"/>
              <w:right w:type="dxa" w:w="100"/>
            </w:tcMar>
          </w:tcPr>
          <w:p>
            <w:r>
              <w:rPr>
                <w:sz w:val="22"/>
                <w:szCs w:val="22"/>
              </w:rPr>
              <w:t xml:space="default"/>
            </w:r>
          </w:p>
        </w:tc>
        <w:tc>
          <w:tcPr>
            <w:tcW w:type="dxa" w:w="4160"/>
            <w:tcMar>
              <w:top w:type="dxa" w:w="80"/>
              <w:left w:type="dxa" w:w="100"/>
              <w:bottom w:type="dxa" w:w="80"/>
              <w:right w:type="dxa" w:w="100"/>
            </w:tcMar>
          </w:tcPr>
          <w:p>
            <w:r>
              <w:rPr>
                <w:sz w:val="22"/>
                <w:szCs w:val="22"/>
              </w:rPr>
              <w:t xml:space="preserve">PHQ-9 total ≥ 15 (moderately severe / severe band)</w:t>
            </w:r>
          </w:p>
        </w:tc>
      </w:tr>
      <w:tr>
        <w:tc>
          <w:tcPr>
            <w:tcW w:type="dxa" w:w="2600"/>
            <w:tcMar>
              <w:top w:type="dxa" w:w="80"/>
              <w:left w:type="dxa" w:w="100"/>
              <w:bottom w:type="dxa" w:w="80"/>
              <w:right w:type="dxa" w:w="100"/>
            </w:tcMar>
          </w:tcPr>
          <w:p>
            <w:r>
              <w:rPr>
                <w:sz w:val="22"/>
                <w:szCs w:val="22"/>
              </w:rPr>
              <w:t xml:space="preserve">scoff</w:t>
            </w:r>
          </w:p>
        </w:tc>
        <w:tc>
          <w:tcPr>
            <w:tcW w:type="dxa" w:w="2600"/>
            <w:tcMar>
              <w:top w:type="dxa" w:w="80"/>
              <w:left w:type="dxa" w:w="100"/>
              <w:bottom w:type="dxa" w:w="80"/>
              <w:right w:type="dxa" w:w="100"/>
            </w:tcMar>
          </w:tcPr>
          <w:p>
            <w:r>
              <w:rPr>
                <w:sz w:val="22"/>
                <w:szCs w:val="22"/>
              </w:rPr>
              <w:t xml:space="default"/>
            </w:r>
          </w:p>
        </w:tc>
        <w:tc>
          <w:tcPr>
            <w:tcW w:type="dxa" w:w="4160"/>
            <w:tcMar>
              <w:top w:type="dxa" w:w="80"/>
              <w:left w:type="dxa" w:w="100"/>
              <w:bottom w:type="dxa" w:w="80"/>
              <w:right w:type="dxa" w:w="100"/>
            </w:tcMar>
          </w:tcPr>
          <w:p>
            <w:r>
              <w:rPr>
                <w:sz w:val="22"/>
                <w:szCs w:val="22"/>
              </w:rPr>
              <w:t xml:space="preserve">SCOFF total ≥ 2</w:t>
            </w:r>
          </w:p>
        </w:tc>
      </w:tr>
      <w:tr>
        <w:tc>
          <w:tcPr>
            <w:tcW w:type="dxa" w:w="2600"/>
            <w:tcMar>
              <w:top w:type="dxa" w:w="80"/>
              <w:left w:type="dxa" w:w="100"/>
              <w:bottom w:type="dxa" w:w="80"/>
              <w:right w:type="dxa" w:w="100"/>
            </w:tcMar>
          </w:tcPr>
          <w:p>
            <w:r>
              <w:rPr>
                <w:sz w:val="22"/>
                <w:szCs w:val="22"/>
              </w:rPr>
              <w:t xml:space="preserve">audit_c</w:t>
            </w:r>
          </w:p>
        </w:tc>
        <w:tc>
          <w:tcPr>
            <w:tcW w:type="dxa" w:w="2600"/>
            <w:tcMar>
              <w:top w:type="dxa" w:w="80"/>
              <w:left w:type="dxa" w:w="100"/>
              <w:bottom w:type="dxa" w:w="80"/>
              <w:right w:type="dxa" w:w="100"/>
            </w:tcMar>
          </w:tcPr>
          <w:p>
            <w:r>
              <w:rPr>
                <w:sz w:val="22"/>
                <w:szCs w:val="22"/>
              </w:rPr>
              <w:t xml:space="default"/>
            </w:r>
          </w:p>
        </w:tc>
        <w:tc>
          <w:tcPr>
            <w:tcW w:type="dxa" w:w="4160"/>
            <w:tcMar>
              <w:top w:type="dxa" w:w="80"/>
              <w:left w:type="dxa" w:w="100"/>
              <w:bottom w:type="dxa" w:w="80"/>
              <w:right w:type="dxa" w:w="100"/>
            </w:tcMar>
          </w:tcPr>
          <w:p>
            <w:r>
              <w:rPr>
                <w:sz w:val="22"/>
                <w:szCs w:val="22"/>
              </w:rPr>
              <w:t xml:space="preserve">Gender-conditional AUDIT-C high-risk cutoff</w:t>
            </w:r>
          </w:p>
        </w:tc>
      </w:tr>
      <w:tr>
        <w:tc>
          <w:tcPr>
            <w:tcW w:type="dxa" w:w="2600"/>
            <w:tcMar>
              <w:top w:type="dxa" w:w="80"/>
              <w:left w:type="dxa" w:w="100"/>
              <w:bottom w:type="dxa" w:w="80"/>
              <w:right w:type="dxa" w:w="100"/>
            </w:tcMar>
          </w:tcPr>
          <w:p>
            <w:r>
              <w:rPr>
                <w:sz w:val="22"/>
                <w:szCs w:val="22"/>
              </w:rPr>
              <w:t xml:space="preserve">problem_gambling</w:t>
            </w:r>
          </w:p>
        </w:tc>
        <w:tc>
          <w:tcPr>
            <w:tcW w:type="dxa" w:w="2600"/>
            <w:tcMar>
              <w:top w:type="dxa" w:w="80"/>
              <w:left w:type="dxa" w:w="100"/>
              <w:bottom w:type="dxa" w:w="80"/>
              <w:right w:type="dxa" w:w="100"/>
            </w:tcMar>
          </w:tcPr>
          <w:p>
            <w:r>
              <w:rPr>
                <w:sz w:val="22"/>
                <w:szCs w:val="22"/>
              </w:rPr>
              <w:t xml:space="default"/>
            </w:r>
          </w:p>
        </w:tc>
        <w:tc>
          <w:tcPr>
            <w:tcW w:type="dxa" w:w="4160"/>
            <w:tcMar>
              <w:top w:type="dxa" w:w="80"/>
              <w:left w:type="dxa" w:w="100"/>
              <w:bottom w:type="dxa" w:w="80"/>
              <w:right w:type="dxa" w:w="100"/>
            </w:tcMar>
          </w:tcPr>
          <w:p>
            <w:r>
              <w:rPr>
                <w:sz w:val="22"/>
                <w:szCs w:val="22"/>
              </w:rPr>
              <w:t xml:space="preserve">PGSI total ≥ 8 (reuses the existing "problem gambling" band, not a new threshold)</w:t>
            </w:r>
          </w:p>
        </w:tc>
      </w:tr>
      <w:tr>
        <w:tc>
          <w:tcPr>
            <w:tcW w:type="dxa" w:w="2600"/>
            <w:tcMar>
              <w:top w:type="dxa" w:w="80"/>
              <w:left w:type="dxa" w:w="100"/>
              <w:bottom w:type="dxa" w:w="80"/>
              <w:right w:type="dxa" w:w="100"/>
            </w:tcMar>
          </w:tcPr>
          <w:p>
            <w:r>
              <w:rPr>
                <w:sz w:val="22"/>
                <w:szCs w:val="22"/>
              </w:rPr>
              <w:t xml:space="preserve">food_insecurity</w:t>
            </w:r>
          </w:p>
        </w:tc>
        <w:tc>
          <w:tcPr>
            <w:tcW w:type="dxa" w:w="2600"/>
            <w:tcMar>
              <w:top w:type="dxa" w:w="80"/>
              <w:left w:type="dxa" w:w="100"/>
              <w:bottom w:type="dxa" w:w="80"/>
              <w:right w:type="dxa" w:w="100"/>
            </w:tcMar>
          </w:tcPr>
          <w:p>
            <w:r>
              <w:rPr>
                <w:sz w:val="22"/>
                <w:szCs w:val="22"/>
              </w:rPr>
              <w:t xml:space="default"/>
            </w:r>
          </w:p>
        </w:tc>
        <w:tc>
          <w:tcPr>
            <w:tcW w:type="dxa" w:w="4160"/>
            <w:tcMar>
              <w:top w:type="dxa" w:w="80"/>
              <w:left w:type="dxa" w:w="100"/>
              <w:bottom w:type="dxa" w:w="80"/>
              <w:right w:type="dxa" w:w="100"/>
            </w:tcMar>
          </w:tcPr>
          <w:p>
            <w:r>
              <w:rPr>
                <w:sz w:val="22"/>
                <w:szCs w:val="22"/>
              </w:rPr>
              <w:t xml:space="preserve">Either Hunger Vital Sign item at "Sometimes" or "Often"</w:t>
            </w:r>
          </w:p>
        </w:tc>
      </w:tr>
    </w:tbl>
    <w:p>
      <w:pPr>
        <w:spacing w:after="160"/>
      </w:pPr>
      <w:r>
        <w:rPr>
          <w:sz w:val="22"/>
          <w:szCs w:val="22"/>
        </w:rPr>
        <w:t xml:space="preserve">A seventh signal, </w:t>
      </w:r>
      <w:r>
        <w:rPr>
          <w:rFonts w:ascii="Courier New" w:cs="Courier New" w:eastAsia="Courier New" w:hAnsi="Courier New"/>
          <w:sz w:val="20"/>
          <w:szCs w:val="20"/>
        </w:rPr>
        <w:t xml:space="preserve">free_text_risk</w:t>
      </w:r>
      <w:r>
        <w:rPr>
          <w:sz w:val="22"/>
          <w:szCs w:val="22"/>
        </w:rPr>
        <w:t xml:space="preserve"> (any free-text disclosure of risk to self or others), has no source column anywhere in the pipeline — </w:t>
      </w:r>
      <w:r>
        <w:rPr>
          <w:rFonts w:ascii="Courier New" w:cs="Courier New" w:eastAsia="Courier New" w:hAnsi="Courier New"/>
          <w:sz w:val="20"/>
          <w:szCs w:val="20"/>
        </w:rPr>
        <w:t xml:space="preserve">definitions.py</w:t>
      </w:r>
      <w:r>
        <w:rPr>
          <w:sz w:val="22"/>
          <w:szCs w:val="22"/>
        </w:rPr>
        <w:t xml:space="preserve"> defines no free-text field. It stays a fully manual staff process: a staff member reads a disclosure and creates the </w:t>
      </w:r>
      <w:r>
        <w:rPr>
          <w:rFonts w:ascii="Courier New" w:cs="Courier New" w:eastAsia="Courier New" w:hAnsi="Courier New"/>
          <w:sz w:val="20"/>
          <w:szCs w:val="20"/>
        </w:rPr>
        <w:t xml:space="preserve">DistressFlag</w:t>
      </w:r>
      <w:r>
        <w:rPr>
          <w:sz w:val="22"/>
          <w:szCs w:val="22"/>
        </w:rPr>
        <w:t xml:space="preserve"> by hand in Django Admin. </w:t>
      </w:r>
      <w:r>
        <w:rPr>
          <w:rFonts w:ascii="Courier New" w:cs="Courier New" w:eastAsia="Courier New" w:hAnsi="Courier New"/>
          <w:sz w:val="20"/>
          <w:szCs w:val="20"/>
        </w:rPr>
        <w:t xml:space="preserve">section11.py</w:t>
      </w:r>
      <w:r>
        <w:rPr>
          <w:sz w:val="22"/>
          <w:szCs w:val="22"/>
        </w:rPr>
        <w:t xml:space="preserve"> maps the six automated columns above to their signal codes and deliberately excludes </w:t>
      </w:r>
      <w:r>
        <w:rPr>
          <w:rFonts w:ascii="Courier New" w:cs="Courier New" w:eastAsia="Courier New" w:hAnsi="Courier New"/>
          <w:sz w:val="20"/>
          <w:szCs w:val="20"/>
        </w:rPr>
        <w:t xml:space="preserve">free_text_risk</w:t>
      </w:r>
      <w:r>
        <w:rPr>
          <w:sz w:val="22"/>
          <w:szCs w:val="22"/>
        </w:rPr>
        <w:t xml:space="preserve"> and the unrelated ADHD screen (</w:t>
      </w:r>
      <w:r>
        <w:rPr>
          <w:rFonts w:ascii="Courier New" w:cs="Courier New" w:eastAsia="Courier New" w:hAnsi="Courier New"/>
          <w:sz w:val="20"/>
          <w:szCs w:val="20"/>
        </w:rPr>
        <w:t xml:space="preserve">asrs_positive</w:t>
      </w:r>
      <w:r>
        <w:rPr>
          <w:sz w:val="22"/>
          <w:szCs w:val="22"/>
        </w:rPr>
        <w:t xml:space="preserve">) from ever appearing in that mapping.</w:t>
      </w:r>
    </w:p>
    <w:p>
      <w:pPr>
        <w:spacing w:after="160"/>
      </w:pPr>
      <w:r>
        <w:rPr>
          <w:b/>
          <w:bCs/>
          <w:sz w:val="22"/>
          <w:szCs w:val="22"/>
        </w:rPr>
        <w:t xml:space="preserve">3.2 Turning scores into flags</w:t>
      </w:r>
    </w:p>
    <w:p>
      <w:pPr>
        <w:spacing w:after="160"/>
      </w:pPr>
      <w:r>
        <w:rPr>
          <w:rFonts w:ascii="Courier New" w:cs="Courier New" w:eastAsia="Courier New" w:hAnsi="Courier New"/>
          <w:sz w:val="20"/>
          <w:szCs w:val="20"/>
        </w:rPr>
        <w:t xml:space="preserve">manage.py import_baseline_distress_flags --file &lt;export&gt;</w:t>
      </w:r>
    </w:p>
    <w:p>
      <w:pPr>
        <w:spacing w:after="160"/>
      </w:pPr>
      <w:r>
        <w:rPr>
          <w:sz w:val="22"/>
          <w:szCs w:val="22"/>
        </w:rPr>
        <w:t xml:space="preserve">loads the export, scores it, and matches each flagged row to a </w:t>
      </w:r>
      <w:r>
        <w:rPr>
          <w:rFonts w:ascii="Courier New" w:cs="Courier New" w:eastAsia="Courier New" w:hAnsi="Courier New"/>
          <w:sz w:val="20"/>
          <w:szCs w:val="20"/>
        </w:rPr>
        <w:t xml:space="preserve">User</w:t>
      </w:r>
      <w:r>
        <w:rPr>
          <w:sz w:val="22"/>
          <w:szCs w:val="22"/>
        </w:rPr>
        <w:t xml:space="preserve"> via </w:t>
      </w:r>
      <w:r>
        <w:rPr>
          <w:rFonts w:ascii="Courier New" w:cs="Courier New" w:eastAsia="Courier New" w:hAnsi="Courier New"/>
          <w:sz w:val="20"/>
          <w:szCs w:val="20"/>
        </w:rPr>
        <w:t xml:space="preserve">--id-column</w:t>
      </w:r>
      <w:r>
        <w:rPr>
          <w:sz w:val="22"/>
          <w:szCs w:val="22"/>
        </w:rPr>
        <w:t xml:space="preserve"> / </w:t>
      </w:r>
      <w:r>
        <w:rPr>
          <w:rFonts w:ascii="Courier New" w:cs="Courier New" w:eastAsia="Courier New" w:hAnsi="Courier New"/>
          <w:sz w:val="20"/>
          <w:szCs w:val="20"/>
        </w:rPr>
        <w:t xml:space="preserve">--id-field</w:t>
      </w:r>
      <w:r>
        <w:rPr>
          <w:sz w:val="22"/>
          <w:szCs w:val="22"/>
        </w:rPr>
        <w:t xml:space="preserve"> (now defaulting to </w:t>
      </w:r>
      <w:r>
        <w:rPr>
          <w:rFonts w:ascii="Courier New" w:cs="Courier New" w:eastAsia="Courier New" w:hAnsi="Courier New"/>
          <w:sz w:val="20"/>
          <w:szCs w:val="20"/>
        </w:rPr>
        <w:t xml:space="preserve">participant_id</w:t>
      </w:r>
      <w:r>
        <w:rPr>
          <w:sz w:val="22"/>
          <w:szCs w:val="22"/>
        </w:rPr>
        <w:t xml:space="preserve"> / </w:t>
      </w:r>
      <w:r>
        <w:rPr>
          <w:rFonts w:ascii="Courier New" w:cs="Courier New" w:eastAsia="Courier New" w:hAnsi="Courier New"/>
          <w:sz w:val="20"/>
          <w:szCs w:val="20"/>
        </w:rPr>
        <w:t xml:space="preserve">user_id</w:t>
      </w:r>
      <w:r>
        <w:rPr>
          <w:sz w:val="22"/>
          <w:szCs w:val="22"/>
        </w:rPr>
        <w:t xml:space="preserve">, confirmed 2026-09-22 — still overridable). For each match it writes </w:t>
      </w:r>
      <w:r>
        <w:rPr>
          <w:rFonts w:ascii="Courier New" w:cs="Courier New" w:eastAsia="Courier New" w:hAnsi="Courier New"/>
          <w:sz w:val="20"/>
          <w:szCs w:val="20"/>
        </w:rPr>
        <w:t xml:space="preserve">DistressFlag(source='baseline', signals=[...])</w:t>
      </w:r>
      <w:r>
        <w:rPr>
          <w:sz w:val="22"/>
          <w:szCs w:val="22"/>
        </w:rPr>
        <w:t xml:space="preserve">, skipping a row whose exact signal set is already on record for that user, so re-running the same export is a no-op. A numeric identifier is coerced leniently (leading zeros, whitespace, Excel float-formatting like "12.0") but never guessed at when it is genuinely non-numeric or fractional — those rows are reported, not silently dropped.</w:t>
      </w:r>
    </w:p>
    <w:p>
      <w:pPr>
        <w:spacing w:after="160"/>
      </w:pPr>
      <w:r>
        <w:rPr>
          <w:sz w:val="22"/>
          <w:szCs w:val="22"/>
        </w:rPr>
        <w:t xml:space="preserve">The same import is available as an </w:t>
      </w:r>
      <w:r>
        <w:rPr>
          <w:b/>
          <w:bCs/>
          <w:sz w:val="22"/>
          <w:szCs w:val="22"/>
        </w:rPr>
        <w:t xml:space="preserve">Import baseline export</w:t>
      </w:r>
      <w:r>
        <w:rPr>
          <w:sz w:val="22"/>
          <w:szCs w:val="22"/>
        </w:rPr>
        <w:t xml:space="preserve"> button on Django Admin, Distress flags page, so staff do not need a shell or database access. Staff with permission to add flags upload the export as a CSV (5 MB cap). The file is read in memory and never saved; only the signal codes are stored. The page previews by default and lists what would be created, rows already on record, rows with a blank screening item, unrecognized columns and unmatched participant IDs. To write the flags, staff choose the file again, uncheck "Preview only", and submit. The write is refused if any screening instrument’s items are missing from the export (nobody could be flagged on that screen), it is all-or-nothing, and every flag created gets an Admin log entry showing who imported it.</w:t>
      </w:r>
    </w:p>
    <w:p>
      <w:pPr>
        <w:spacing w:after="160"/>
      </w:pPr>
      <w:r>
        <w:rPr>
          <w:b/>
          <w:bCs/>
          <w:sz w:val="22"/>
          <w:szCs w:val="22"/>
        </w:rPr>
        <w:t xml:space="preserve">3.3 Clearing a baseline flag</w:t>
      </w:r>
    </w:p>
    <w:p>
      <w:pPr>
        <w:spacing w:after="160"/>
      </w:pPr>
      <w:r>
        <w:rPr>
          <w:sz w:val="22"/>
          <w:szCs w:val="22"/>
        </w:rPr>
        <w:t xml:space="preserve">A baseline flag stays active — and keeps suppressing prompts — until </w:t>
      </w:r>
      <w:r>
        <w:rPr>
          <w:rFonts w:ascii="Courier New" w:cs="Courier New" w:eastAsia="Courier New" w:hAnsi="Courier New"/>
          <w:sz w:val="20"/>
          <w:szCs w:val="20"/>
        </w:rPr>
        <w:t xml:space="preserve">contact_documented_at</w:t>
      </w:r>
      <w:r>
        <w:rPr>
          <w:sz w:val="22"/>
          <w:szCs w:val="22"/>
        </w:rPr>
        <w:t xml:space="preserve"> is set. Staff set it via the "Mark contact documented" action on </w:t>
      </w:r>
      <w:r>
        <w:rPr>
          <w:rFonts w:ascii="Courier New" w:cs="Courier New" w:eastAsia="Courier New" w:hAnsi="Courier New"/>
          <w:sz w:val="20"/>
          <w:szCs w:val="20"/>
        </w:rPr>
        <w:t xml:space="preserve">DistressFlagAdmin</w:t>
      </w:r>
      <w:r>
        <w:rPr>
          <w:sz w:val="22"/>
          <w:szCs w:val="22"/>
        </w:rPr>
        <w:t xml:space="preserve"> in Django Admin, once the required scripted contact has actually happened and its log entry is written. Randomization then resumes on the participant’s next eligible decision point.</w:t>
      </w:r>
    </w:p>
    <w:p>
      <w:pPr>
        <w:spacing w:after="160"/>
      </w:pPr>
      <w:r>
        <w:rPr>
          <w:sz w:val="22"/>
          <w:szCs w:val="22"/>
        </w:rPr>
        <w:t xml:space="preserve">Who called and what was given is recorded in the staff contact log that accompanies the staff script, not in Django (no free-text storage); </w:t>
      </w:r>
      <w:r>
        <w:rPr>
          <w:rFonts w:ascii="Courier New" w:cs="Courier New" w:eastAsia="Courier New" w:hAnsi="Courier New"/>
          <w:sz w:val="20"/>
          <w:szCs w:val="20"/>
        </w:rPr>
        <w:t xml:space="preserve">contact_documented_at</w:t>
      </w:r>
      <w:r>
        <w:rPr>
          <w:sz w:val="22"/>
          <w:szCs w:val="22"/>
        </w:rPr>
        <w:t xml:space="preserve"> is a timestamp only, set once the log entry is written. For the two PHQ-9 flags that happens the same day. For alcohol, eating, gambling and food-insecurity flags it happens at the next visit. </w:t>
      </w:r>
      <w:r>
        <w:rPr>
          <w:b/>
          <w:bCs/>
          <w:sz w:val="22"/>
          <w:szCs w:val="22"/>
        </w:rPr>
        <w:t xml:space="preserve">An unmarked flag suppresses that participant for the rest of the study, by design.</w:t>
      </w:r>
    </w:p>
    <w:p>
      <w:pPr>
        <w:spacing w:after="160"/>
      </w:pPr>
      <w:r>
        <w:rPr>
          <w:sz w:val="22"/>
          <w:szCs w:val="22"/>
        </w:rPr>
        <w:t xml:space="preserve">The same-day staff alert comes from Qualtrics, not the backend: it emails the PI and staff as soon as a flagged baseline is submitted, and the import command runs after the fact, so its only job is suppression. That Qualtrics alert must fire on a PHQ-9 total of 15 or more as well as on the self-harm item.</w:t>
      </w:r>
    </w:p>
    <w:p>
      <w:pPr>
        <w:pStyle w:val="Heading1"/>
        <w:spacing w:after="120" w:before="360"/>
      </w:pPr>
      <w:r>
        <w:t xml:space="preserve">4. Momentary Path</w:t>
      </w:r>
    </w:p>
    <w:p>
      <w:pPr>
        <w:spacing w:after="160"/>
      </w:pPr>
      <w:r>
        <w:rPr>
          <w:sz w:val="22"/>
          <w:szCs w:val="22"/>
        </w:rPr>
        <w:t xml:space="preserve">Immediately after </w:t>
      </w:r>
      <w:r>
        <w:rPr>
          <w:rFonts w:ascii="Courier New" w:cs="Courier New" w:eastAsia="Courier New" w:hAnsi="Courier New"/>
          <w:sz w:val="20"/>
          <w:szCs w:val="20"/>
        </w:rPr>
        <w:t xml:space="preserve">POST /ema/responses/</w:t>
      </w:r>
      <w:r>
        <w:rPr>
          <w:sz w:val="22"/>
          <w:szCs w:val="22"/>
        </w:rPr>
        <w:t xml:space="preserve"> saves a check-in’s answers, </w:t>
      </w:r>
      <w:r>
        <w:rPr>
          <w:rFonts w:ascii="Courier New" w:cs="Courier New" w:eastAsia="Courier New" w:hAnsi="Courier New"/>
          <w:sz w:val="20"/>
          <w:szCs w:val="20"/>
        </w:rPr>
        <w:t xml:space="preserve">raise_momentary_flag(ema)</w:t>
      </w:r>
      <w:r>
        <w:rPr>
          <w:sz w:val="22"/>
          <w:szCs w:val="22"/>
        </w:rPr>
        <w:t xml:space="preserve"> (</w:t>
      </w:r>
      <w:r>
        <w:rPr>
          <w:rFonts w:ascii="Courier New" w:cs="Courier New" w:eastAsia="Courier New" w:hAnsi="Courier New"/>
          <w:sz w:val="20"/>
          <w:szCs w:val="20"/>
        </w:rPr>
        <w:t xml:space="preserve">backend/app/distress.py</w:t>
      </w:r>
      <w:r>
        <w:rPr>
          <w:sz w:val="22"/>
          <w:szCs w:val="22"/>
        </w:rPr>
        <w:t xml:space="preserve">) calls </w:t>
      </w:r>
      <w:r>
        <w:rPr>
          <w:rFonts w:ascii="Courier New" w:cs="Courier New" w:eastAsia="Courier New" w:hAnsi="Courier New"/>
          <w:sz w:val="20"/>
          <w:szCs w:val="20"/>
        </w:rPr>
        <w:t xml:space="preserve">momentary_signals(ema)</w:t>
      </w:r>
      <w:r>
        <w:rPr>
          <w:sz w:val="22"/>
          <w:szCs w:val="22"/>
        </w:rPr>
        <w:t xml:space="preserve">, which checks four items for an </w:t>
      </w:r>
      <w:r>
        <w:rPr>
          <w:b/>
          <w:bCs/>
          <w:sz w:val="22"/>
          <w:szCs w:val="22"/>
        </w:rPr>
        <w:t xml:space="preserve">exact</w:t>
      </w:r>
      <w:r>
        <w:rPr>
          <w:sz w:val="22"/>
          <w:szCs w:val="22"/>
        </w:rPr>
        <w:t xml:space="preserve"> match — not a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rPr>
          <w:tblHeader/>
        </w:trPr>
        <w:tc>
          <w:tcPr>
            <w:tcW w:type="dxa" w:w="2400"/>
            <w:shd w:fill="DCE6F1" w:color="auto" w:val="clear"/>
            <w:tcMar>
              <w:top w:type="dxa" w:w="80"/>
              <w:left w:type="dxa" w:w="100"/>
              <w:bottom w:type="dxa" w:w="80"/>
              <w:right w:type="dxa" w:w="100"/>
            </w:tcMar>
          </w:tcPr>
          <w:p>
            <w:r>
              <w:rPr>
                <w:b/>
                <w:bCs/>
                <w:sz w:val="22"/>
                <w:szCs w:val="22"/>
              </w:rPr>
              <w:t xml:space="preserve">Item</w:t>
            </w:r>
          </w:p>
        </w:tc>
        <w:tc>
          <w:tcPr>
            <w:tcW w:type="dxa" w:w="1800"/>
            <w:shd w:fill="DCE6F1" w:color="auto" w:val="clear"/>
            <w:tcMar>
              <w:top w:type="dxa" w:w="80"/>
              <w:left w:type="dxa" w:w="100"/>
              <w:bottom w:type="dxa" w:w="80"/>
              <w:right w:type="dxa" w:w="100"/>
            </w:tcMar>
          </w:tcPr>
          <w:p>
            <w:r>
              <w:rPr>
                <w:b/>
                <w:bCs/>
                <w:sz w:val="22"/>
                <w:szCs w:val="22"/>
              </w:rPr>
              <w:t xml:space="preserve">Scale</w:t>
            </w:r>
          </w:p>
        </w:tc>
        <w:tc>
          <w:tcPr>
            <w:tcW w:type="dxa" w:w="1800"/>
            <w:shd w:fill="DCE6F1" w:color="auto" w:val="clear"/>
            <w:tcMar>
              <w:top w:type="dxa" w:w="80"/>
              <w:left w:type="dxa" w:w="100"/>
              <w:bottom w:type="dxa" w:w="80"/>
              <w:right w:type="dxa" w:w="100"/>
            </w:tcMar>
          </w:tcPr>
          <w:p>
            <w:r>
              <w:rPr>
                <w:b/>
                <w:bCs/>
                <w:sz w:val="22"/>
                <w:szCs w:val="22"/>
              </w:rPr>
              <w:t xml:space="preserve">Cutoff</w:t>
            </w:r>
          </w:p>
        </w:tc>
        <w:tc>
          <w:tcPr>
            <w:tcW w:type="dxa" w:w="3360"/>
            <w:shd w:fill="DCE6F1" w:color="auto" w:val="clear"/>
            <w:tcMar>
              <w:top w:type="dxa" w:w="80"/>
              <w:left w:type="dxa" w:w="100"/>
              <w:bottom w:type="dxa" w:w="80"/>
              <w:right w:type="dxa" w:w="100"/>
            </w:tcMar>
          </w:tcPr>
          <w:p>
            <w:r>
              <w:rPr>
                <w:b/>
                <w:bCs/>
                <w:sz w:val="22"/>
                <w:szCs w:val="22"/>
              </w:rPr>
              <w:t xml:space="preserve">Signal code</w:t>
            </w:r>
          </w:p>
        </w:tc>
      </w:tr>
      <w:tr>
        <w:tc>
          <w:tcPr>
            <w:tcW w:type="dxa" w:w="2400"/>
            <w:tcMar>
              <w:top w:type="dxa" w:w="80"/>
              <w:left w:type="dxa" w:w="100"/>
              <w:bottom w:type="dxa" w:w="80"/>
              <w:right w:type="dxa" w:w="100"/>
            </w:tcMar>
          </w:tcPr>
          <w:p>
            <w:r>
              <w:rPr>
                <w:sz w:val="22"/>
                <w:szCs w:val="22"/>
              </w:rPr>
              <w:t xml:space="preserve">B1_valence</w:t>
            </w:r>
          </w:p>
        </w:tc>
        <w:tc>
          <w:tcPr>
            <w:tcW w:type="dxa" w:w="1800"/>
            <w:tcMar>
              <w:top w:type="dxa" w:w="80"/>
              <w:left w:type="dxa" w:w="100"/>
              <w:bottom w:type="dxa" w:w="80"/>
              <w:right w:type="dxa" w:w="100"/>
            </w:tcMar>
          </w:tcPr>
          <w:p>
            <w:r>
              <w:rPr>
                <w:sz w:val="22"/>
                <w:szCs w:val="22"/>
              </w:rPr>
              <w:t xml:space="preserve">1 – 7</w:t>
            </w:r>
          </w:p>
        </w:tc>
        <w:tc>
          <w:tcPr>
            <w:tcW w:type="dxa" w:w="1800"/>
            <w:tcMar>
              <w:top w:type="dxa" w:w="80"/>
              <w:left w:type="dxa" w:w="100"/>
              <w:bottom w:type="dxa" w:w="80"/>
              <w:right w:type="dxa" w:w="100"/>
            </w:tcMar>
          </w:tcPr>
          <w:p>
            <w:r>
              <w:rPr>
                <w:sz w:val="22"/>
                <w:szCs w:val="22"/>
              </w:rPr>
              <w:t xml:space="preserve">== 1 (floor)</w:t>
            </w:r>
          </w:p>
        </w:tc>
        <w:tc>
          <w:tcPr>
            <w:tcW w:type="dxa" w:w="3360"/>
            <w:tcMar>
              <w:top w:type="dxa" w:w="80"/>
              <w:left w:type="dxa" w:w="100"/>
              <w:bottom w:type="dxa" w:w="80"/>
              <w:right w:type="dxa" w:w="100"/>
            </w:tcMar>
          </w:tcPr>
          <w:p>
            <w:r>
              <w:rPr>
                <w:sz w:val="22"/>
                <w:szCs w:val="22"/>
              </w:rPr>
              <w:t xml:space="preserve">b1_low_valence</w:t>
            </w:r>
          </w:p>
        </w:tc>
      </w:tr>
      <w:tr>
        <w:tc>
          <w:tcPr>
            <w:tcW w:type="dxa" w:w="2400"/>
            <w:tcMar>
              <w:top w:type="dxa" w:w="80"/>
              <w:left w:type="dxa" w:w="100"/>
              <w:bottom w:type="dxa" w:w="80"/>
              <w:right w:type="dxa" w:w="100"/>
            </w:tcMar>
          </w:tcPr>
          <w:p>
            <w:r>
              <w:rPr>
                <w:sz w:val="22"/>
                <w:szCs w:val="22"/>
              </w:rPr>
              <w:t xml:space="preserve">B2_stress</w:t>
            </w:r>
          </w:p>
        </w:tc>
        <w:tc>
          <w:tcPr>
            <w:tcW w:type="dxa" w:w="1800"/>
            <w:tcMar>
              <w:top w:type="dxa" w:w="80"/>
              <w:left w:type="dxa" w:w="100"/>
              <w:bottom w:type="dxa" w:w="80"/>
              <w:right w:type="dxa" w:w="100"/>
            </w:tcMar>
          </w:tcPr>
          <w:p>
            <w:r>
              <w:rPr>
                <w:sz w:val="22"/>
                <w:szCs w:val="22"/>
              </w:rPr>
              <w:t xml:space="preserve">1 – 7</w:t>
            </w:r>
          </w:p>
        </w:tc>
        <w:tc>
          <w:tcPr>
            <w:tcW w:type="dxa" w:w="1800"/>
            <w:tcMar>
              <w:top w:type="dxa" w:w="80"/>
              <w:left w:type="dxa" w:w="100"/>
              <w:bottom w:type="dxa" w:w="80"/>
              <w:right w:type="dxa" w:w="100"/>
            </w:tcMar>
          </w:tcPr>
          <w:p>
            <w:r>
              <w:rPr>
                <w:sz w:val="22"/>
                <w:szCs w:val="22"/>
              </w:rPr>
              <w:t xml:space="preserve">== 7 (ceiling)</w:t>
            </w:r>
          </w:p>
        </w:tc>
        <w:tc>
          <w:tcPr>
            <w:tcW w:type="dxa" w:w="3360"/>
            <w:tcMar>
              <w:top w:type="dxa" w:w="80"/>
              <w:left w:type="dxa" w:w="100"/>
              <w:bottom w:type="dxa" w:w="80"/>
              <w:right w:type="dxa" w:w="100"/>
            </w:tcMar>
          </w:tcPr>
          <w:p>
            <w:r>
              <w:rPr>
                <w:sz w:val="22"/>
                <w:szCs w:val="22"/>
              </w:rPr>
              <w:t xml:space="preserve">b2_high_stress</w:t>
            </w:r>
          </w:p>
        </w:tc>
      </w:tr>
      <w:tr>
        <w:tc>
          <w:tcPr>
            <w:tcW w:type="dxa" w:w="2400"/>
            <w:tcMar>
              <w:top w:type="dxa" w:w="80"/>
              <w:left w:type="dxa" w:w="100"/>
              <w:bottom w:type="dxa" w:w="80"/>
              <w:right w:type="dxa" w:w="100"/>
            </w:tcMar>
          </w:tcPr>
          <w:p>
            <w:r>
              <w:rPr>
                <w:sz w:val="22"/>
                <w:szCs w:val="22"/>
              </w:rPr>
              <w:t xml:space="preserve">B1_affect_sad ("Sad or down")</w:t>
            </w:r>
          </w:p>
        </w:tc>
        <w:tc>
          <w:tcPr>
            <w:tcW w:type="dxa" w:w="1800"/>
            <w:tcMar>
              <w:top w:type="dxa" w:w="80"/>
              <w:left w:type="dxa" w:w="100"/>
              <w:bottom w:type="dxa" w:w="80"/>
              <w:right w:type="dxa" w:w="100"/>
            </w:tcMar>
          </w:tcPr>
          <w:p>
            <w:r>
              <w:rPr>
                <w:sz w:val="22"/>
                <w:szCs w:val="22"/>
              </w:rPr>
              <w:t xml:space="preserve">1 – 5</w:t>
            </w:r>
          </w:p>
        </w:tc>
        <w:tc>
          <w:tcPr>
            <w:tcW w:type="dxa" w:w="1800"/>
            <w:tcMar>
              <w:top w:type="dxa" w:w="80"/>
              <w:left w:type="dxa" w:w="100"/>
              <w:bottom w:type="dxa" w:w="80"/>
              <w:right w:type="dxa" w:w="100"/>
            </w:tcMar>
          </w:tcPr>
          <w:p>
            <w:r>
              <w:rPr>
                <w:sz w:val="22"/>
                <w:szCs w:val="22"/>
              </w:rPr>
              <w:t xml:space="preserve">== 5 (ceiling)</w:t>
            </w:r>
          </w:p>
        </w:tc>
        <w:tc>
          <w:tcPr>
            <w:tcW w:type="dxa" w:w="3360"/>
            <w:tcMar>
              <w:top w:type="dxa" w:w="80"/>
              <w:left w:type="dxa" w:w="100"/>
              <w:bottom w:type="dxa" w:w="80"/>
              <w:right w:type="dxa" w:w="100"/>
            </w:tcMar>
          </w:tcPr>
          <w:p>
            <w:r>
              <w:rPr>
                <w:sz w:val="22"/>
                <w:szCs w:val="22"/>
              </w:rPr>
              <w:t xml:space="preserve">b1_affect_sad</w:t>
            </w:r>
          </w:p>
        </w:tc>
      </w:tr>
      <w:tr>
        <w:tc>
          <w:tcPr>
            <w:tcW w:type="dxa" w:w="2400"/>
            <w:tcMar>
              <w:top w:type="dxa" w:w="80"/>
              <w:left w:type="dxa" w:w="100"/>
              <w:bottom w:type="dxa" w:w="80"/>
              <w:right w:type="dxa" w:w="100"/>
            </w:tcMar>
          </w:tcPr>
          <w:p>
            <w:r>
              <w:rPr>
                <w:sz w:val="22"/>
                <w:szCs w:val="22"/>
              </w:rPr>
              <w:t xml:space="preserve">B1_affect_anxious ("Anxious or on edge")</w:t>
            </w:r>
          </w:p>
        </w:tc>
        <w:tc>
          <w:tcPr>
            <w:tcW w:type="dxa" w:w="1800"/>
            <w:tcMar>
              <w:top w:type="dxa" w:w="80"/>
              <w:left w:type="dxa" w:w="100"/>
              <w:bottom w:type="dxa" w:w="80"/>
              <w:right w:type="dxa" w:w="100"/>
            </w:tcMar>
          </w:tcPr>
          <w:p>
            <w:r>
              <w:rPr>
                <w:sz w:val="22"/>
                <w:szCs w:val="22"/>
              </w:rPr>
              <w:t xml:space="preserve">1 – 5</w:t>
            </w:r>
          </w:p>
        </w:tc>
        <w:tc>
          <w:tcPr>
            <w:tcW w:type="dxa" w:w="1800"/>
            <w:tcMar>
              <w:top w:type="dxa" w:w="80"/>
              <w:left w:type="dxa" w:w="100"/>
              <w:bottom w:type="dxa" w:w="80"/>
              <w:right w:type="dxa" w:w="100"/>
            </w:tcMar>
          </w:tcPr>
          <w:p>
            <w:r>
              <w:rPr>
                <w:sz w:val="22"/>
                <w:szCs w:val="22"/>
              </w:rPr>
              <w:t xml:space="preserve">== 5 (ceiling)</w:t>
            </w:r>
          </w:p>
        </w:tc>
        <w:tc>
          <w:tcPr>
            <w:tcW w:type="dxa" w:w="3360"/>
            <w:tcMar>
              <w:top w:type="dxa" w:w="80"/>
              <w:left w:type="dxa" w:w="100"/>
              <w:bottom w:type="dxa" w:w="80"/>
              <w:right w:type="dxa" w:w="100"/>
            </w:tcMar>
          </w:tcPr>
          <w:p>
            <w:r>
              <w:rPr>
                <w:sz w:val="22"/>
                <w:szCs w:val="22"/>
              </w:rPr>
              <w:t xml:space="preserve">b1_affect_anxious</w:t>
            </w:r>
          </w:p>
        </w:tc>
      </w:tr>
    </w:tbl>
    <w:p>
      <w:pPr>
        <w:spacing w:after="160"/>
      </w:pPr>
      <w:r>
        <w:rPr>
          <w:sz w:val="22"/>
          <w:szCs w:val="22"/>
        </w:rPr>
        <w:t xml:space="preserve">Confirmed by Dr. Chang 2026-09-22. Any one of the four is sufficient; more than one can fire on the same check-in (e.g. sad </w:t>
      </w:r>
      <w:r>
        <w:rPr>
          <w:i/>
          <w:iCs/>
          <w:sz w:val="22"/>
          <w:szCs w:val="22"/>
        </w:rPr>
        <w:t xml:space="preserve">and</w:t>
      </w:r>
      <w:r>
        <w:rPr>
          <w:sz w:val="22"/>
          <w:szCs w:val="22"/>
        </w:rPr>
        <w:t xml:space="preserve"> anxious both at ceiling), and every code that fires is recorded, none deduped or prioritized. A skipped or rotated-out item simply has no answer row at all, so it can never match — no separate guard is needed.</w:t>
      </w:r>
    </w:p>
    <w:p>
      <w:pPr>
        <w:spacing w:after="160"/>
      </w:pPr>
      <w:r>
        <w:rPr>
          <w:sz w:val="22"/>
          <w:szCs w:val="22"/>
        </w:rPr>
        <w:t xml:space="preserve">Exact equality is deliberate, not incidental: </w:t>
      </w:r>
      <w:r>
        <w:rPr>
          <w:rFonts w:ascii="Courier New" w:cs="Courier New" w:eastAsia="Courier New" w:hAnsi="Courier New"/>
          <w:sz w:val="20"/>
          <w:szCs w:val="20"/>
        </w:rPr>
        <w:t xml:space="preserve">EMAAnswerSerializer.validate</w:t>
      </w:r>
      <w:r>
        <w:rPr>
          <w:sz w:val="22"/>
          <w:szCs w:val="22"/>
        </w:rPr>
        <w:t xml:space="preserve"> (</w:t>
      </w:r>
      <w:r>
        <w:rPr>
          <w:rFonts w:ascii="Courier New" w:cs="Courier New" w:eastAsia="Courier New" w:hAnsi="Courier New"/>
          <w:sz w:val="20"/>
          <w:szCs w:val="20"/>
        </w:rPr>
        <w:t xml:space="preserve">backend/app/serializers.py</w:t>
      </w:r>
      <w:r>
        <w:rPr>
          <w:sz w:val="22"/>
          <w:szCs w:val="22"/>
        </w:rPr>
        <w:t xml:space="preserve">) already rejects any value outside an item’s min/max with a 400 before it can ever be stored, so an out-of-range value (e.g. a hypothetical "prefer not to say" sentinel) can never reach this check at all — and even if one somehow did, </w:t>
      </w:r>
      <w:r>
        <w:rPr>
          <w:rFonts w:ascii="Courier New" w:cs="Courier New" w:eastAsia="Courier New" w:hAnsi="Courier New"/>
          <w:sz w:val="20"/>
          <w:szCs w:val="20"/>
        </w:rPr>
        <w:t xml:space="preserve">==</w:t>
      </w:r>
      <w:r>
        <w:rPr>
          <w:sz w:val="22"/>
          <w:szCs w:val="22"/>
        </w:rPr>
        <w:t xml:space="preserve"> cannot be satisfied by it the way an inequality like </w:t>
      </w:r>
      <w:r>
        <w:rPr>
          <w:rFonts w:ascii="Courier New" w:cs="Courier New" w:eastAsia="Courier New" w:hAnsi="Courier New"/>
          <w:sz w:val="20"/>
          <w:szCs w:val="20"/>
        </w:rPr>
        <w:t xml:space="preserve">&gt;=</w:t>
      </w:r>
      <w:r>
        <w:rPr>
          <w:sz w:val="22"/>
          <w:szCs w:val="22"/>
        </w:rPr>
        <w:t xml:space="preserve"> could.</w:t>
      </w:r>
    </w:p>
    <w:p>
      <w:pPr>
        <w:spacing w:after="160"/>
      </w:pPr>
      <w:r>
        <w:rPr>
          <w:sz w:val="22"/>
          <w:szCs w:val="22"/>
        </w:rPr>
        <w:t xml:space="preserve">A momentary flag needs no staff action to clear: </w:t>
      </w:r>
      <w:r>
        <w:rPr>
          <w:rFonts w:ascii="Courier New" w:cs="Courier New" w:eastAsia="Courier New" w:hAnsi="Courier New"/>
          <w:sz w:val="20"/>
          <w:szCs w:val="20"/>
        </w:rPr>
        <w:t xml:space="preserve">expires_at</w:t>
      </w:r>
      <w:r>
        <w:rPr>
          <w:sz w:val="22"/>
          <w:szCs w:val="22"/>
        </w:rPr>
        <w:t xml:space="preserve"> is set to raised-time + </w:t>
      </w:r>
      <w:r>
        <w:rPr>
          <w:rFonts w:ascii="Courier New" w:cs="Courier New" w:eastAsia="Courier New" w:hAnsi="Courier New"/>
          <w:sz w:val="20"/>
          <w:szCs w:val="20"/>
        </w:rPr>
        <w:t xml:space="preserve">DISTRESS_MOMENTARY_PAUSE_HOURS</w:t>
      </w:r>
      <w:r>
        <w:rPr>
          <w:sz w:val="22"/>
          <w:szCs w:val="22"/>
        </w:rPr>
        <w:t xml:space="preserve"> (24h) at creation, and it simply stops being active once that passes.</w:t>
      </w:r>
    </w:p>
    <w:p>
      <w:pPr>
        <w:pStyle w:val="Heading1"/>
        <w:spacing w:after="120" w:before="360"/>
      </w:pPr>
      <w:r>
        <w:t xml:space="preserve">5. Where Suppression Actually Happens</w:t>
      </w:r>
    </w:p>
    <w:p>
      <w:pPr>
        <w:spacing w:after="160"/>
      </w:pPr>
      <w:r>
        <w:rPr>
          <w:sz w:val="22"/>
          <w:szCs w:val="22"/>
        </w:rPr>
        <w:t xml:space="preserve">Every check-in that reaches the JITAI decision point runs through </w:t>
      </w:r>
      <w:r>
        <w:rPr>
          <w:rFonts w:ascii="Courier New" w:cs="Courier New" w:eastAsia="Courier New" w:hAnsi="Courier New"/>
          <w:sz w:val="20"/>
          <w:szCs w:val="20"/>
        </w:rPr>
        <w:t xml:space="preserve">_evaluate_user()</w:t>
      </w:r>
      <w:r>
        <w:rPr>
          <w:sz w:val="22"/>
          <w:szCs w:val="22"/>
        </w:rPr>
        <w:t xml:space="preserve"> (</w:t>
      </w:r>
      <w:r>
        <w:rPr>
          <w:rFonts w:ascii="Courier New" w:cs="Courier New" w:eastAsia="Courier New" w:hAnsi="Courier New"/>
          <w:sz w:val="20"/>
          <w:szCs w:val="20"/>
        </w:rPr>
        <w:t xml:space="preserve">backend/app/tasks.py</w:t>
      </w:r>
      <w:r>
        <w:rPr>
          <w:sz w:val="22"/>
          <w:szCs w:val="22"/>
        </w:rPr>
        <w:t xml:space="preserve">, called by the periodic </w:t>
      </w:r>
      <w:r>
        <w:rPr>
          <w:rFonts w:ascii="Courier New" w:cs="Courier New" w:eastAsia="Courier New" w:hAnsi="Courier New"/>
          <w:sz w:val="20"/>
          <w:szCs w:val="20"/>
        </w:rPr>
        <w:t xml:space="preserve">evaluate_jitai_triggers</w:t>
      </w:r>
      <w:r>
        <w:rPr>
          <w:sz w:val="22"/>
          <w:szCs w:val="22"/>
        </w:rPr>
        <w:t xml:space="preserve"> task). Once the MSSD engine has judged a decision point eligible, but </w:t>
      </w:r>
      <w:r>
        <w:rPr>
          <w:b/>
          <w:bCs/>
          <w:sz w:val="22"/>
          <w:szCs w:val="22"/>
        </w:rPr>
        <w:t xml:space="preserve">before the randomization draw is taken</w:t>
      </w:r>
      <w:r>
        <w:rPr>
          <w:sz w:val="22"/>
          <w:szCs w:val="22"/>
        </w:rPr>
        <w:t xml:space="preserve">, two checks run in order:</w:t>
      </w:r>
    </w:p>
    <w:p>
      <w:pPr>
        <w:pStyle w:val="ListParagraph"/>
        <w:numPr>
          <w:ilvl w:val="0"/>
          <w:numId w:val="2"/>
        </w:numPr>
        <w:spacing w:after="100"/>
      </w:pPr>
      <w:r>
        <w:rPr>
          <w:sz w:val="22"/>
          <w:szCs w:val="22"/>
        </w:rPr>
        <w:t xml:space="preserve">1. </w:t>
      </w:r>
      <w:r>
        <w:rPr>
          <w:rFonts w:ascii="Courier New" w:cs="Courier New" w:eastAsia="Courier New" w:hAnsi="Courier New"/>
          <w:sz w:val="20"/>
          <w:szCs w:val="20"/>
        </w:rPr>
        <w:t xml:space="preserve">_in_run_in(user, ema.sent_at)</w:t>
      </w:r>
      <w:r>
        <w:rPr>
          <w:sz w:val="22"/>
          <w:szCs w:val="22"/>
        </w:rPr>
        <w:t xml:space="preserve"> — inside the participant’s own week-1 run-in window?</w:t>
      </w:r>
    </w:p>
    <w:p>
      <w:pPr>
        <w:pStyle w:val="ListParagraph"/>
        <w:numPr>
          <w:ilvl w:val="0"/>
          <w:numId w:val="2"/>
        </w:numPr>
        <w:spacing w:after="100"/>
      </w:pPr>
      <w:r>
        <w:rPr>
          <w:sz w:val="22"/>
          <w:szCs w:val="22"/>
        </w:rPr>
        <w:t xml:space="preserve">2. </w:t>
      </w:r>
      <w:r>
        <w:rPr>
          <w:rFonts w:ascii="Courier New" w:cs="Courier New" w:eastAsia="Courier New" w:hAnsi="Courier New"/>
          <w:sz w:val="20"/>
          <w:szCs w:val="20"/>
        </w:rPr>
        <w:t xml:space="preserve">active_distress_flag(user)</w:t>
      </w:r>
      <w:r>
        <w:rPr>
          <w:sz w:val="22"/>
          <w:szCs w:val="22"/>
        </w:rPr>
        <w:t xml:space="preserve"> — is a baseline or momentary flag currently active? (If both, baseline is reported.)</w:t>
      </w:r>
    </w:p>
    <w:p>
      <w:pPr>
        <w:spacing w:after="160"/>
      </w:pPr>
      <w:r>
        <w:rPr>
          <w:sz w:val="22"/>
          <w:szCs w:val="22"/>
        </w:rPr>
        <w:t xml:space="preserve">Either one forces the decision to ineligible and stamps </w:t>
      </w:r>
      <w:r>
        <w:rPr>
          <w:rFonts w:ascii="Courier New" w:cs="Courier New" w:eastAsia="Courier New" w:hAnsi="Courier New"/>
          <w:sz w:val="20"/>
          <w:szCs w:val="20"/>
        </w:rPr>
        <w:t xml:space="preserve">JITAILog.suppression_reason</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DCE6F1" w:color="auto" w:val="clear"/>
            <w:tcMar>
              <w:top w:type="dxa" w:w="80"/>
              <w:left w:type="dxa" w:w="100"/>
              <w:bottom w:type="dxa" w:w="80"/>
              <w:right w:type="dxa" w:w="100"/>
            </w:tcMar>
          </w:tcPr>
          <w:p>
            <w:r>
              <w:rPr>
                <w:b/>
                <w:bCs/>
                <w:sz w:val="22"/>
                <w:szCs w:val="22"/>
              </w:rPr>
              <w:t xml:space="preserve">suppression_reason</w:t>
            </w:r>
          </w:p>
        </w:tc>
        <w:tc>
          <w:tcPr>
            <w:tcW w:type="dxa" w:w="2600"/>
            <w:shd w:fill="DCE6F1" w:color="auto" w:val="clear"/>
            <w:tcMar>
              <w:top w:type="dxa" w:w="80"/>
              <w:left w:type="dxa" w:w="100"/>
              <w:bottom w:type="dxa" w:w="80"/>
              <w:right w:type="dxa" w:w="100"/>
            </w:tcMar>
          </w:tcPr>
          <w:p>
            <w:r>
              <w:rPr>
                <w:b/>
                <w:bCs/>
                <w:sz w:val="22"/>
                <w:szCs w:val="22"/>
              </w:rPr>
              <w:t xml:space="preserve">trigger_reason</w:t>
            </w:r>
          </w:p>
        </w:tc>
        <w:tc>
          <w:tcPr>
            <w:tcW w:type="dxa" w:w="4160"/>
            <w:shd w:fill="DCE6F1" w:color="auto" w:val="clear"/>
            <w:tcMar>
              <w:top w:type="dxa" w:w="80"/>
              <w:left w:type="dxa" w:w="100"/>
              <w:bottom w:type="dxa" w:w="80"/>
              <w:right w:type="dxa" w:w="100"/>
            </w:tcMar>
          </w:tcPr>
          <w:p>
            <w:r>
              <w:rPr>
                <w:b/>
                <w:bCs/>
                <w:sz w:val="22"/>
                <w:szCs w:val="22"/>
              </w:rPr>
              <w:t xml:space="preserve">Meaning</w:t>
            </w:r>
          </w:p>
        </w:tc>
      </w:tr>
      <w:tr>
        <w:tc>
          <w:tcPr>
            <w:tcW w:type="dxa" w:w="2600"/>
            <w:tcMar>
              <w:top w:type="dxa" w:w="80"/>
              <w:left w:type="dxa" w:w="100"/>
              <w:bottom w:type="dxa" w:w="80"/>
              <w:right w:type="dxa" w:w="100"/>
            </w:tcMar>
          </w:tcPr>
          <w:p>
            <w:r>
              <w:rPr>
                <w:sz w:val="22"/>
                <w:szCs w:val="22"/>
              </w:rPr>
              <w:t xml:space="preserve">''  (empty)</w:t>
            </w:r>
          </w:p>
        </w:tc>
        <w:tc>
          <w:tcPr>
            <w:tcW w:type="dxa" w:w="2600"/>
            <w:tcMar>
              <w:top w:type="dxa" w:w="80"/>
              <w:left w:type="dxa" w:w="100"/>
              <w:bottom w:type="dxa" w:w="80"/>
              <w:right w:type="dxa" w:w="100"/>
            </w:tcMar>
          </w:tcPr>
          <w:p>
            <w:r>
              <w:rPr>
                <w:sz w:val="22"/>
                <w:szCs w:val="22"/>
              </w:rPr>
              <w:t xml:space="preserve">engine reason, e.g. "prompt sent"</w:t>
            </w:r>
          </w:p>
        </w:tc>
        <w:tc>
          <w:tcPr>
            <w:tcW w:type="dxa" w:w="4160"/>
            <w:tcMar>
              <w:top w:type="dxa" w:w="80"/>
              <w:left w:type="dxa" w:w="100"/>
              <w:bottom w:type="dxa" w:w="80"/>
              <w:right w:type="dxa" w:w="100"/>
            </w:tcMar>
          </w:tcPr>
          <w:p>
            <w:r>
              <w:rPr>
                <w:sz w:val="22"/>
                <w:szCs w:val="22"/>
              </w:rPr>
              <w:t xml:space="preserve">Not suppressed — the engine’s own eligibility call stands</w:t>
            </w:r>
          </w:p>
        </w:tc>
      </w:tr>
      <w:tr>
        <w:tc>
          <w:tcPr>
            <w:tcW w:type="dxa" w:w="2600"/>
            <w:tcMar>
              <w:top w:type="dxa" w:w="80"/>
              <w:left w:type="dxa" w:w="100"/>
              <w:bottom w:type="dxa" w:w="80"/>
              <w:right w:type="dxa" w:w="100"/>
            </w:tcMar>
          </w:tcPr>
          <w:p>
            <w:r>
              <w:rPr>
                <w:sz w:val="22"/>
                <w:szCs w:val="22"/>
              </w:rPr>
              <w:t xml:space="preserve">run_in</w:t>
            </w:r>
          </w:p>
        </w:tc>
        <w:tc>
          <w:tcPr>
            <w:tcW w:type="dxa" w:w="2600"/>
            <w:tcMar>
              <w:top w:type="dxa" w:w="80"/>
              <w:left w:type="dxa" w:w="100"/>
              <w:bottom w:type="dxa" w:w="80"/>
              <w:right w:type="dxa" w:w="100"/>
            </w:tcMar>
          </w:tcPr>
          <w:p>
            <w:r>
              <w:rPr>
                <w:sz w:val="22"/>
                <w:szCs w:val="22"/>
              </w:rPr>
              <w:t xml:space="preserve">'run-in period'</w:t>
            </w:r>
          </w:p>
        </w:tc>
        <w:tc>
          <w:tcPr>
            <w:tcW w:type="dxa" w:w="4160"/>
            <w:tcMar>
              <w:top w:type="dxa" w:w="80"/>
              <w:left w:type="dxa" w:w="100"/>
              <w:bottom w:type="dxa" w:w="80"/>
              <w:right w:type="dxa" w:w="100"/>
            </w:tcMar>
          </w:tcPr>
          <w:p>
            <w:r>
              <w:rPr>
                <w:sz w:val="22"/>
                <w:szCs w:val="22"/>
              </w:rPr>
              <w:t xml:space="preserve">Inside the week-1 non-interventional baseline</w:t>
            </w:r>
          </w:p>
        </w:tc>
      </w:tr>
      <w:tr>
        <w:tc>
          <w:tcPr>
            <w:tcW w:type="dxa" w:w="2600"/>
            <w:tcMar>
              <w:top w:type="dxa" w:w="80"/>
              <w:left w:type="dxa" w:w="100"/>
              <w:bottom w:type="dxa" w:w="80"/>
              <w:right w:type="dxa" w:w="100"/>
            </w:tcMar>
          </w:tcPr>
          <w:p>
            <w:r>
              <w:rPr>
                <w:sz w:val="22"/>
                <w:szCs w:val="22"/>
              </w:rPr>
              <w:t xml:space="preserve">distress_baseline</w:t>
            </w:r>
          </w:p>
        </w:tc>
        <w:tc>
          <w:tcPr>
            <w:tcW w:type="dxa" w:w="2600"/>
            <w:tcMar>
              <w:top w:type="dxa" w:w="80"/>
              <w:left w:type="dxa" w:w="100"/>
              <w:bottom w:type="dxa" w:w="80"/>
              <w:right w:type="dxa" w:w="100"/>
            </w:tcMar>
          </w:tcPr>
          <w:p>
            <w:r>
              <w:rPr>
                <w:sz w:val="22"/>
                <w:szCs w:val="22"/>
              </w:rPr>
              <w:t xml:space="preserve">'distress override (baseline)'</w:t>
            </w:r>
          </w:p>
        </w:tc>
        <w:tc>
          <w:tcPr>
            <w:tcW w:type="dxa" w:w="4160"/>
            <w:tcMar>
              <w:top w:type="dxa" w:w="80"/>
              <w:left w:type="dxa" w:w="100"/>
              <w:bottom w:type="dxa" w:w="80"/>
              <w:right w:type="dxa" w:w="100"/>
            </w:tcMar>
          </w:tcPr>
          <w:p>
            <w:r>
              <w:rPr>
                <w:sz w:val="22"/>
                <w:szCs w:val="22"/>
              </w:rPr>
              <w:t xml:space="preserve">An active baseline-sourced flag</w:t>
            </w:r>
          </w:p>
        </w:tc>
      </w:tr>
      <w:tr>
        <w:tc>
          <w:tcPr>
            <w:tcW w:type="dxa" w:w="2600"/>
            <w:tcMar>
              <w:top w:type="dxa" w:w="80"/>
              <w:left w:type="dxa" w:w="100"/>
              <w:bottom w:type="dxa" w:w="80"/>
              <w:right w:type="dxa" w:w="100"/>
            </w:tcMar>
          </w:tcPr>
          <w:p>
            <w:r>
              <w:rPr>
                <w:sz w:val="22"/>
                <w:szCs w:val="22"/>
              </w:rPr>
              <w:t xml:space="preserve">distress_momentary</w:t>
            </w:r>
          </w:p>
        </w:tc>
        <w:tc>
          <w:tcPr>
            <w:tcW w:type="dxa" w:w="2600"/>
            <w:tcMar>
              <w:top w:type="dxa" w:w="80"/>
              <w:left w:type="dxa" w:w="100"/>
              <w:bottom w:type="dxa" w:w="80"/>
              <w:right w:type="dxa" w:w="100"/>
            </w:tcMar>
          </w:tcPr>
          <w:p>
            <w:r>
              <w:rPr>
                <w:sz w:val="22"/>
                <w:szCs w:val="22"/>
              </w:rPr>
              <w:t xml:space="preserve">'distress override (momentary)'</w:t>
            </w:r>
          </w:p>
        </w:tc>
        <w:tc>
          <w:tcPr>
            <w:tcW w:type="dxa" w:w="4160"/>
            <w:tcMar>
              <w:top w:type="dxa" w:w="80"/>
              <w:left w:type="dxa" w:w="100"/>
              <w:bottom w:type="dxa" w:w="80"/>
              <w:right w:type="dxa" w:w="100"/>
            </w:tcMar>
          </w:tcPr>
          <w:p>
            <w:r>
              <w:rPr>
                <w:sz w:val="22"/>
                <w:szCs w:val="22"/>
              </w:rPr>
              <w:t xml:space="preserve">An active momentary-sourced flag</w:t>
            </w:r>
          </w:p>
        </w:tc>
      </w:tr>
    </w:tbl>
    <w:p>
      <w:pPr>
        <w:spacing w:after="160"/>
      </w:pPr>
      <w:r>
        <w:rPr>
          <w:sz w:val="22"/>
          <w:szCs w:val="22"/>
        </w:rPr>
        <w:t xml:space="preserve">When suppressed, </w:t>
      </w:r>
      <w:r>
        <w:rPr>
          <w:rFonts w:ascii="Courier New" w:cs="Courier New" w:eastAsia="Courier New" w:hAnsi="Courier New"/>
          <w:sz w:val="20"/>
          <w:szCs w:val="20"/>
        </w:rPr>
        <w:t xml:space="preserve">send_prompt=False</w:t>
      </w:r>
      <w:r>
        <w:rPr>
          <w:sz w:val="22"/>
          <w:szCs w:val="22"/>
        </w:rPr>
        <w:t xml:space="preserve">, </w:t>
      </w:r>
      <w:r>
        <w:rPr>
          <w:rFonts w:ascii="Courier New" w:cs="Courier New" w:eastAsia="Courier New" w:hAnsi="Courier New"/>
          <w:sz w:val="20"/>
          <w:szCs w:val="20"/>
        </w:rPr>
        <w:t xml:space="preserve">status</w:t>
      </w:r>
      <w:r>
        <w:rPr>
          <w:sz w:val="22"/>
          <w:szCs w:val="22"/>
        </w:rPr>
        <w:t xml:space="preserve"> and </w:t>
      </w:r>
      <w:r>
        <w:rPr>
          <w:rFonts w:ascii="Courier New" w:cs="Courier New" w:eastAsia="Courier New" w:hAnsi="Courier New"/>
          <w:sz w:val="20"/>
          <w:szCs w:val="20"/>
        </w:rPr>
        <w:t xml:space="preserve">delivery_status</w:t>
      </w:r>
      <w:r>
        <w:rPr>
          <w:sz w:val="22"/>
          <w:szCs w:val="22"/>
        </w:rPr>
        <w:t xml:space="preserve"> both </w:t>
      </w:r>
      <w:r>
        <w:rPr>
          <w:rFonts w:ascii="Courier New" w:cs="Courier New" w:eastAsia="Courier New" w:hAnsi="Courier New"/>
          <w:sz w:val="20"/>
          <w:szCs w:val="20"/>
        </w:rPr>
        <w:t xml:space="preserve">'suppressed'</w:t>
      </w:r>
      <w:r>
        <w:rPr>
          <w:sz w:val="22"/>
          <w:szCs w:val="22"/>
        </w:rPr>
        <w:t xml:space="preserve"> (never </w:t>
      </w:r>
      <w:r>
        <w:rPr>
          <w:rFonts w:ascii="Courier New" w:cs="Courier New" w:eastAsia="Courier New" w:hAnsi="Courier New"/>
          <w:sz w:val="20"/>
          <w:szCs w:val="20"/>
        </w:rPr>
        <w:t xml:space="preserve">'not_sent'</w:t>
      </w:r>
      <w:r>
        <w:rPr>
          <w:sz w:val="22"/>
          <w:szCs w:val="22"/>
        </w:rPr>
        <w:t xml:space="preserve">, which stays for ordinary ineligible or randomized-out decisions), and critically </w:t>
      </w:r>
      <w:r>
        <w:rPr>
          <w:rFonts w:ascii="Courier New" w:cs="Courier New" w:eastAsia="Courier New" w:hAnsi="Courier New"/>
          <w:sz w:val="20"/>
          <w:szCs w:val="20"/>
        </w:rPr>
        <w:t xml:space="preserve">randomization_draw</w:t>
      </w:r>
      <w:r>
        <w:rPr>
          <w:sz w:val="22"/>
          <w:szCs w:val="22"/>
        </w:rPr>
        <w:t xml:space="preserve">, </w:t>
      </w:r>
      <w:r>
        <w:rPr>
          <w:rFonts w:ascii="Courier New" w:cs="Courier New" w:eastAsia="Courier New" w:hAnsi="Courier New"/>
          <w:sz w:val="20"/>
          <w:szCs w:val="20"/>
        </w:rPr>
        <w:t xml:space="preserve">randomization_probability</w:t>
      </w:r>
      <w:r>
        <w:rPr>
          <w:sz w:val="22"/>
          <w:szCs w:val="22"/>
        </w:rPr>
        <w:t xml:space="preserve"> and </w:t>
      </w:r>
      <w:r>
        <w:rPr>
          <w:rFonts w:ascii="Courier New" w:cs="Courier New" w:eastAsia="Courier New" w:hAnsi="Courier New"/>
          <w:sz w:val="20"/>
          <w:szCs w:val="20"/>
        </w:rPr>
        <w:t xml:space="preserve">message_arm</w:t>
      </w:r>
      <w:r>
        <w:rPr>
          <w:sz w:val="22"/>
          <w:szCs w:val="22"/>
        </w:rPr>
        <w:t xml:space="preserve"> all stay </w:t>
      </w:r>
      <w:r>
        <w:rPr>
          <w:rFonts w:ascii="Courier New" w:cs="Courier New" w:eastAsia="Courier New" w:hAnsi="Courier New"/>
          <w:sz w:val="20"/>
          <w:szCs w:val="20"/>
        </w:rPr>
        <w:t xml:space="preserve">null</w:t>
      </w:r>
      <w:r>
        <w:rPr>
          <w:sz w:val="22"/>
          <w:szCs w:val="22"/>
        </w:rPr>
        <w:t xml:space="preserve"> — no coin flip is ever taken. This is what makes a suppressed decision structurally distinct from a coin flip that happened to land on "don’t send": the dashboard’s randomization audit (</w:t>
      </w:r>
      <w:r>
        <w:rPr>
          <w:rFonts w:ascii="Courier New" w:cs="Courier New" w:eastAsia="Courier New" w:hAnsi="Courier New"/>
          <w:sz w:val="20"/>
          <w:szCs w:val="20"/>
        </w:rPr>
        <w:t xml:space="preserve">dashboard/data/alerts.py</w:t>
      </w:r>
      <w:r>
        <w:rPr>
          <w:sz w:val="22"/>
          <w:szCs w:val="22"/>
        </w:rPr>
        <w:t xml:space="preserve">, </w:t>
      </w:r>
      <w:r>
        <w:rPr>
          <w:rFonts w:ascii="Courier New" w:cs="Courier New" w:eastAsia="Courier New" w:hAnsi="Courier New"/>
          <w:sz w:val="20"/>
          <w:szCs w:val="20"/>
        </w:rPr>
        <w:t xml:space="preserve">cohort.py</w:t>
      </w:r>
      <w:r>
        <w:rPr>
          <w:sz w:val="22"/>
          <w:szCs w:val="22"/>
        </w:rPr>
        <w:t xml:space="preserve">) reads exactly this column to avoid mistaking a suppressed row for a missing draw and flagging it as an engine bug. Message routing (</w:t>
      </w:r>
      <w:r>
        <w:rPr>
          <w:rFonts w:ascii="Courier New" w:cs="Courier New" w:eastAsia="Courier New" w:hAnsi="Courier New"/>
          <w:sz w:val="20"/>
          <w:szCs w:val="20"/>
        </w:rPr>
        <w:t xml:space="preserve">select_prompt()</w:t>
      </w:r>
      <w:r>
        <w:rPr>
          <w:sz w:val="22"/>
          <w:szCs w:val="22"/>
        </w:rPr>
        <w:t xml:space="preserve">) is never called either, so no coping-message topic is ever evaluated for a suppressed check-in.</w:t>
      </w:r>
    </w:p>
    <w:p>
      <w:pPr>
        <w:spacing w:after="160"/>
      </w:pPr>
      <w:r>
        <w:rPr>
          <w:sz w:val="22"/>
          <w:szCs w:val="22"/>
        </w:rPr>
        <w:t xml:space="preserve">The label is visible wherever decision points are read: the JITAI API exposes </w:t>
      </w:r>
      <w:r>
        <w:rPr>
          <w:rFonts w:ascii="Courier New" w:cs="Courier New" w:eastAsia="Courier New" w:hAnsi="Courier New"/>
          <w:sz w:val="20"/>
          <w:szCs w:val="20"/>
        </w:rPr>
        <w:t xml:space="preserve">suppression_reason</w:t>
      </w:r>
      <w:r>
        <w:rPr>
          <w:sz w:val="22"/>
          <w:szCs w:val="22"/>
        </w:rPr>
        <w:t xml:space="preserve">; the monitoring timeline shows the outcome as "suppressed (run-in)" or "suppressed (distress)"; </w:t>
      </w:r>
      <w:r>
        <w:rPr>
          <w:rFonts w:ascii="Courier New" w:cs="Courier New" w:eastAsia="Courier New" w:hAnsi="Courier New"/>
          <w:sz w:val="20"/>
          <w:szCs w:val="20"/>
        </w:rPr>
        <w:t xml:space="preserve">MetricsDaily.suppressed_n</w:t>
      </w:r>
      <w:r>
        <w:rPr>
          <w:sz w:val="22"/>
          <w:szCs w:val="22"/>
        </w:rPr>
        <w:t xml:space="preserve"> counts suppressed decisions per day (they stay in </w:t>
      </w:r>
      <w:r>
        <w:rPr>
          <w:rFonts w:ascii="Courier New" w:cs="Courier New" w:eastAsia="Courier New" w:hAnsi="Courier New"/>
          <w:sz w:val="20"/>
          <w:szCs w:val="20"/>
        </w:rPr>
        <w:t xml:space="preserve">decision_points_n</w:t>
      </w:r>
      <w:r>
        <w:rPr>
          <w:sz w:val="22"/>
          <w:szCs w:val="22"/>
        </w:rPr>
        <w:t xml:space="preserve"> and out of </w:t>
      </w:r>
      <w:r>
        <w:rPr>
          <w:rFonts w:ascii="Courier New" w:cs="Courier New" w:eastAsia="Courier New" w:hAnsi="Courier New"/>
          <w:sz w:val="20"/>
          <w:szCs w:val="20"/>
        </w:rPr>
        <w:t xml:space="preserve">eligible_n</w:t>
      </w:r>
      <w:r>
        <w:rPr>
          <w:sz w:val="22"/>
          <w:szCs w:val="22"/>
        </w:rPr>
        <w:t xml:space="preserve">); and </w:t>
      </w:r>
      <w:r>
        <w:rPr>
          <w:rFonts w:ascii="Courier New" w:cs="Courier New" w:eastAsia="Courier New" w:hAnsi="Courier New"/>
          <w:sz w:val="20"/>
          <w:szCs w:val="20"/>
        </w:rPr>
        <w:t xml:space="preserve">analytics/scripts.py</w:t>
      </w:r>
      <w:r>
        <w:rPr>
          <w:sz w:val="22"/>
          <w:szCs w:val="22"/>
        </w:rPr>
        <w:t xml:space="preserve"> loads the column, adds a </w:t>
      </w:r>
      <w:r>
        <w:rPr>
          <w:rFonts w:ascii="Courier New" w:cs="Courier New" w:eastAsia="Courier New" w:hAnsi="Courier New"/>
          <w:sz w:val="20"/>
          <w:szCs w:val="20"/>
        </w:rPr>
        <w:t xml:space="preserve">suppressed</w:t>
      </w:r>
      <w:r>
        <w:rPr>
          <w:sz w:val="22"/>
          <w:szCs w:val="22"/>
        </w:rPr>
        <w:t xml:space="preserve"> count to the stage audit, and plots suppressed points as "suppressed" instead of "ineligible". Migration </w:t>
      </w:r>
      <w:r>
        <w:rPr>
          <w:rFonts w:ascii="Courier New" w:cs="Courier New" w:eastAsia="Courier New" w:hAnsi="Courier New"/>
          <w:sz w:val="20"/>
          <w:szCs w:val="20"/>
        </w:rPr>
        <w:t xml:space="preserve">0049</w:t>
      </w:r>
      <w:r>
        <w:rPr>
          <w:sz w:val="22"/>
          <w:szCs w:val="22"/>
        </w:rPr>
        <w:t xml:space="preserve"> backfilled rows written before the label existed: </w:t>
      </w:r>
      <w:r>
        <w:rPr>
          <w:rFonts w:ascii="Courier New" w:cs="Courier New" w:eastAsia="Courier New" w:hAnsi="Courier New"/>
          <w:sz w:val="20"/>
          <w:szCs w:val="20"/>
        </w:rPr>
        <w:t xml:space="preserve">'run-in period'</w:t>
      </w:r>
      <w:r>
        <w:rPr>
          <w:sz w:val="22"/>
          <w:szCs w:val="22"/>
        </w:rPr>
        <w:t xml:space="preserve"> rows from the first run-in commit received </w:t>
      </w:r>
      <w:r>
        <w:rPr>
          <w:rFonts w:ascii="Courier New" w:cs="Courier New" w:eastAsia="Courier New" w:hAnsi="Courier New"/>
          <w:sz w:val="20"/>
          <w:szCs w:val="20"/>
        </w:rPr>
        <w:t xml:space="preserve">suppression_reason = 'run_in'</w:t>
      </w:r>
      <w:r>
        <w:rPr>
          <w:sz w:val="22"/>
          <w:szCs w:val="22"/>
        </w:rPr>
        <w:t xml:space="preserve">, and every suppressed row was relabeled. Without that backfill the cohort audit would read those legacy rows as "eligible but no draw".</w:t>
      </w:r>
    </w:p>
    <w:p>
      <w:pPr>
        <w:pStyle w:val="Heading1"/>
        <w:spacing w:after="120" w:before="360"/>
      </w:pPr>
      <w:r>
        <w:t xml:space="preserve">6. What the Participant Sees</w:t>
      </w:r>
    </w:p>
    <w:p>
      <w:pPr>
        <w:spacing w:after="160"/>
      </w:pPr>
      <w:r>
        <w:rPr>
          <w:sz w:val="22"/>
          <w:szCs w:val="22"/>
        </w:rPr>
        <w:t xml:space="preserve">After saving a check-in’s answers (and possibly raising a fresh momentary flag), </w:t>
      </w:r>
      <w:r>
        <w:rPr>
          <w:rFonts w:ascii="Courier New" w:cs="Courier New" w:eastAsia="Courier New" w:hAnsi="Courier New"/>
          <w:sz w:val="20"/>
          <w:szCs w:val="20"/>
        </w:rPr>
        <w:t xml:space="preserve">POST /ema/responses/</w:t>
      </w:r>
      <w:r>
        <w:rPr>
          <w:sz w:val="22"/>
          <w:szCs w:val="22"/>
        </w:rPr>
        <w:t xml:space="preserve"> checks </w:t>
      </w:r>
      <w:r>
        <w:rPr>
          <w:rFonts w:ascii="Courier New" w:cs="Courier New" w:eastAsia="Courier New" w:hAnsi="Courier New"/>
          <w:sz w:val="20"/>
          <w:szCs w:val="20"/>
        </w:rPr>
        <w:t xml:space="preserve">active_distress_flag(app_user)</w:t>
      </w:r>
      <w:r>
        <w:rPr>
          <w:sz w:val="22"/>
          <w:szCs w:val="22"/>
        </w:rPr>
        <w:t xml:space="preserve"> — any source — and adds a </w:t>
      </w:r>
      <w:r>
        <w:rPr>
          <w:rFonts w:ascii="Courier New" w:cs="Courier New" w:eastAsia="Courier New" w:hAnsi="Courier New"/>
          <w:sz w:val="20"/>
          <w:szCs w:val="20"/>
        </w:rPr>
        <w:t xml:space="preserve">resource_card</w:t>
      </w:r>
      <w:r>
        <w:rPr>
          <w:sz w:val="22"/>
          <w:szCs w:val="22"/>
        </w:rPr>
        <w:t xml:space="preserve"> field to its response, non-null whenever a flag is active. This means the card can appear on a check-in that is not itself the one that triggered a flag, for as long as any flag stays active.</w:t>
      </w:r>
    </w:p>
    <w:p>
      <w:pPr>
        <w:spacing w:after="160"/>
      </w:pPr>
      <w:r>
        <w:rPr>
          <w:sz w:val="22"/>
          <w:szCs w:val="22"/>
        </w:rPr>
        <w:t xml:space="preserve">The mobile app (</w:t>
      </w:r>
      <w:r>
        <w:rPr>
          <w:rFonts w:ascii="Courier New" w:cs="Courier New" w:eastAsia="Courier New" w:hAnsi="Courier New"/>
          <w:sz w:val="20"/>
          <w:szCs w:val="20"/>
        </w:rPr>
        <w:t xml:space="preserve">mobile/src/screens/EMAScreen.tsx</w:t>
      </w:r>
      <w:r>
        <w:rPr>
          <w:sz w:val="22"/>
          <w:szCs w:val="22"/>
        </w:rPr>
        <w:t xml:space="preserve">) renders this as a dedicated "resources" screen in place of the normal flow, with a Done button and tap-to-call for any resource that carries a phone number.</w:t>
      </w:r>
    </w:p>
    <w:p>
      <w:pPr>
        <w:spacing w:after="160"/>
      </w:pPr>
      <w:r>
        <w:rPr>
          <w:rFonts w:ascii="Courier New" w:cs="Courier New" w:eastAsia="Courier New" w:hAnsi="Courier New"/>
          <w:sz w:val="20"/>
          <w:szCs w:val="20"/>
        </w:rPr>
        <w:t xml:space="preserve">RESOURCE_CARD_RESOURCES</w:t>
      </w:r>
      <w:r>
        <w:rPr>
          <w:sz w:val="22"/>
          <w:szCs w:val="22"/>
        </w:rPr>
        <w:t xml:space="preserve"> (</w:t>
      </w:r>
      <w:r>
        <w:rPr>
          <w:rFonts w:ascii="Courier New" w:cs="Courier New" w:eastAsia="Courier New" w:hAnsi="Courier New"/>
          <w:sz w:val="20"/>
          <w:szCs w:val="20"/>
        </w:rPr>
        <w:t xml:space="preserve">backend/app/distress.py</w:t>
      </w:r>
      <w:r>
        <w:rPr>
          <w:sz w:val="22"/>
          <w:szCs w:val="22"/>
        </w:rPr>
        <w:t xml:space="preserve">) holds the seven resources from the study’s resource document, the same seven as the baseline block: Campus Counseling Center, 988 Suicide and Crisis Lifeline, Hitchcock Field &amp; Fork Pantry, National Alliance for Eating Disorders Helpline, SAMHSA National Helpline, National Problem Gambling Helpline, and Florida’s Gambling Helpline. Each contact is digits only so tap-to-call works (the two gambling lines are 1-800-697-3738 and 888-236-4848). The card message opens with the instruction to call 911 or go to the nearest emergency department if anyone is in immediate danger.</w:t>
      </w:r>
    </w:p>
    <w:p>
      <w:pPr>
        <w:spacing w:after="160"/>
      </w:pPr>
      <w:r>
        <w:rPr>
          <w:sz w:val="22"/>
          <w:szCs w:val="22"/>
        </w:rPr>
        <w:t xml:space="preserve">The backend cannot see the app version, so a participant on an older build is suppressed but sees no card. Every participant must be on the new build before Day 8.</w:t>
      </w:r>
    </w:p>
    <w:p>
      <w:pPr>
        <w:pStyle w:val="Heading1"/>
        <w:spacing w:after="120" w:before="360"/>
      </w:pPr>
      <w:r>
        <w:t xml:space="preserve">7. Decisions and Remaining Gaps, as of 2026-09-23</w:t>
      </w:r>
    </w:p>
    <w:p>
      <w:pPr>
        <w:spacing w:after="160"/>
      </w:pPr>
      <w:r>
        <w:rPr>
          <w:b/>
          <w:bCs/>
          <w:sz w:val="22"/>
          <w:szCs w:val="22"/>
        </w:rPr>
        <w:t xml:space="preserve">Decided by Dr. Chang</w:t>
      </w:r>
    </w:p>
    <w:p>
      <w:pPr>
        <w:pStyle w:val="ListParagraph"/>
        <w:numPr>
          <w:ilvl w:val="0"/>
          <w:numId w:val="2"/>
        </w:numPr>
        <w:spacing w:after="100"/>
      </w:pPr>
      <w:r>
        <w:rPr>
          <w:sz w:val="22"/>
          <w:szCs w:val="22"/>
        </w:rPr>
        <w:t xml:space="preserve">Staff alerts stay out of the backend. Qualtrics already emails the PI and staff when a flagged baseline is submitted.</w:t>
      </w:r>
    </w:p>
    <w:p>
      <w:pPr>
        <w:pStyle w:val="ListParagraph"/>
        <w:numPr>
          <w:ilvl w:val="0"/>
          <w:numId w:val="2"/>
        </w:numPr>
        <w:spacing w:after="100"/>
      </w:pPr>
      <w:r>
        <w:rPr>
          <w:sz w:val="22"/>
          <w:szCs w:val="22"/>
        </w:rPr>
        <w:t xml:space="preserve">Contact documentation stays a timestamp. The contact log lives with the staff script, not in Django.</w:t>
      </w:r>
    </w:p>
    <w:p>
      <w:pPr>
        <w:pStyle w:val="ListParagraph"/>
        <w:numPr>
          <w:ilvl w:val="0"/>
          <w:numId w:val="2"/>
        </w:numPr>
        <w:spacing w:after="100"/>
      </w:pPr>
      <w:r>
        <w:rPr>
          <w:sz w:val="22"/>
          <w:szCs w:val="22"/>
        </w:rPr>
        <w:t xml:space="preserve">In-app flags are resource-card-only, with no staff notice, matching the protocol and the consent.</w:t>
      </w:r>
    </w:p>
    <w:p>
      <w:pPr>
        <w:pStyle w:val="ListParagraph"/>
        <w:numPr>
          <w:ilvl w:val="0"/>
          <w:numId w:val="2"/>
        </w:numPr>
        <w:spacing w:after="100"/>
      </w:pPr>
      <w:r>
        <w:rPr>
          <w:rFonts w:ascii="Courier New" w:cs="Courier New" w:eastAsia="Courier New" w:hAnsi="Courier New"/>
          <w:sz w:val="20"/>
          <w:szCs w:val="20"/>
        </w:rPr>
        <w:t xml:space="preserve">free_text_risk</w:t>
      </w:r>
      <w:r>
        <w:rPr>
          <w:sz w:val="22"/>
          <w:szCs w:val="22"/>
        </w:rPr>
        <w:t xml:space="preserve"> stays a manual staff-created Admin flag, and the firing rate is reported by hand for now.</w:t>
      </w:r>
    </w:p>
    <w:p>
      <w:pPr>
        <w:spacing w:after="160"/>
      </w:pPr>
      <w:r>
        <w:rPr>
          <w:b/>
          <w:bCs/>
          <w:sz w:val="22"/>
          <w:szCs w:val="22"/>
        </w:rPr>
        <w:t xml:space="preserve">Still open</w:t>
      </w:r>
    </w:p>
    <w:p>
      <w:pPr>
        <w:pStyle w:val="ListParagraph"/>
        <w:numPr>
          <w:ilvl w:val="0"/>
          <w:numId w:val="2"/>
        </w:numPr>
        <w:spacing w:after="100"/>
      </w:pPr>
      <w:r>
        <w:rPr>
          <w:sz w:val="22"/>
          <w:szCs w:val="22"/>
        </w:rPr>
        <w:t xml:space="preserve">The baseline import (command or Admin button) has not been run on a real export. It waits for RS01 to RS04 to have REACT accounts, and the export’s </w:t>
      </w:r>
      <w:r>
        <w:rPr>
          <w:rFonts w:ascii="Courier New" w:cs="Courier New" w:eastAsia="Courier New" w:hAnsi="Courier New"/>
          <w:sz w:val="20"/>
          <w:szCs w:val="20"/>
        </w:rPr>
        <w:t xml:space="preserve">participant_id</w:t>
      </w:r>
      <w:r>
        <w:rPr>
          <w:sz w:val="22"/>
          <w:szCs w:val="22"/>
        </w:rPr>
        <w:t xml:space="preserve"> must be each account’s numeric </w:t>
      </w:r>
      <w:r>
        <w:rPr>
          <w:rFonts w:ascii="Courier New" w:cs="Courier New" w:eastAsia="Courier New" w:hAnsi="Courier New"/>
          <w:sz w:val="20"/>
          <w:szCs w:val="20"/>
        </w:rPr>
        <w:t xml:space="preserve">user_id</w:t>
      </w:r>
      <w:r>
        <w:rPr>
          <w:sz w:val="22"/>
          <w:szCs w:val="22"/>
        </w:rPr>
        <w:t xml:space="preserve">.</w:t>
      </w:r>
    </w:p>
    <w:p>
      <w:pPr>
        <w:pStyle w:val="ListParagraph"/>
        <w:numPr>
          <w:ilvl w:val="0"/>
          <w:numId w:val="2"/>
        </w:numPr>
        <w:spacing w:after="100"/>
      </w:pPr>
      <w:r>
        <w:rPr>
          <w:sz w:val="22"/>
          <w:szCs w:val="22"/>
        </w:rPr>
        <w:t xml:space="preserve">The resource screen must be tested on an iPhone and an Android and shipped, with every participant on the new build before Day 8 (September 28).</w:t>
      </w:r>
    </w:p>
    <w:p>
      <w:pPr>
        <w:pStyle w:val="ListParagraph"/>
        <w:numPr>
          <w:ilvl w:val="0"/>
          <w:numId w:val="2"/>
        </w:numPr>
        <w:spacing w:after="100"/>
      </w:pPr>
      <w:r>
        <w:rPr>
          <w:sz w:val="22"/>
          <w:szCs w:val="22"/>
        </w:rPr>
        <w:t xml:space="preserve">The backend and migrations </w:t>
      </w:r>
      <w:r>
        <w:rPr>
          <w:rFonts w:ascii="Courier New" w:cs="Courier New" w:eastAsia="Courier New" w:hAnsi="Courier New"/>
          <w:sz w:val="20"/>
          <w:szCs w:val="20"/>
        </w:rPr>
        <w:t xml:space="preserve">0049</w:t>
      </w:r>
      <w:r>
        <w:rPr>
          <w:sz w:val="22"/>
          <w:szCs w:val="22"/>
        </w:rPr>
        <w:t xml:space="preserve"> (app) and </w:t>
      </w:r>
      <w:r>
        <w:rPr>
          <w:rFonts w:ascii="Courier New" w:cs="Courier New" w:eastAsia="Courier New" w:hAnsi="Courier New"/>
          <w:sz w:val="20"/>
          <w:szCs w:val="20"/>
        </w:rPr>
        <w:t xml:space="preserve">0005</w:t>
      </w:r>
      <w:r>
        <w:rPr>
          <w:sz w:val="22"/>
          <w:szCs w:val="22"/>
        </w:rPr>
        <w:t xml:space="preserve"> (dashboard) must be deployed before Day 8; they run on the Heroku release. The import has no schedule; someone runs it by hand against each new export.</w:t>
      </w:r>
    </w:p>
    <w:p>
      <w:pPr>
        <w:pStyle w:val="ListParagraph"/>
        <w:numPr>
          <w:ilvl w:val="0"/>
          <w:numId w:val="2"/>
        </w:numPr>
        <w:spacing w:after="100"/>
      </w:pPr>
      <w:r>
        <w:rPr>
          <w:sz w:val="22"/>
          <w:szCs w:val="22"/>
        </w:rPr>
        <w:t xml:space="preserve">The Qualtrics alert must also fire on a PHQ-9 total of 15 or more.</w:t>
      </w:r>
    </w:p>
    <w:p>
      <w:pPr>
        <w:spacing w:before="480"/>
      </w:pPr>
      <w:r>
        <w:rPr>
          <w:i/>
          <w:iCs/>
          <w:color w:val="5B6472"/>
          <w:sz w:val="20"/>
          <w:szCs w:val="20"/>
        </w:rPr>
        <w:t xml:space="preserve">Last updated: 2026-09-23 · Author: Dustin Nguyen · SMASH Research Lab, UF</w:t>
      </w:r>
    </w:p>
    <w:sectPr>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pBdr>
        <w:bottom w:val="single" w:color="4F81BD" w:sz="8" w:space="4"/>
      </w:pBdr>
      <w:spacing w:after="300"/>
    </w:pPr>
    <w:rPr>
      <w:rFonts w:ascii="Cambria" w:cs="Cambria" w:eastAsia="Cambria" w:hAnsi="Cambria"/>
      <w:color w:val="17365D"/>
      <w:spacing w:val="5"/>
      <w:sz w:val="52"/>
      <w:szCs w:val="52"/>
    </w:rPr>
  </w:style>
  <w:style w:type="paragraph" w:styleId="Heading1">
    <w:name w:val="Heading 1"/>
    <w:basedOn w:val="Normal"/>
    <w:next w:val="Normal"/>
    <w:qFormat/>
    <w:pPr>
      <w:keepNext/>
      <w:spacing w:after="0" w:before="480"/>
    </w:pPr>
    <w:rPr>
      <w:rFonts w:ascii="Cambria" w:cs="Cambria" w:eastAsia="Cambria" w:hAnsi="Cambria"/>
      <w:b/>
      <w:bCs/>
      <w:color w:val="365F91"/>
      <w:sz w:val="28"/>
      <w:szCs w:val="28"/>
    </w:rPr>
  </w:style>
  <w:style w:type="paragraph" w:styleId="Heading2">
    <w:name w:val="Heading 2"/>
    <w:basedOn w:val="Normal"/>
    <w:next w:val="Normal"/>
    <w:qFormat/>
    <w:pPr>
      <w:keepNext/>
      <w:spacing w:after="0" w:before="320"/>
    </w:pPr>
    <w:rPr>
      <w:rFonts w:ascii="Cambria" w:cs="Cambria" w:eastAsia="Cambria" w:hAnsi="Cambria"/>
      <w:b/>
      <w:bCs/>
      <w:color w:val="365F9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2026-09-25T15:52:47.585Z</dcterms:created>
  <dcterms:modified xsi:type="dcterms:W3CDTF">2026-09-25T15:52:47.589Z</dcterms:modified>
</cp:coreProperties>
</file>

<file path=docProps/custom.xml><?xml version="1.0" encoding="utf-8"?>
<Properties xmlns="http://schemas.openxmlformats.org/officeDocument/2006/custom-properties" xmlns:vt="http://schemas.openxmlformats.org/officeDocument/2006/docPropsVTypes"/>
</file>