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 Suppression gates (added 2026-09-21): an engine-eligible decision is then checked, in this order, against (a) the run-in gate (protocol 9.3) — the EMA falls on study day &lt; RUN_IN_DAYS (7); study day is Eastern, anchored to User.enrolled_at, and fails closed if enrolled_at is null — and (b) the distress override (protocol Section 11) — the participant has an active DistressFlag, baseline named ahead of momentary. Either forces the decision ineligible before the randomization draw; run-in wins when both apply. Suppression only applies to decisions the engine judged eligible; ineligible decisions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and trigger_reason 'run-in period' / 'distress override (baseline)' / 'distress override (momentary)'.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Known defect: the daily cap in apply_decision_rules is counted over UTC days, while every other day boundary is Eastern.</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2026-09-24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