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Context-Tag Mapping — Update for Dr. Chang</w:t>
      </w:r>
    </w:p>
    <w:p>
      <w:r>
        <w:rPr>
          <w:i/>
        </w:rPr>
        <w:t>From: Dustin Nguyen  ·  Date: 2026-08-27  ·  To: Dr. Chang (cc: Eliana Bacal)</w:t>
      </w:r>
    </w:p>
    <w:p>
      <w:r>
        <w:t>I put together a starting proposal for which of the 26 approved messages should be drinking-tagged or celebration-tagged, since neither is written down anywhere and the message text itself never mentions drinking, eating, or celebrating. My hypothesis was that the 4 "Urge/craving" messages (P006, P008, P027, P029) were the drinking-tagged candidates, since an alcohol urge is structurally a craving. Eliana reviewed it and narrowed that down after checking the actual wording.</w:t>
      </w:r>
    </w:p>
    <w:p>
      <w:pPr>
        <w:pStyle w:val="Heading1"/>
      </w:pPr>
      <w:r>
        <w:t>The 26 messages by trigger category</w:t>
      </w:r>
    </w:p>
    <w:p>
      <w:r>
        <w:t>For reference — none of the 26 messages mention drinking, eating, or celebrating in their text, so this grouping by emotional-state trigger is the only structure to start from: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Trigger</w:t>
            </w:r>
          </w:p>
        </w:tc>
        <w:tc>
          <w:tcPr>
            <w:tcW w:type="dxa" w:w="2880"/>
          </w:tcPr>
          <w:p>
            <w:r>
              <w:t>Count</w:t>
            </w:r>
          </w:p>
        </w:tc>
        <w:tc>
          <w:tcPr>
            <w:tcW w:type="dxa" w:w="2880"/>
          </w:tcPr>
          <w:p>
            <w:r>
              <w:t>CSV IDs</w:t>
            </w:r>
          </w:p>
        </w:tc>
      </w:tr>
      <w:tr>
        <w:tc>
          <w:tcPr>
            <w:tcW w:type="dxa" w:w="2880"/>
          </w:tcPr>
          <w:p>
            <w:r>
              <w:t>High arousal / anger</w:t>
            </w:r>
          </w:p>
        </w:tc>
        <w:tc>
          <w:tcPr>
            <w:tcW w:type="dxa" w:w="2880"/>
          </w:tcPr>
          <w:p>
            <w:r>
              <w:t>6</w:t>
            </w:r>
          </w:p>
        </w:tc>
        <w:tc>
          <w:tcPr>
            <w:tcW w:type="dxa" w:w="2880"/>
          </w:tcPr>
          <w:p>
            <w:r>
              <w:t>P001, P009, P010, P020, P028, P030</w:t>
            </w:r>
          </w:p>
        </w:tc>
      </w:tr>
      <w:tr>
        <w:tc>
          <w:tcPr>
            <w:tcW w:type="dxa" w:w="2880"/>
          </w:tcPr>
          <w:p>
            <w:r>
              <w:t>High arousal / anxiety</w:t>
            </w:r>
          </w:p>
        </w:tc>
        <w:tc>
          <w:tcPr>
            <w:tcW w:type="dxa" w:w="2880"/>
          </w:tcPr>
          <w:p>
            <w:r>
              <w:t>5</w:t>
            </w:r>
          </w:p>
        </w:tc>
        <w:tc>
          <w:tcPr>
            <w:tcW w:type="dxa" w:w="2880"/>
          </w:tcPr>
          <w:p>
            <w:r>
              <w:t>P002, P004, P021, P023, P031</w:t>
            </w:r>
          </w:p>
        </w:tc>
      </w:tr>
      <w:tr>
        <w:tc>
          <w:tcPr>
            <w:tcW w:type="dxa" w:w="2880"/>
          </w:tcPr>
          <w:p>
            <w:r>
              <w:t>Interpersonal conflict</w:t>
            </w:r>
          </w:p>
        </w:tc>
        <w:tc>
          <w:tcPr>
            <w:tcW w:type="dxa" w:w="2880"/>
          </w:tcPr>
          <w:p>
            <w:r>
              <w:t>4</w:t>
            </w:r>
          </w:p>
        </w:tc>
        <w:tc>
          <w:tcPr>
            <w:tcW w:type="dxa" w:w="2880"/>
          </w:tcPr>
          <w:p>
            <w:r>
              <w:t>P003, P007, P022, P026</w:t>
            </w:r>
          </w:p>
        </w:tc>
      </w:tr>
      <w:tr>
        <w:tc>
          <w:tcPr>
            <w:tcW w:type="dxa" w:w="2880"/>
          </w:tcPr>
          <w:p>
            <w:r>
              <w:t>General stress</w:t>
            </w:r>
          </w:p>
        </w:tc>
        <w:tc>
          <w:tcPr>
            <w:tcW w:type="dxa" w:w="2880"/>
          </w:tcPr>
          <w:p>
            <w:r>
              <w:t>4</w:t>
            </w:r>
          </w:p>
        </w:tc>
        <w:tc>
          <w:tcPr>
            <w:tcW w:type="dxa" w:w="2880"/>
          </w:tcPr>
          <w:p>
            <w:r>
              <w:t>P005, P012, P025, P032</w:t>
            </w:r>
          </w:p>
        </w:tc>
      </w:tr>
      <w:tr>
        <w:tc>
          <w:tcPr>
            <w:tcW w:type="dxa" w:w="2880"/>
          </w:tcPr>
          <w:p>
            <w:r>
              <w:t>Urge / craving</w:t>
            </w:r>
          </w:p>
        </w:tc>
        <w:tc>
          <w:tcPr>
            <w:tcW w:type="dxa" w:w="2880"/>
          </w:tcPr>
          <w:p>
            <w:r>
              <w:t>4</w:t>
            </w:r>
          </w:p>
        </w:tc>
        <w:tc>
          <w:tcPr>
            <w:tcW w:type="dxa" w:w="2880"/>
          </w:tcPr>
          <w:p>
            <w:r>
              <w:t>P006, P008, P027, P029</w:t>
            </w:r>
          </w:p>
        </w:tc>
      </w:tr>
      <w:tr>
        <w:tc>
          <w:tcPr>
            <w:tcW w:type="dxa" w:w="2880"/>
          </w:tcPr>
          <w:p>
            <w:r>
              <w:t>Low mood / withdrawal</w:t>
            </w:r>
          </w:p>
        </w:tc>
        <w:tc>
          <w:tcPr>
            <w:tcW w:type="dxa" w:w="2880"/>
          </w:tcPr>
          <w:p>
            <w:r>
              <w:t>3</w:t>
            </w:r>
          </w:p>
        </w:tc>
        <w:tc>
          <w:tcPr>
            <w:tcW w:type="dxa" w:w="2880"/>
          </w:tcPr>
          <w:p>
            <w:r>
              <w:t>P011, P024, P033</w:t>
            </w:r>
          </w:p>
        </w:tc>
      </w:tr>
    </w:tbl>
    <w:p>
      <w:pPr>
        <w:pStyle w:val="Heading1"/>
      </w:pPr>
      <w:r>
        <w:t>Eliana's review</w:t>
      </w:r>
    </w:p>
    <w:p>
      <w:r>
        <w:t>She found that P006 ("If you send this right now...") and P008 ("...before opening the app") only make sense in a posting/cyber context — there's no equivalent action for a drinking urge, so those two don't generalize. P027 ("...this reaction, or something bigger?") and P029 ("Rate the urge to react... where you feel it in your body") have no language anchored to screens or posting, so both do generalize to a drinking urge.</w:t>
      </w:r>
    </w:p>
    <w:p>
      <w:r>
        <w:t>She also flagged something worth noting on its own: the CSV's Goal Type column tags P008 as multi-construct ("Cyber Aggression, Alcohol Use &amp; Unhealthy Eating"), which the wording doesn't support. I'd treat Goal Type as unreliable for this kind of tagging going forward rather than assume it's correct elsewhere in the sheet.</w:t>
      </w:r>
    </w:p>
    <w:p>
      <w:pPr>
        <w:pStyle w:val="Heading1"/>
      </w:pPr>
      <w:r>
        <w:t>Current recommendation</w:t>
      </w:r>
    </w:p>
    <w:p>
      <w:r>
        <w:t>Drinking-tagged: P027 and P029 only. P006 and P008 stay cyber-aggression-only and remain Telemetry-gated (parked, not eligible for delivery today) rather than being pulled into a drinking-tagged pool.</w:t>
      </w:r>
    </w:p>
    <w:p>
      <w:pPr>
        <w:pStyle w:val="Heading1"/>
      </w:pPr>
      <w:r>
        <w:t>Still open</w:t>
      </w:r>
    </w:p>
    <w:p>
      <w:pPr>
        <w:pStyle w:val="ListNumber"/>
      </w:pPr>
      <w:r>
        <w:t>Celebration-tagging structure: none of the 6 trigger categories is a positive-affect state, so I don't yet know if celebration-tagged is the same P027/P029 pair under a different eligibility gate (post-win, positive affect) or a genuinely separate set. This needs either your read on whether reusing the same content for both conditions is acceptable, or Eliana's on whether different wording is needed.</w:t>
      </w:r>
    </w:p>
    <w:p>
      <w:pPr>
        <w:pStyle w:val="ListNumber"/>
      </w:pPr>
      <w:r>
        <w:t>Whether the remaining 22 messages (outside Urge/craving) are safe to treat as unconditionally general-purpose, or whether any of those need the same wording-level check P006/P008 just failed.</w:t>
      </w:r>
    </w:p>
    <w:p>
      <w:pPr>
        <w:pStyle w:val="Heading1"/>
      </w:pPr>
      <w:r>
        <w:t>What I need from you</w:t>
      </w:r>
    </w:p>
    <w:p>
      <w:r>
        <w:t>Confirming I should wire select_prompt() to this narrower drinking-tagged set (P027, P029) once the routing logic is built, and your read on the celebration-tagging question above. Until both are settled, I'm gating conservatively — any message ID without a confirmed tag stays excluded from delivery.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