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rPr>
                <w:sz w:val="17"/>
              </w:rPr>
              <w:t>Participant responds to EMA prompt in-app. App POSTs EMA response to /ema/.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rPr>
          <w:i/>
          <w:sz w:val="19"/>
        </w:rPr>
        <w:t>Ecological Momentary Assessment responses. Three 1–7 Likert items: mood, stress, energy.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bl>
    <w:p>
      <w:r>
        <w:t/>
      </w:r>
    </w:p>
    <w:p>
      <w:pPr>
        <w:jc w:val="center"/>
      </w:pPr>
      <w:r>
        <w:rPr>
          <w:i/>
          <w:color w:val="444444"/>
          <w:sz w:val="16"/>
        </w:rPr>
        <w:t>Last updated: 2026-07-16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