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draw one prompt_id at random from the eligible pool.</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(as of 2026-08-19, pending wiring):  Dr. Chang ruled the IRB01 message bank (REACT_IRB01_Message_Bank_v1.docx — 26 CBT/ACT messages plus 4 active-control messages) governs what gets delivered, not REACTprompts.csv directly. Eliana Bacal owns reconciling the two files ID by ID, confirming overlapping prompts match the approved wording exactly, and marking each ID active vs. parked. CSV entries that don't survive reconciliation are marked inactive, not deleted, so the library history is preserved. The reconciled file becomes what this task loads. Until that file is delivered, the code still runs on the raw CSV as described below — do not treat this as already wired.</w:t>
      </w:r>
    </w:p>
    <w:p>
      <w:pPr/>
      <w:r>
        <w:t>Telemetry prompts (Trigger Condition = 'Telemetry', P001–P012, P020–P032, P041–P045) remain excluded from selection — confirmed by Dr. Chang as intentional and unchanged: the cyber-aggression construct is still measured through the B5 check-in items and the telemetry logging itself, just not through message delivery, until the HRV/sleep spec from Celia is approved and wired in.</w:t>
      </w:r>
    </w:p>
    <w:p>
      <w:pPr/>
      <w:r>
        <w:t>Both the eligible pool (eligible_prompt_ids) and the drawn prompt (prompt_id) are recorded on the jitai_log row at every decision point, including control arm rows where send_prompt=False.</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intervention arm; False = control or ineligible</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(control or ineligible)</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2026-08-24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