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E3A5F"/>
          <w:sz w:val="34"/>
          <w:szCs w:val="34"/>
        </w:rPr>
        <w:t xml:space="preserve">Product Requirements Document</w:t>
      </w:r>
    </w:p>
    <w:p>
      <w:pPr>
        <w:spacing w:after="160"/>
      </w:pPr>
      <w:r>
        <w:rPr>
          <w:i/>
          <w:iCs/>
          <w:color w:val="5A6478"/>
          <w:sz w:val="24"/>
          <w:szCs w:val="24"/>
        </w:rPr>
        <w:t xml:space="preserve">Meridian Analytics — HR People Dashboard (V1)</w:t>
      </w:r>
    </w:p>
    <w:p>
      <w:pPr>
        <w:spacing w:after="40"/>
      </w:pPr>
      <w:r>
        <w:rPr>
          <w:b/>
          <w:bCs/>
          <w:color w:val="5A6478"/>
          <w:sz w:val="18"/>
          <w:szCs w:val="18"/>
        </w:rPr>
        <w:t xml:space="preserve">Owner: </w:t>
      </w:r>
      <w:r>
        <w:rPr>
          <w:color w:val="5A6478"/>
          <w:sz w:val="18"/>
          <w:szCs w:val="18"/>
        </w:rPr>
        <w:t xml:space="preserve">Total Rewards / HR Leadership Team</w:t>
      </w:r>
    </w:p>
    <w:p>
      <w:pPr>
        <w:spacing w:after="40"/>
      </w:pPr>
      <w:r>
        <w:rPr>
          <w:b/>
          <w:bCs/>
          <w:color w:val="5A6478"/>
          <w:sz w:val="18"/>
          <w:szCs w:val="18"/>
        </w:rPr>
        <w:t xml:space="preserve">Status: </w:t>
      </w:r>
      <w:r>
        <w:rPr>
          <w:color w:val="5A6478"/>
          <w:sz w:val="18"/>
          <w:szCs w:val="18"/>
        </w:rPr>
        <w:t xml:space="preserve">Draft for build</w:t>
      </w:r>
    </w:p>
    <w:p>
      <w:pPr>
        <w:spacing w:after="40"/>
      </w:pPr>
      <w:r>
        <w:rPr>
          <w:b/>
          <w:bCs/>
          <w:color w:val="5A6478"/>
          <w:sz w:val="18"/>
          <w:szCs w:val="18"/>
        </w:rPr>
        <w:t xml:space="preserve">Date: </w:t>
      </w:r>
      <w:r>
        <w:rPr>
          <w:color w:val="5A6478"/>
          <w:sz w:val="18"/>
          <w:szCs w:val="18"/>
        </w:rPr>
        <w:t xml:space="preserve">2026-07-13</w:t>
      </w:r>
    </w:p>
    <w:p>
      <w:pPr>
        <w:pStyle w:val="Heading1"/>
        <w:pBdr>
          <w:bottom w:val="single" w:color="C8CDD7" w:sz="6" w:space="4"/>
        </w:pBdr>
        <w:spacing w:after="160" w:before="320"/>
      </w:pPr>
      <w:r>
        <w:rPr>
          <w:b/>
          <w:bCs/>
          <w:color w:val="1E3A5F"/>
          <w:sz w:val="26"/>
          <w:szCs w:val="26"/>
        </w:rPr>
        <w:t xml:space="preserve">1. Purpose</w:t>
      </w:r>
    </w:p>
    <w:p>
      <w:pPr>
        <w:spacing w:after="120"/>
      </w:pPr>
      <w:r>
        <w:rPr>
          <w:sz w:val="20"/>
          <w:szCs w:val="20"/>
        </w:rPr>
        <w:t xml:space="preserve">Meridian Analytics' HR leadership team (CHRO + HR leaders) currently reviews headcount, turnover, learning, compensation, and recruiting data by manually assembling spreadsheets before each leadership review. This dashboard replaces that manual assembly: an HR leader uploads the employee master file (and, optionally, the AI Readiness results file), clicks Update, and gets a live analytics snapshot on screen plus a downloadable report — with no manual pivot tables, no formulas, no waiting on an analyst.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Primary outcome: one person, one upload, one click, a boardroom-ready snapshot.</w:t>
      </w:r>
    </w:p>
    <w:p>
      <w:pPr>
        <w:pStyle w:val="Heading1"/>
        <w:pBdr>
          <w:bottom w:val="single" w:color="C8CDD7" w:sz="6" w:space="4"/>
        </w:pBdr>
        <w:spacing w:after="160" w:before="320"/>
      </w:pPr>
      <w:r>
        <w:rPr>
          <w:b/>
          <w:bCs/>
          <w:color w:val="1E3A5F"/>
          <w:sz w:val="26"/>
          <w:szCs w:val="26"/>
        </w:rPr>
        <w:t xml:space="preserve">2. Scope — Version 1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2DA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 scope — V1</w:t>
            </w:r>
          </w:p>
        </w:tc>
      </w:tr>
      <w:tr>
        <w:tc>
          <w:tcPr>
            <w:tcW w:type="dxa" w:w="9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• Single-user, browser-based tool (local app or internal web app) — no login/roles needed for V1; assume the person operating it is trusted with full data access.</w:t>
            </w:r>
          </w:p>
        </w:tc>
      </w:tr>
      <w:tr>
        <w:tc>
          <w:tcPr>
            <w:tcW w:type="dxa" w:w="9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• Two file inputs: (a) Employee Master (Excel/CSV, required), (b) AI Readiness Results (Excel, optional — powers the L&amp;D tab only).</w:t>
            </w:r>
          </w:p>
        </w:tc>
      </w:tr>
      <w:tr>
        <w:tc>
          <w:tcPr>
            <w:tcW w:type="dxa" w:w="9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• Manual Update action that reprocesses whichever files are currently loaded and refreshes all three tabs.</w:t>
            </w:r>
          </w:p>
        </w:tc>
      </w:tr>
      <w:tr>
        <w:tc>
          <w:tcPr>
            <w:tcW w:type="dxa" w:w="9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• Three tabs: Executive Dashboard, Learning &amp; Development, Compensation &amp; Recruitment.</w:t>
            </w:r>
          </w:p>
        </w:tc>
      </w:tr>
      <w:tr>
        <w:tc>
          <w:tcPr>
            <w:tcW w:type="dxa" w:w="9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• One-click Download Report producing a static snapshot (PDF or PPTX) of the current view.</w:t>
            </w:r>
          </w:p>
        </w:tc>
      </w:tr>
      <w:tr>
        <w:tc>
          <w:tcPr>
            <w:tcW w:type="dxa" w:w="9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• All computation is client-side or in an ephemeral backend process — no data is persisted to a database in V1.</w:t>
            </w:r>
          </w:p>
        </w:tc>
      </w:tr>
    </w:tbl>
    <w:p>
      <w:pPr>
        <w:spacing w:after="16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C85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 of scope — deferred to V2</w:t>
            </w:r>
          </w:p>
        </w:tc>
      </w:tr>
      <w:tr>
        <w:tc>
          <w:tcPr>
            <w:tcW w:type="dxa" w:w="9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• Uploading the separate Compensation History, Performance Review History, or Recruiting Funnel workbooks — V1 computes compensation and recruiting metrics only from fields already present in the Employee Master. Ingesting those richer files is a V2 candidate.</w:t>
            </w:r>
          </w:p>
        </w:tc>
      </w:tr>
      <w:tr>
        <w:tc>
          <w:tcPr>
            <w:tcW w:type="dxa" w:w="9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• Multi-user accounts, permissions, or audit logging.</w:t>
            </w:r>
          </w:p>
        </w:tc>
      </w:tr>
      <w:tr>
        <w:tc>
          <w:tcPr>
            <w:tcW w:type="dxa" w:w="9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• Historical trending across multiple saved snapshots (V1 shows the state of the file(s) uploaded “as of” that upload; no time-series database).</w:t>
            </w:r>
          </w:p>
        </w:tc>
      </w:tr>
      <w:tr>
        <w:tc>
          <w:tcPr>
            <w:tcW w:type="dxa" w:w="9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• Automated data refresh from HRIS (this is upload-driven only).</w:t>
            </w:r>
          </w:p>
        </w:tc>
      </w:tr>
    </w:tbl>
    <w:p>
      <w:pPr>
        <w:pStyle w:val="Heading1"/>
        <w:pBdr>
          <w:bottom w:val="single" w:color="C8CDD7" w:sz="6" w:space="4"/>
        </w:pBdr>
        <w:spacing w:after="160" w:before="320"/>
      </w:pPr>
      <w:r>
        <w:rPr>
          <w:b/>
          <w:bCs/>
          <w:color w:val="1E3A5F"/>
          <w:sz w:val="26"/>
          <w:szCs w:val="26"/>
        </w:rPr>
        <w:t xml:space="preserve">3.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CHRO — </w:t>
      </w:r>
      <w:r>
        <w:rPr>
          <w:sz w:val="20"/>
          <w:szCs w:val="20"/>
        </w:rPr>
        <w:t xml:space="preserve">reviews the Executive Dashboard before leadership/board meetings; primary consumer of the downloadable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HR Leadership Team </w:t>
      </w:r>
      <w:r>
        <w:rPr>
          <w:sz w:val="20"/>
          <w:szCs w:val="20"/>
        </w:rPr>
        <w:t xml:space="preserve">(Total Rewards, Talent Acquisition, L&amp;D, HRBPs) — uploads updated files, drills into their functional tab, exports cuts for their own reviews.</w:t>
      </w:r>
    </w:p>
    <w:p>
      <w:pPr>
        <w:pStyle w:val="Heading1"/>
        <w:pBdr>
          <w:bottom w:val="single" w:color="C8CDD7" w:sz="6" w:space="4"/>
        </w:pBdr>
        <w:spacing w:after="160" w:before="320"/>
      </w:pPr>
      <w:r>
        <w:rPr>
          <w:b/>
          <w:bCs/>
          <w:color w:val="1E3A5F"/>
          <w:sz w:val="26"/>
          <w:szCs w:val="26"/>
        </w:rPr>
        <w:t xml:space="preserve">4. User Stories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As the CHRO, I upload the latest employee master export and click Update so the whole picture — headcount, turnover, comp, recruiting — refreshes at once, without asking anyone to rebuild slides.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As an HR leader, I upload the AI Readiness results file separately so the L&amp;D tab shows adoption/capability scores without touching the employee master.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As the CHRO, I download a report at the end of the session so I can share a static snapshot with the CEO/board without giving them access to the tool.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As an HR leader, I see headcount broken down by department, location, and level in one view so I can answer “where are our people” without cross-referencing three spreadsheets.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As an HR leader, I see turnover (voluntary vs. involuntary) so I can flag retention risk by function or location before it becomes a board question.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As the CHRO, if I upload a file with missing or malformed columns, I want a clear error message telling me what’s wrong, not a silent blank dashboard.</w:t>
      </w:r>
    </w:p>
    <w:p>
      <w:pPr>
        <w:pStyle w:val="Heading1"/>
        <w:pBdr>
          <w:bottom w:val="single" w:color="C8CDD7" w:sz="6" w:space="4"/>
        </w:pBdr>
        <w:spacing w:after="160" w:before="320"/>
      </w:pPr>
      <w:r>
        <w:rPr>
          <w:b/>
          <w:bCs/>
          <w:color w:val="1E3A5F"/>
          <w:sz w:val="26"/>
          <w:szCs w:val="26"/>
        </w:rPr>
        <w:t xml:space="preserve">5. Functional Requirements</w:t>
      </w:r>
    </w:p>
    <w:p>
      <w:pPr>
        <w:pStyle w:val="Heading2"/>
        <w:spacing w:after="100" w:before="220"/>
      </w:pPr>
      <w:r>
        <w:rPr>
          <w:b/>
          <w:bCs/>
          <w:color w:val="1E3A5F"/>
          <w:sz w:val="22"/>
          <w:szCs w:val="22"/>
        </w:rPr>
        <w:t xml:space="preserve">5.1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Accept Employee Master as .xlsx or .csv. Required columns (minimum): employee_id, employment_status (Active/Terminated), department, function, office_location, career_track, career_level, hire_date, termination_date, termination_type (Voluntary/Involuntary), base_salary, currency, compa_ratio, range_penetration, target_bonus_pct, last_promotion_date, source_of_hire.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Accept AI Readiness Results as .xlsx (optional, separate upload control). Expected sheet “Individual Results” with columns: Emp ID, Name, Title, Level, Overall Score, Tier, plus per-dimension scores (e.g., HR Tech &amp; AI, Data &amp; Analytics, Change Mgmt, Ethical AI, Strategic, Vendor Mgmt, Cross-func Collab, User Experience, Agentic AI, Governance &amp; Risk).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Validate on upload: required columns present, no duplicate employee_id, dates parse correctly. On failure, show a specific error (missing column name, row number of bad data) — never fail silently.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Replacing a file (re-upload) fully replaces the prior dataset for that input; no merge logic in V1.</w:t>
      </w:r>
    </w:p>
    <w:p>
      <w:pPr>
        <w:pStyle w:val="Heading2"/>
        <w:spacing w:after="100" w:before="220"/>
      </w:pPr>
      <w:r>
        <w:rPr>
          <w:b/>
          <w:bCs/>
          <w:color w:val="1E3A5F"/>
          <w:sz w:val="22"/>
          <w:szCs w:val="22"/>
        </w:rPr>
        <w:t xml:space="preserve">5.2 Update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 single Update control reprocesses all currently loaded files and re-renders all three tabs from scratch. No auto-refresh on upload alone — the user must click Update, so they control exactly when the view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Show a last-updated timestamp and the source filename(s) currently loaded, visible on every tab.</w:t>
      </w:r>
    </w:p>
    <w:p>
      <w:pPr>
        <w:pStyle w:val="Heading2"/>
        <w:spacing w:after="100" w:before="220"/>
      </w:pPr>
      <w:r>
        <w:rPr>
          <w:b/>
          <w:bCs/>
          <w:color w:val="1E3A5F"/>
          <w:sz w:val="22"/>
          <w:szCs w:val="22"/>
        </w:rPr>
        <w:t xml:space="preserve">5.3 Tab: Executive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Headcount by department — bar chart + table, active employees only, with total.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Headcount by location — bar chart + table (Boston, Denver, Toronto, Dublin, Remote-US, or whatever values are present in the file).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Headcount by level — distribution across career_level (IC: P1–P7, Mgmt: M3–M8), split by career_track.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Turnover — voluntary and involuntary turnover rate, computed as terminations of that type ÷ average active headcount, for the trailing 12 months from the file’s most recent termination_date/hire_date data; shown overall and by department.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All charts must cross-filter or at minimum be individually filterable by department and location.</w:t>
      </w:r>
    </w:p>
    <w:p>
      <w:pPr>
        <w:pStyle w:val="Heading2"/>
        <w:spacing w:after="100" w:before="220"/>
      </w:pPr>
      <w:r>
        <w:rPr>
          <w:b/>
          <w:bCs/>
          <w:color w:val="1E3A5F"/>
          <w:sz w:val="22"/>
          <w:szCs w:val="22"/>
        </w:rPr>
        <w:t xml:space="preserve">5.4 Tab: Learning &amp;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Dedicated upload control for the AI Readiness Results file (independent of the employee master upload).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Summary view: average Overall Score and Tier distribution across the People function (or whichever population is in the file).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Dimension breakdown: average score per dimension (e.g., HR Tech &amp; AI, Data &amp; Analytics, Ethical AI, Agentic AI, etc.), highlighting strongest and weakest dimensions.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Individual-level table (Name, Title, Level, Overall Score, Tier) sortable/filterable — treat as sensitive; see Section 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If no AI Readiness file has been uploaded, this tab shows an empty state prompting upload — it must not block the other two tabs.</w:t>
      </w:r>
    </w:p>
    <w:p>
      <w:pPr>
        <w:pStyle w:val="Heading2"/>
        <w:spacing w:after="100" w:before="220"/>
      </w:pPr>
      <w:r>
        <w:rPr>
          <w:b/>
          <w:bCs/>
          <w:color w:val="1E3A5F"/>
          <w:sz w:val="22"/>
          <w:szCs w:val="22"/>
        </w:rPr>
        <w:t xml:space="preserve">5.5 Tab: Compensation &amp; Recruitment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Compensation: </w:t>
      </w:r>
      <w:r>
        <w:rPr>
          <w:sz w:val="20"/>
          <w:szCs w:val="20"/>
        </w:rPr>
        <w:t xml:space="preserve">compa-ratio and range-penetration distribution (overall and by department/level), average base salary by department/level/location, % of employees below 0.90 compa-ratio (a standard flag for below-range pay), bonus target % by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Recruitment: </w:t>
      </w:r>
      <w:r>
        <w:rPr>
          <w:sz w:val="20"/>
          <w:szCs w:val="20"/>
        </w:rPr>
        <w:t xml:space="preserve">new hires in trailing 12 months (by hire_date) broken down by department and source_of_hire; average tenure at level; recent promotions count (last_promotion_date within trailing 12 months) by department.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Note in-app that deeper recruiting funnel metrics (time-to-fill, offer acceptance, pipeline by stage) require the separate Recruiting Funnel file and are planned for V2.</w:t>
      </w:r>
    </w:p>
    <w:p>
      <w:pPr>
        <w:pStyle w:val="Heading2"/>
        <w:spacing w:after="100" w:before="220"/>
      </w:pPr>
      <w:r>
        <w:rPr>
          <w:b/>
          <w:bCs/>
          <w:color w:val="1E3A5F"/>
          <w:sz w:val="22"/>
          <w:szCs w:val="22"/>
        </w:rPr>
        <w:t xml:space="preserve">5.6 Downloadable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One Download Report button generates a PDF (preferred) or PPTX snapshot containing: title page with upload timestamp/filenames, then one page/slide per tab reproducing its key charts and headline numbers.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Report must be generated from whatever is currently on screen (respecting any active filters) so what the CHRO downloads matches what they were just looking at.</w:t>
      </w:r>
    </w:p>
    <w:p>
      <w:pPr>
        <w:pStyle w:val="Heading1"/>
        <w:pBdr>
          <w:bottom w:val="single" w:color="C8CDD7" w:sz="6" w:space="4"/>
        </w:pBdr>
        <w:spacing w:after="160" w:before="320"/>
      </w:pPr>
      <w:r>
        <w:rPr>
          <w:b/>
          <w:bCs/>
          <w:color w:val="1E3A5F"/>
          <w:sz w:val="26"/>
          <w:szCs w:val="26"/>
        </w:rPr>
        <w:t xml:space="preserve">6. Data &amp; Privacy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Employee Master contains compensation, performance, and demographic fields (e.g., race_ethnicity, gender, disability_self_id). V1 must not display or aggregate demographic self-ID fields on any tab — they are out of scope for this dashboard’s purpose and should be ignored by the parser even if present in the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Individual-level compensation and AI Readiness data (name-level rows) should be visible only within the tool session and the downloaded report — no data leaves the local environment via API calls to third parties.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file is persisted after the session ends unless the user explicitly saves/exports it; treat uploaded files as transient working data, consistent with the Baladna/PIH principle of not retaining sensitive HR data beyond its working purpose.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All monetary figures must respect the currency field per employee (USD/CAD/EUR) — do not silently sum across currencies without conversion or clear labeling.</w:t>
      </w:r>
    </w:p>
    <w:p>
      <w:pPr>
        <w:pStyle w:val="Heading1"/>
        <w:pBdr>
          <w:bottom w:val="single" w:color="C8CDD7" w:sz="6" w:space="4"/>
        </w:pBdr>
        <w:spacing w:after="160" w:before="320"/>
      </w:pPr>
      <w:r>
        <w:rPr>
          <w:b/>
          <w:bCs/>
          <w:color w:val="1E3A5F"/>
          <w:sz w:val="26"/>
          <w:szCs w:val="26"/>
        </w:rPr>
        <w:t xml:space="preserve">7. Acceptance Criteria</w:t>
      </w:r>
    </w:p>
    <w:p>
      <w:pPr>
        <w:spacing w:after="7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Uploading a valid Employee Master .xlsx or .csv and clicking Update populates all fields on the Executive Dashboard and Compensation &amp; Recruitment tabs with no errors.</w:t>
      </w:r>
    </w:p>
    <w:p>
      <w:pPr>
        <w:spacing w:after="7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Uploading a valid AI Readiness .xlsx and clicking Update populates the L&amp;D tab; the other two tabs are unaffected by this upload.</w:t>
      </w:r>
    </w:p>
    <w:p>
      <w:pPr>
        <w:spacing w:after="7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Re-uploading a corrected file and clicking Update fully replaces the prior snapshot (no stale numbers remain from the first upload).</w:t>
      </w:r>
    </w:p>
    <w:p>
      <w:pPr>
        <w:spacing w:after="7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Uploading a file missing a required column produces a specific, readable error naming the missing column — the app does not crash or render a blank/broken dashboard.</w:t>
      </w:r>
    </w:p>
    <w:p>
      <w:pPr>
        <w:spacing w:after="7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Headcount totals shown on the Executive Dashboard tab match a manual count of employment_status = Active rows in the source file.</w:t>
      </w:r>
    </w:p>
    <w:p>
      <w:pPr>
        <w:spacing w:after="7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Turnover rate shown matches a manual calculation of (voluntary or involuntary terminations in trailing 12 months) ÷ (average active headcount over the same period).</w:t>
      </w:r>
    </w:p>
    <w:p>
      <w:pPr>
        <w:spacing w:after="7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Demographic self-ID fields (gender, race_ethnicity, veteran_status, disability_self_id) do not appear anywhere in the UI or the downloaded report.</w:t>
      </w:r>
    </w:p>
    <w:p>
      <w:pPr>
        <w:spacing w:after="7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Clicking Download Report produces a file that matches what is currently displayed on screen, including any active filters.</w:t>
      </w:r>
    </w:p>
    <w:p>
      <w:pPr>
        <w:spacing w:after="7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The entire flow — upload employee master, upload AI readiness file, click Update, review three tabs, download report — can be completed by a non-technical HR leader in under 5 minutes without instructions.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2026-07-13T07:12:33.944Z</dcterms:created>
  <dcterms:modified xsi:type="dcterms:W3CDTF">2026-07-13T07:12:33.944Z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