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0B1F3A"/>
          <w:sz w:val="64"/>
          <w:szCs w:val="64"/>
        </w:rPr>
        <w:t xml:space="preserve">TEAMBEES CORP</w:t>
      </w:r>
    </w:p>
    <w:p>
      <w:pPr>
        <w:pBdr>
          <w:bottom w:val="single" w:color="C6963A" w:sz="18" w:space="12"/>
        </w:pBdr>
        <w:spacing w:after="100" w:before="200"/>
        <w:jc w:val="center"/>
      </w:pPr>
      <w:r>
        <w:rPr>
          <w:sz w:val="4"/>
          <w:szCs w:val="4"/>
        </w:rPr>
        <w:t xml:space="preserve"/>
      </w:r>
    </w:p>
    <w:p>
      <w:pPr>
        <w:spacing w:before="300"/>
        <w:jc w:val="center"/>
      </w:pPr>
      <w:r>
        <w:rPr>
          <w:rFonts w:ascii="Calibri" w:cs="Calibri" w:eastAsia="Calibri" w:hAnsi="Calibri"/>
          <w:b/>
          <w:bCs/>
          <w:color w:val="C6963A"/>
          <w:sz w:val="34"/>
          <w:szCs w:val="34"/>
        </w:rPr>
        <w:t xml:space="preserve">GLOBAL CORPORATE WEBSITE</w:t>
      </w:r>
    </w:p>
    <w:p>
      <w:pPr>
        <w:spacing w:before="80"/>
        <w:jc w:val="center"/>
      </w:pPr>
      <w:r>
        <w:rPr>
          <w:rFonts w:ascii="Calibri" w:cs="Calibri" w:eastAsia="Calibri" w:hAnsi="Calibri"/>
          <w:b/>
          <w:bCs/>
          <w:color w:val="C6963A"/>
          <w:sz w:val="34"/>
          <w:szCs w:val="34"/>
        </w:rPr>
        <w:t xml:space="preserve">DESIGN BLUEPRINT</w:t>
      </w:r>
    </w:p>
    <w:p>
      <w:pPr>
        <w:spacing w:before="500"/>
        <w:jc w:val="center"/>
      </w:pPr>
      <w:r>
        <w:rPr>
          <w:rFonts w:ascii="Calibri" w:cs="Calibri" w:eastAsia="Calibri" w:hAnsi="Calibri"/>
          <w:i/>
          <w:iCs/>
          <w:color w:val="132B4F"/>
          <w:sz w:val="22"/>
          <w:szCs w:val="22"/>
        </w:rPr>
        <w:t xml:space="preserve">UX Strategy · Information Architecture · UI Design System · SEO &amp; Content Strategy</w:t>
      </w:r>
    </w:p>
    <w:p>
      <w:pPr>
        <w:spacing w:before="60"/>
        <w:jc w:val="center"/>
      </w:pPr>
      <w:r>
        <w:rPr>
          <w:rFonts w:ascii="Calibri" w:cs="Calibri" w:eastAsia="Calibri" w:hAnsi="Calibri"/>
          <w:i/>
          <w:iCs/>
          <w:color w:val="132B4F"/>
          <w:sz w:val="22"/>
          <w:szCs w:val="22"/>
        </w:rPr>
        <w:t xml:space="preserve">Conversion Architecture · Component Library · Implementation Roadmap</w:t>
      </w:r>
    </w:p>
    <w:p>
      <w:pPr>
        <w:spacing w:before="1600"/>
      </w:pPr>
    </w:p>
    <w:p>
      <w:pPr>
        <w:jc w:val="center"/>
      </w:pPr>
      <w:r>
        <w:rPr>
          <w:rFonts w:ascii="Calibri" w:cs="Calibri" w:eastAsia="Calibri" w:hAnsi="Calibri"/>
          <w:color w:val="3F3F3F"/>
          <w:sz w:val="20"/>
          <w:szCs w:val="20"/>
        </w:rPr>
        <w:t xml:space="preserve">Talent Bees · Digital Bees · AI Bees · Marketing Bees</w:t>
      </w:r>
    </w:p>
    <w:p>
      <w:pPr>
        <w:spacing w:before="40"/>
        <w:jc w:val="center"/>
      </w:pPr>
      <w:r>
        <w:rPr>
          <w:rFonts w:ascii="Calibri" w:cs="Calibri" w:eastAsia="Calibri" w:hAnsi="Calibri"/>
          <w:color w:val="3F3F3F"/>
          <w:sz w:val="20"/>
          <w:szCs w:val="20"/>
        </w:rPr>
        <w:t xml:space="preserve">Quality Bees · ServiceNow Bees · Energy Bees</w:t>
      </w:r>
    </w:p>
    <w:p>
      <w:pPr>
        <w:spacing w:before="600"/>
        <w:jc w:val="center"/>
      </w:pPr>
      <w:r>
        <w:rPr>
          <w:rFonts w:ascii="Calibri" w:cs="Calibri" w:eastAsia="Calibri" w:hAnsi="Calibri"/>
          <w:b/>
          <w:bCs/>
          <w:color w:val="132B4F"/>
          <w:sz w:val="20"/>
          <w:szCs w:val="20"/>
        </w:rPr>
        <w:t xml:space="preserve">USA · UK · Europe · Canada · Australia · UAE</w:t>
      </w:r>
    </w:p>
    <w:p>
      <w:pPr>
        <w:spacing w:before="1400"/>
        <w:jc w:val="center"/>
      </w:pPr>
      <w:r>
        <w:rPr>
          <w:rFonts w:ascii="Calibri" w:cs="Calibri" w:eastAsia="Calibri" w:hAnsi="Calibri"/>
          <w:i/>
          <w:iCs/>
          <w:color w:val="3F3F3F"/>
          <w:sz w:val="18"/>
          <w:szCs w:val="18"/>
        </w:rPr>
        <w:t xml:space="preserve">Prepared as a build-ready reference for Design, Content, and Engineering teams</w:t>
      </w:r>
    </w:p>
    <w:p>
      <w:pPr>
        <w:spacing w:before="40"/>
        <w:jc w:val="center"/>
      </w:pPr>
      <w:r>
        <w:rPr>
          <w:rFonts w:ascii="Calibri" w:cs="Calibri" w:eastAsia="Calibri" w:hAnsi="Calibri"/>
          <w:color w:val="3F3F3F"/>
          <w:sz w:val="18"/>
          <w:szCs w:val="18"/>
        </w:rPr>
        <w:t xml:space="preserve">Version 1.0  ·  Confidential  ·  For Internal &amp; Vendor Use</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
      </w:r>
      <w:r>
        <w:rPr>
          <w:rFonts w:ascii="Calibri" w:cs="Calibri" w:eastAsia="Calibri" w:hAnsi="Calibri"/>
          <w:b/>
          <w:bCs/>
          <w:color w:val="0B1F3A"/>
          <w:sz w:val="32"/>
          <w:szCs w:val="32"/>
        </w:rPr>
        <w:t xml:space="preserve">Table of Contents</w:t>
      </w:r>
    </w:p>
    <w:p>
      <w:pPr>
        <w:spacing w:after="200"/>
      </w:pPr>
    </w:p>
    <w:p>
      <w:pPr>
        <w:tabs>
          <w:tab w:val="right" w:pos="9350" w:leader="dot"/>
        </w:tabs>
        <w:spacing w:after="70" w:before="0"/>
      </w:pPr>
      <w:r>
        <w:rPr>
          <w:rFonts w:ascii="Calibri" w:cs="Calibri" w:eastAsia="Calibri" w:hAnsi="Calibri"/>
          <w:b w:val="false"/>
          <w:bCs w:val="false"/>
          <w:color w:val="132B4F"/>
          <w:sz w:val="21"/>
          <w:szCs w:val="21"/>
        </w:rPr>
        <w:t xml:space="preserve">Executive Summary</w:t>
      </w:r>
      <w:r>
        <w:rPr>
          <w:rFonts w:ascii="Calibri" w:cs="Calibri" w:eastAsia="Calibri" w:hAnsi="Calibri"/>
          <w:color w:val="3F3F3F"/>
          <w:sz w:val="21"/>
          <w:szCs w:val="21"/>
        </w:rPr>
        <w:t xml:space="preserve">	4</w:t>
      </w:r>
    </w:p>
    <w:p>
      <w:pPr>
        <w:tabs>
          <w:tab w:val="right" w:pos="9350" w:leader="dot"/>
        </w:tabs>
        <w:spacing w:after="70" w:before="0"/>
      </w:pPr>
      <w:r>
        <w:rPr>
          <w:rFonts w:ascii="Calibri" w:cs="Calibri" w:eastAsia="Calibri" w:hAnsi="Calibri"/>
          <w:b w:val="false"/>
          <w:bCs w:val="false"/>
          <w:color w:val="132B4F"/>
          <w:sz w:val="21"/>
          <w:szCs w:val="21"/>
        </w:rPr>
        <w:t xml:space="preserve">How to Use This Document</w:t>
      </w:r>
      <w:r>
        <w:rPr>
          <w:rFonts w:ascii="Calibri" w:cs="Calibri" w:eastAsia="Calibri" w:hAnsi="Calibri"/>
          <w:color w:val="3F3F3F"/>
          <w:sz w:val="21"/>
          <w:szCs w:val="21"/>
        </w:rPr>
        <w:t xml:space="preserve">	6</w:t>
      </w:r>
    </w:p>
    <w:p>
      <w:pPr>
        <w:tabs>
          <w:tab w:val="right" w:pos="9350" w:leader="dot"/>
        </w:tabs>
        <w:spacing w:after="160" w:before="220"/>
      </w:pPr>
      <w:r>
        <w:rPr>
          <w:rFonts w:ascii="Calibri" w:cs="Calibri" w:eastAsia="Calibri" w:hAnsi="Calibri"/>
          <w:b/>
          <w:bCs/>
          <w:color w:val="C6963A"/>
          <w:sz w:val="20"/>
          <w:szCs w:val="20"/>
        </w:rPr>
        <w:t xml:space="preserve">PART I — STRATEGY, BRAND &amp; GROWTH ARCHITECTURE</w:t>
      </w:r>
      <w:r>
        <w:rPr>
          <w:rFonts w:ascii="Calibri" w:cs="Calibri" w:eastAsia="Calibri" w:hAnsi="Calibri"/>
          <w:color w:val="3F3F3F"/>
          <w:sz w:val="21"/>
          <w:szCs w:val="21"/>
        </w:rPr>
        <w:t xml:space="preserve"/>
      </w:r>
    </w:p>
    <w:p>
      <w:pPr>
        <w:tabs>
          <w:tab w:val="right" w:pos="9350" w:leader="dot"/>
        </w:tabs>
        <w:spacing w:after="70" w:before="0"/>
      </w:pPr>
      <w:r>
        <w:rPr>
          <w:rFonts w:ascii="Calibri" w:cs="Calibri" w:eastAsia="Calibri" w:hAnsi="Calibri"/>
          <w:b w:val="false"/>
          <w:bCs w:val="false"/>
          <w:color w:val="132B4F"/>
          <w:sz w:val="21"/>
          <w:szCs w:val="21"/>
        </w:rPr>
        <w:t xml:space="preserve">1. Brand Positioning</w:t>
      </w:r>
      <w:r>
        <w:rPr>
          <w:rFonts w:ascii="Calibri" w:cs="Calibri" w:eastAsia="Calibri" w:hAnsi="Calibri"/>
          <w:color w:val="3F3F3F"/>
          <w:sz w:val="21"/>
          <w:szCs w:val="21"/>
        </w:rPr>
        <w:t xml:space="preserve">	8</w:t>
      </w:r>
    </w:p>
    <w:p>
      <w:pPr>
        <w:tabs>
          <w:tab w:val="right" w:pos="9350" w:leader="dot"/>
        </w:tabs>
        <w:spacing w:after="70" w:before="0"/>
      </w:pPr>
      <w:r>
        <w:rPr>
          <w:rFonts w:ascii="Calibri" w:cs="Calibri" w:eastAsia="Calibri" w:hAnsi="Calibri"/>
          <w:b w:val="false"/>
          <w:bCs w:val="false"/>
          <w:color w:val="132B4F"/>
          <w:sz w:val="21"/>
          <w:szCs w:val="21"/>
        </w:rPr>
        <w:t xml:space="preserve">2. Information Architecture &amp; Site Map</w:t>
      </w:r>
      <w:r>
        <w:rPr>
          <w:rFonts w:ascii="Calibri" w:cs="Calibri" w:eastAsia="Calibri" w:hAnsi="Calibri"/>
          <w:color w:val="3F3F3F"/>
          <w:sz w:val="21"/>
          <w:szCs w:val="21"/>
        </w:rPr>
        <w:t xml:space="preserve">	13</w:t>
      </w:r>
    </w:p>
    <w:p>
      <w:pPr>
        <w:tabs>
          <w:tab w:val="right" w:pos="9350" w:leader="dot"/>
        </w:tabs>
        <w:spacing w:after="70" w:before="0"/>
      </w:pPr>
      <w:r>
        <w:rPr>
          <w:rFonts w:ascii="Calibri" w:cs="Calibri" w:eastAsia="Calibri" w:hAnsi="Calibri"/>
          <w:b w:val="false"/>
          <w:bCs w:val="false"/>
          <w:color w:val="132B4F"/>
          <w:sz w:val="21"/>
          <w:szCs w:val="21"/>
        </w:rPr>
        <w:t xml:space="preserve">3. Navigation Structure</w:t>
      </w:r>
      <w:r>
        <w:rPr>
          <w:rFonts w:ascii="Calibri" w:cs="Calibri" w:eastAsia="Calibri" w:hAnsi="Calibri"/>
          <w:color w:val="3F3F3F"/>
          <w:sz w:val="21"/>
          <w:szCs w:val="21"/>
        </w:rPr>
        <w:t xml:space="preserve">	19</w:t>
      </w:r>
    </w:p>
    <w:p>
      <w:pPr>
        <w:tabs>
          <w:tab w:val="right" w:pos="9350" w:leader="dot"/>
        </w:tabs>
        <w:spacing w:after="70" w:before="0"/>
      </w:pPr>
      <w:r>
        <w:rPr>
          <w:rFonts w:ascii="Calibri" w:cs="Calibri" w:eastAsia="Calibri" w:hAnsi="Calibri"/>
          <w:b w:val="false"/>
          <w:bCs w:val="false"/>
          <w:color w:val="132B4F"/>
          <w:sz w:val="21"/>
          <w:szCs w:val="21"/>
        </w:rPr>
        <w:t xml:space="preserve">4. UX Strategy</w:t>
      </w:r>
      <w:r>
        <w:rPr>
          <w:rFonts w:ascii="Calibri" w:cs="Calibri" w:eastAsia="Calibri" w:hAnsi="Calibri"/>
          <w:color w:val="3F3F3F"/>
          <w:sz w:val="21"/>
          <w:szCs w:val="21"/>
        </w:rPr>
        <w:t xml:space="preserve">	23</w:t>
      </w:r>
    </w:p>
    <w:p>
      <w:pPr>
        <w:tabs>
          <w:tab w:val="right" w:pos="9350" w:leader="dot"/>
        </w:tabs>
        <w:spacing w:after="70" w:before="0"/>
      </w:pPr>
      <w:r>
        <w:rPr>
          <w:rFonts w:ascii="Calibri" w:cs="Calibri" w:eastAsia="Calibri" w:hAnsi="Calibri"/>
          <w:b w:val="false"/>
          <w:bCs w:val="false"/>
          <w:color w:val="132B4F"/>
          <w:sz w:val="21"/>
          <w:szCs w:val="21"/>
        </w:rPr>
        <w:t xml:space="preserve">5. Content Strategy</w:t>
      </w:r>
      <w:r>
        <w:rPr>
          <w:rFonts w:ascii="Calibri" w:cs="Calibri" w:eastAsia="Calibri" w:hAnsi="Calibri"/>
          <w:color w:val="3F3F3F"/>
          <w:sz w:val="21"/>
          <w:szCs w:val="21"/>
        </w:rPr>
        <w:t xml:space="preserve">	28</w:t>
      </w:r>
    </w:p>
    <w:p>
      <w:pPr>
        <w:tabs>
          <w:tab w:val="right" w:pos="9350" w:leader="dot"/>
        </w:tabs>
        <w:spacing w:after="70" w:before="0"/>
      </w:pPr>
      <w:r>
        <w:rPr>
          <w:rFonts w:ascii="Calibri" w:cs="Calibri" w:eastAsia="Calibri" w:hAnsi="Calibri"/>
          <w:b w:val="false"/>
          <w:bCs w:val="false"/>
          <w:color w:val="132B4F"/>
          <w:sz w:val="21"/>
          <w:szCs w:val="21"/>
        </w:rPr>
        <w:t xml:space="preserve">6. SEO Strategy</w:t>
      </w:r>
      <w:r>
        <w:rPr>
          <w:rFonts w:ascii="Calibri" w:cs="Calibri" w:eastAsia="Calibri" w:hAnsi="Calibri"/>
          <w:color w:val="3F3F3F"/>
          <w:sz w:val="21"/>
          <w:szCs w:val="21"/>
        </w:rPr>
        <w:t xml:space="preserve">	33</w:t>
      </w:r>
    </w:p>
    <w:p>
      <w:pPr>
        <w:tabs>
          <w:tab w:val="right" w:pos="9350" w:leader="dot"/>
        </w:tabs>
        <w:spacing w:after="70" w:before="0"/>
      </w:pPr>
      <w:r>
        <w:rPr>
          <w:rFonts w:ascii="Calibri" w:cs="Calibri" w:eastAsia="Calibri" w:hAnsi="Calibri"/>
          <w:b w:val="false"/>
          <w:bCs w:val="false"/>
          <w:color w:val="132B4F"/>
          <w:sz w:val="21"/>
          <w:szCs w:val="21"/>
        </w:rPr>
        <w:t xml:space="preserve">7. Landing Page Strategy (Scaling to 300+ Pages)</w:t>
      </w:r>
      <w:r>
        <w:rPr>
          <w:rFonts w:ascii="Calibri" w:cs="Calibri" w:eastAsia="Calibri" w:hAnsi="Calibri"/>
          <w:color w:val="3F3F3F"/>
          <w:sz w:val="21"/>
          <w:szCs w:val="21"/>
        </w:rPr>
        <w:t xml:space="preserve">	39</w:t>
      </w:r>
    </w:p>
    <w:p>
      <w:pPr>
        <w:tabs>
          <w:tab w:val="right" w:pos="9350" w:leader="dot"/>
        </w:tabs>
        <w:spacing w:after="70" w:before="0"/>
      </w:pPr>
      <w:r>
        <w:rPr>
          <w:rFonts w:ascii="Calibri" w:cs="Calibri" w:eastAsia="Calibri" w:hAnsi="Calibri"/>
          <w:b w:val="false"/>
          <w:bCs w:val="false"/>
          <w:color w:val="132B4F"/>
          <w:sz w:val="21"/>
          <w:szCs w:val="21"/>
        </w:rPr>
        <w:t xml:space="preserve">8. Lead Generation Strategy</w:t>
      </w:r>
      <w:r>
        <w:rPr>
          <w:rFonts w:ascii="Calibri" w:cs="Calibri" w:eastAsia="Calibri" w:hAnsi="Calibri"/>
          <w:color w:val="3F3F3F"/>
          <w:sz w:val="21"/>
          <w:szCs w:val="21"/>
        </w:rPr>
        <w:t xml:space="preserve">	44</w:t>
      </w:r>
    </w:p>
    <w:p>
      <w:pPr>
        <w:tabs>
          <w:tab w:val="right" w:pos="9350" w:leader="dot"/>
        </w:tabs>
        <w:spacing w:after="70" w:before="0"/>
      </w:pPr>
      <w:r>
        <w:rPr>
          <w:rFonts w:ascii="Calibri" w:cs="Calibri" w:eastAsia="Calibri" w:hAnsi="Calibri"/>
          <w:b w:val="false"/>
          <w:bCs w:val="false"/>
          <w:color w:val="132B4F"/>
          <w:sz w:val="21"/>
          <w:szCs w:val="21"/>
        </w:rPr>
        <w:t xml:space="preserve">9. Conversion Optimization Strategy (CRO)</w:t>
      </w:r>
      <w:r>
        <w:rPr>
          <w:rFonts w:ascii="Calibri" w:cs="Calibri" w:eastAsia="Calibri" w:hAnsi="Calibri"/>
          <w:color w:val="3F3F3F"/>
          <w:sz w:val="21"/>
          <w:szCs w:val="21"/>
        </w:rPr>
        <w:t xml:space="preserve">	48</w:t>
      </w:r>
    </w:p>
    <w:p>
      <w:pPr>
        <w:tabs>
          <w:tab w:val="right" w:pos="9350" w:leader="dot"/>
        </w:tabs>
        <w:spacing w:after="70" w:before="0"/>
      </w:pPr>
      <w:r>
        <w:rPr>
          <w:rFonts w:ascii="Calibri" w:cs="Calibri" w:eastAsia="Calibri" w:hAnsi="Calibri"/>
          <w:b w:val="false"/>
          <w:bCs w:val="false"/>
          <w:color w:val="132B4F"/>
          <w:sz w:val="21"/>
          <w:szCs w:val="21"/>
        </w:rPr>
        <w:t xml:space="preserve">10. Trust-Building Elements</w:t>
      </w:r>
      <w:r>
        <w:rPr>
          <w:rFonts w:ascii="Calibri" w:cs="Calibri" w:eastAsia="Calibri" w:hAnsi="Calibri"/>
          <w:color w:val="3F3F3F"/>
          <w:sz w:val="21"/>
          <w:szCs w:val="21"/>
        </w:rPr>
        <w:t xml:space="preserve">	52</w:t>
      </w:r>
    </w:p>
    <w:p>
      <w:pPr>
        <w:tabs>
          <w:tab w:val="right" w:pos="9350" w:leader="dot"/>
        </w:tabs>
        <w:spacing w:after="70" w:before="0"/>
      </w:pPr>
      <w:r>
        <w:rPr>
          <w:rFonts w:ascii="Calibri" w:cs="Calibri" w:eastAsia="Calibri" w:hAnsi="Calibri"/>
          <w:b w:val="false"/>
          <w:bCs w:val="false"/>
          <w:color w:val="132B4F"/>
          <w:sz w:val="21"/>
          <w:szCs w:val="21"/>
        </w:rPr>
        <w:t xml:space="preserve">11. CTA Framework</w:t>
      </w:r>
      <w:r>
        <w:rPr>
          <w:rFonts w:ascii="Calibri" w:cs="Calibri" w:eastAsia="Calibri" w:hAnsi="Calibri"/>
          <w:color w:val="3F3F3F"/>
          <w:sz w:val="21"/>
          <w:szCs w:val="21"/>
        </w:rPr>
        <w:t xml:space="preserve">	56</w:t>
      </w:r>
    </w:p>
    <w:p>
      <w:pPr>
        <w:tabs>
          <w:tab w:val="right" w:pos="9350" w:leader="dot"/>
        </w:tabs>
        <w:spacing w:after="160" w:before="220"/>
      </w:pPr>
      <w:r>
        <w:rPr>
          <w:rFonts w:ascii="Calibri" w:cs="Calibri" w:eastAsia="Calibri" w:hAnsi="Calibri"/>
          <w:b/>
          <w:bCs/>
          <w:color w:val="C6963A"/>
          <w:sz w:val="20"/>
          <w:szCs w:val="20"/>
        </w:rPr>
        <w:t xml:space="preserve">PART II — VISUAL LANGUAGE &amp; DESIGN SYSTEM</w:t>
      </w:r>
      <w:r>
        <w:rPr>
          <w:rFonts w:ascii="Calibri" w:cs="Calibri" w:eastAsia="Calibri" w:hAnsi="Calibri"/>
          <w:color w:val="3F3F3F"/>
          <w:sz w:val="21"/>
          <w:szCs w:val="21"/>
        </w:rPr>
        <w:t xml:space="preserve"/>
      </w:r>
    </w:p>
    <w:p>
      <w:pPr>
        <w:tabs>
          <w:tab w:val="right" w:pos="9350" w:leader="dot"/>
        </w:tabs>
        <w:spacing w:after="70" w:before="0"/>
      </w:pPr>
      <w:r>
        <w:rPr>
          <w:rFonts w:ascii="Calibri" w:cs="Calibri" w:eastAsia="Calibri" w:hAnsi="Calibri"/>
          <w:b w:val="false"/>
          <w:bCs w:val="false"/>
          <w:color w:val="132B4F"/>
          <w:sz w:val="21"/>
          <w:szCs w:val="21"/>
        </w:rPr>
        <w:t xml:space="preserve">12. UI Design System — Overview &amp; Principles</w:t>
      </w:r>
      <w:r>
        <w:rPr>
          <w:rFonts w:ascii="Calibri" w:cs="Calibri" w:eastAsia="Calibri" w:hAnsi="Calibri"/>
          <w:color w:val="3F3F3F"/>
          <w:sz w:val="21"/>
          <w:szCs w:val="21"/>
        </w:rPr>
        <w:t xml:space="preserve">	59</w:t>
      </w:r>
    </w:p>
    <w:p>
      <w:pPr>
        <w:tabs>
          <w:tab w:val="right" w:pos="9350" w:leader="dot"/>
        </w:tabs>
        <w:spacing w:after="70" w:before="0"/>
      </w:pPr>
      <w:r>
        <w:rPr>
          <w:rFonts w:ascii="Calibri" w:cs="Calibri" w:eastAsia="Calibri" w:hAnsi="Calibri"/>
          <w:b w:val="false"/>
          <w:bCs w:val="false"/>
          <w:color w:val="132B4F"/>
          <w:sz w:val="21"/>
          <w:szCs w:val="21"/>
        </w:rPr>
        <w:t xml:space="preserve">13. Color Palette</w:t>
      </w:r>
      <w:r>
        <w:rPr>
          <w:rFonts w:ascii="Calibri" w:cs="Calibri" w:eastAsia="Calibri" w:hAnsi="Calibri"/>
          <w:color w:val="3F3F3F"/>
          <w:sz w:val="21"/>
          <w:szCs w:val="21"/>
        </w:rPr>
        <w:t xml:space="preserve">	61</w:t>
      </w:r>
    </w:p>
    <w:p>
      <w:pPr>
        <w:tabs>
          <w:tab w:val="right" w:pos="9350" w:leader="dot"/>
        </w:tabs>
        <w:spacing w:after="70" w:before="0"/>
      </w:pPr>
      <w:r>
        <w:rPr>
          <w:rFonts w:ascii="Calibri" w:cs="Calibri" w:eastAsia="Calibri" w:hAnsi="Calibri"/>
          <w:b w:val="false"/>
          <w:bCs w:val="false"/>
          <w:color w:val="132B4F"/>
          <w:sz w:val="21"/>
          <w:szCs w:val="21"/>
        </w:rPr>
        <w:t xml:space="preserve">14. Typography</w:t>
      </w:r>
      <w:r>
        <w:rPr>
          <w:rFonts w:ascii="Calibri" w:cs="Calibri" w:eastAsia="Calibri" w:hAnsi="Calibri"/>
          <w:color w:val="3F3F3F"/>
          <w:sz w:val="21"/>
          <w:szCs w:val="21"/>
        </w:rPr>
        <w:t xml:space="preserve">	64</w:t>
      </w:r>
    </w:p>
    <w:p>
      <w:pPr>
        <w:tabs>
          <w:tab w:val="right" w:pos="9350" w:leader="dot"/>
        </w:tabs>
        <w:spacing w:after="70" w:before="0"/>
      </w:pPr>
      <w:r>
        <w:rPr>
          <w:rFonts w:ascii="Calibri" w:cs="Calibri" w:eastAsia="Calibri" w:hAnsi="Calibri"/>
          <w:b w:val="false"/>
          <w:bCs w:val="false"/>
          <w:color w:val="132B4F"/>
          <w:sz w:val="21"/>
          <w:szCs w:val="21"/>
        </w:rPr>
        <w:t xml:space="preserve">15. Iconography</w:t>
      </w:r>
      <w:r>
        <w:rPr>
          <w:rFonts w:ascii="Calibri" w:cs="Calibri" w:eastAsia="Calibri" w:hAnsi="Calibri"/>
          <w:color w:val="3F3F3F"/>
          <w:sz w:val="21"/>
          <w:szCs w:val="21"/>
        </w:rPr>
        <w:t xml:space="preserve">	67</w:t>
      </w:r>
    </w:p>
    <w:p>
      <w:pPr>
        <w:tabs>
          <w:tab w:val="right" w:pos="9350" w:leader="dot"/>
        </w:tabs>
        <w:spacing w:after="70" w:before="0"/>
      </w:pPr>
      <w:r>
        <w:rPr>
          <w:rFonts w:ascii="Calibri" w:cs="Calibri" w:eastAsia="Calibri" w:hAnsi="Calibri"/>
          <w:b w:val="false"/>
          <w:bCs w:val="false"/>
          <w:color w:val="132B4F"/>
          <w:sz w:val="21"/>
          <w:szCs w:val="21"/>
        </w:rPr>
        <w:t xml:space="preserve">16. Animation &amp; Interaction Guidelines</w:t>
      </w:r>
      <w:r>
        <w:rPr>
          <w:rFonts w:ascii="Calibri" w:cs="Calibri" w:eastAsia="Calibri" w:hAnsi="Calibri"/>
          <w:color w:val="3F3F3F"/>
          <w:sz w:val="21"/>
          <w:szCs w:val="21"/>
        </w:rPr>
        <w:t xml:space="preserve">	69</w:t>
      </w:r>
    </w:p>
    <w:p>
      <w:pPr>
        <w:tabs>
          <w:tab w:val="right" w:pos="9350" w:leader="dot"/>
        </w:tabs>
        <w:spacing w:after="70" w:before="0"/>
      </w:pPr>
      <w:r>
        <w:rPr>
          <w:rFonts w:ascii="Calibri" w:cs="Calibri" w:eastAsia="Calibri" w:hAnsi="Calibri"/>
          <w:b w:val="false"/>
          <w:bCs w:val="false"/>
          <w:color w:val="132B4F"/>
          <w:sz w:val="21"/>
          <w:szCs w:val="21"/>
        </w:rPr>
        <w:t xml:space="preserve">17. Component Library</w:t>
      </w:r>
      <w:r>
        <w:rPr>
          <w:rFonts w:ascii="Calibri" w:cs="Calibri" w:eastAsia="Calibri" w:hAnsi="Calibri"/>
          <w:color w:val="3F3F3F"/>
          <w:sz w:val="21"/>
          <w:szCs w:val="21"/>
        </w:rPr>
        <w:t xml:space="preserve">	72</w:t>
      </w:r>
    </w:p>
    <w:p>
      <w:pPr>
        <w:tabs>
          <w:tab w:val="right" w:pos="9350" w:leader="dot"/>
        </w:tabs>
        <w:spacing w:after="70" w:before="0"/>
      </w:pPr>
      <w:r>
        <w:rPr>
          <w:rFonts w:ascii="Calibri" w:cs="Calibri" w:eastAsia="Calibri" w:hAnsi="Calibri"/>
          <w:b w:val="false"/>
          <w:bCs w:val="false"/>
          <w:color w:val="132B4F"/>
          <w:sz w:val="21"/>
          <w:szCs w:val="21"/>
        </w:rPr>
        <w:t xml:space="preserve">18. Responsive Design Guidelines</w:t>
      </w:r>
      <w:r>
        <w:rPr>
          <w:rFonts w:ascii="Calibri" w:cs="Calibri" w:eastAsia="Calibri" w:hAnsi="Calibri"/>
          <w:color w:val="3F3F3F"/>
          <w:sz w:val="21"/>
          <w:szCs w:val="21"/>
        </w:rPr>
        <w:t xml:space="preserve">	80</w:t>
      </w:r>
    </w:p>
    <w:p>
      <w:pPr>
        <w:tabs>
          <w:tab w:val="right" w:pos="9350" w:leader="dot"/>
        </w:tabs>
        <w:spacing w:after="70" w:before="0"/>
      </w:pPr>
      <w:r>
        <w:rPr>
          <w:rFonts w:ascii="Calibri" w:cs="Calibri" w:eastAsia="Calibri" w:hAnsi="Calibri"/>
          <w:b w:val="false"/>
          <w:bCs w:val="false"/>
          <w:color w:val="132B4F"/>
          <w:sz w:val="21"/>
          <w:szCs w:val="21"/>
        </w:rPr>
        <w:t xml:space="preserve">19. Accessibility Recommendations (WCAG 2.2 AA)</w:t>
      </w:r>
      <w:r>
        <w:rPr>
          <w:rFonts w:ascii="Calibri" w:cs="Calibri" w:eastAsia="Calibri" w:hAnsi="Calibri"/>
          <w:color w:val="3F3F3F"/>
          <w:sz w:val="21"/>
          <w:szCs w:val="21"/>
        </w:rPr>
        <w:t xml:space="preserve">	83</w:t>
      </w:r>
    </w:p>
    <w:p>
      <w:pPr>
        <w:tabs>
          <w:tab w:val="right" w:pos="9350" w:leader="dot"/>
        </w:tabs>
        <w:spacing w:after="70" w:before="0"/>
      </w:pPr>
      <w:r>
        <w:rPr>
          <w:rFonts w:ascii="Calibri" w:cs="Calibri" w:eastAsia="Calibri" w:hAnsi="Calibri"/>
          <w:b w:val="false"/>
          <w:bCs w:val="false"/>
          <w:color w:val="132B4F"/>
          <w:sz w:val="21"/>
          <w:szCs w:val="21"/>
        </w:rPr>
        <w:t xml:space="preserve">20. Visual Inspiration &amp; Mood Board</w:t>
      </w:r>
      <w:r>
        <w:rPr>
          <w:rFonts w:ascii="Calibri" w:cs="Calibri" w:eastAsia="Calibri" w:hAnsi="Calibri"/>
          <w:color w:val="3F3F3F"/>
          <w:sz w:val="21"/>
          <w:szCs w:val="21"/>
        </w:rPr>
        <w:t xml:space="preserve">	86</w:t>
      </w:r>
    </w:p>
    <w:p>
      <w:pPr>
        <w:tabs>
          <w:tab w:val="right" w:pos="9350" w:leader="dot"/>
        </w:tabs>
        <w:spacing w:after="160" w:before="220"/>
      </w:pPr>
      <w:r>
        <w:rPr>
          <w:rFonts w:ascii="Calibri" w:cs="Calibri" w:eastAsia="Calibri" w:hAnsi="Calibri"/>
          <w:b/>
          <w:bCs/>
          <w:color w:val="C6963A"/>
          <w:sz w:val="20"/>
          <w:szCs w:val="20"/>
        </w:rPr>
        <w:t xml:space="preserve">PART III — PAGE-LEVEL WIREFRAMES &amp; TEMPLATES</w:t>
      </w:r>
      <w:r>
        <w:rPr>
          <w:rFonts w:ascii="Calibri" w:cs="Calibri" w:eastAsia="Calibri" w:hAnsi="Calibri"/>
          <w:color w:val="3F3F3F"/>
          <w:sz w:val="21"/>
          <w:szCs w:val="21"/>
        </w:rPr>
        <w:t xml:space="preserve"/>
      </w:r>
    </w:p>
    <w:p>
      <w:pPr>
        <w:tabs>
          <w:tab w:val="right" w:pos="9350" w:leader="dot"/>
        </w:tabs>
        <w:spacing w:after="70" w:before="0"/>
      </w:pPr>
      <w:r>
        <w:rPr>
          <w:rFonts w:ascii="Calibri" w:cs="Calibri" w:eastAsia="Calibri" w:hAnsi="Calibri"/>
          <w:b w:val="false"/>
          <w:bCs w:val="false"/>
          <w:color w:val="132B4F"/>
          <w:sz w:val="21"/>
          <w:szCs w:val="21"/>
        </w:rPr>
        <w:t xml:space="preserve">21. Homepage Wireframe</w:t>
      </w:r>
      <w:r>
        <w:rPr>
          <w:rFonts w:ascii="Calibri" w:cs="Calibri" w:eastAsia="Calibri" w:hAnsi="Calibri"/>
          <w:color w:val="3F3F3F"/>
          <w:sz w:val="21"/>
          <w:szCs w:val="21"/>
        </w:rPr>
        <w:t xml:space="preserve">	89</w:t>
      </w:r>
    </w:p>
    <w:p>
      <w:pPr>
        <w:tabs>
          <w:tab w:val="right" w:pos="9350" w:leader="dot"/>
        </w:tabs>
        <w:spacing w:after="70" w:before="0"/>
      </w:pPr>
      <w:r>
        <w:rPr>
          <w:rFonts w:ascii="Calibri" w:cs="Calibri" w:eastAsia="Calibri" w:hAnsi="Calibri"/>
          <w:b w:val="false"/>
          <w:bCs w:val="false"/>
          <w:color w:val="132B4F"/>
          <w:sz w:val="21"/>
          <w:szCs w:val="21"/>
        </w:rPr>
        <w:t xml:space="preserve">22. Practice Pages (7 Bees) — Wireframe &amp; Copy</w:t>
      </w:r>
      <w:r>
        <w:rPr>
          <w:rFonts w:ascii="Calibri" w:cs="Calibri" w:eastAsia="Calibri" w:hAnsi="Calibri"/>
          <w:color w:val="3F3F3F"/>
          <w:sz w:val="21"/>
          <w:szCs w:val="21"/>
        </w:rPr>
        <w:t xml:space="preserve">	96</w:t>
      </w:r>
    </w:p>
    <w:p>
      <w:pPr>
        <w:tabs>
          <w:tab w:val="right" w:pos="9350" w:leader="dot"/>
        </w:tabs>
        <w:spacing w:after="70" w:before="0"/>
      </w:pPr>
      <w:r>
        <w:rPr>
          <w:rFonts w:ascii="Calibri" w:cs="Calibri" w:eastAsia="Calibri" w:hAnsi="Calibri"/>
          <w:b w:val="false"/>
          <w:bCs w:val="false"/>
          <w:color w:val="132B4F"/>
          <w:sz w:val="21"/>
          <w:szCs w:val="21"/>
        </w:rPr>
        <w:t xml:space="preserve">23. Industry Pages — Wireframe &amp; Copy</w:t>
      </w:r>
      <w:r>
        <w:rPr>
          <w:rFonts w:ascii="Calibri" w:cs="Calibri" w:eastAsia="Calibri" w:hAnsi="Calibri"/>
          <w:color w:val="3F3F3F"/>
          <w:sz w:val="21"/>
          <w:szCs w:val="21"/>
        </w:rPr>
        <w:t xml:space="preserve">	104</w:t>
      </w:r>
    </w:p>
    <w:p>
      <w:pPr>
        <w:tabs>
          <w:tab w:val="right" w:pos="9350" w:leader="dot"/>
        </w:tabs>
        <w:spacing w:after="70" w:before="0"/>
      </w:pPr>
      <w:r>
        <w:rPr>
          <w:rFonts w:ascii="Calibri" w:cs="Calibri" w:eastAsia="Calibri" w:hAnsi="Calibri"/>
          <w:b w:val="false"/>
          <w:bCs w:val="false"/>
          <w:color w:val="132B4F"/>
          <w:sz w:val="21"/>
          <w:szCs w:val="21"/>
        </w:rPr>
        <w:t xml:space="preserve">24. Technology Pages — Wireframe &amp; Copy</w:t>
      </w:r>
      <w:r>
        <w:rPr>
          <w:rFonts w:ascii="Calibri" w:cs="Calibri" w:eastAsia="Calibri" w:hAnsi="Calibri"/>
          <w:color w:val="3F3F3F"/>
          <w:sz w:val="21"/>
          <w:szCs w:val="21"/>
        </w:rPr>
        <w:t xml:space="preserve">	109</w:t>
      </w:r>
    </w:p>
    <w:p>
      <w:pPr>
        <w:tabs>
          <w:tab w:val="right" w:pos="9350" w:leader="dot"/>
        </w:tabs>
        <w:spacing w:after="70" w:before="0"/>
      </w:pPr>
      <w:r>
        <w:rPr>
          <w:rFonts w:ascii="Calibri" w:cs="Calibri" w:eastAsia="Calibri" w:hAnsi="Calibri"/>
          <w:b w:val="false"/>
          <w:bCs w:val="false"/>
          <w:color w:val="132B4F"/>
          <w:sz w:val="21"/>
          <w:szCs w:val="21"/>
        </w:rPr>
        <w:t xml:space="preserve">25. Case Study Template</w:t>
      </w:r>
      <w:r>
        <w:rPr>
          <w:rFonts w:ascii="Calibri" w:cs="Calibri" w:eastAsia="Calibri" w:hAnsi="Calibri"/>
          <w:color w:val="3F3F3F"/>
          <w:sz w:val="21"/>
          <w:szCs w:val="21"/>
        </w:rPr>
        <w:t xml:space="preserve">	113</w:t>
      </w:r>
    </w:p>
    <w:p>
      <w:pPr>
        <w:tabs>
          <w:tab w:val="right" w:pos="9350" w:leader="dot"/>
        </w:tabs>
        <w:spacing w:after="70" w:before="0"/>
      </w:pPr>
      <w:r>
        <w:rPr>
          <w:rFonts w:ascii="Calibri" w:cs="Calibri" w:eastAsia="Calibri" w:hAnsi="Calibri"/>
          <w:b w:val="false"/>
          <w:bCs w:val="false"/>
          <w:color w:val="132B4F"/>
          <w:sz w:val="21"/>
          <w:szCs w:val="21"/>
        </w:rPr>
        <w:t xml:space="preserve">26. Company, Careers, Locations &amp; Contact Pages</w:t>
      </w:r>
      <w:r>
        <w:rPr>
          <w:rFonts w:ascii="Calibri" w:cs="Calibri" w:eastAsia="Calibri" w:hAnsi="Calibri"/>
          <w:color w:val="3F3F3F"/>
          <w:sz w:val="21"/>
          <w:szCs w:val="21"/>
        </w:rPr>
        <w:t xml:space="preserve">	116</w:t>
      </w:r>
    </w:p>
    <w:p>
      <w:pPr>
        <w:tabs>
          <w:tab w:val="right" w:pos="9350" w:leader="dot"/>
        </w:tabs>
        <w:spacing w:after="70" w:before="0"/>
      </w:pPr>
      <w:r>
        <w:rPr>
          <w:rFonts w:ascii="Calibri" w:cs="Calibri" w:eastAsia="Calibri" w:hAnsi="Calibri"/>
          <w:b w:val="false"/>
          <w:bCs w:val="false"/>
          <w:color w:val="132B4F"/>
          <w:sz w:val="21"/>
          <w:szCs w:val="21"/>
        </w:rPr>
        <w:t xml:space="preserve">27. Blog &amp; Resource Center Strategy</w:t>
      </w:r>
      <w:r>
        <w:rPr>
          <w:rFonts w:ascii="Calibri" w:cs="Calibri" w:eastAsia="Calibri" w:hAnsi="Calibri"/>
          <w:color w:val="3F3F3F"/>
          <w:sz w:val="21"/>
          <w:szCs w:val="21"/>
        </w:rPr>
        <w:t xml:space="preserve">	123</w:t>
      </w:r>
    </w:p>
    <w:p>
      <w:pPr>
        <w:tabs>
          <w:tab w:val="right" w:pos="9350" w:leader="dot"/>
        </w:tabs>
        <w:spacing w:after="160" w:before="220"/>
      </w:pPr>
      <w:r>
        <w:rPr>
          <w:rFonts w:ascii="Calibri" w:cs="Calibri" w:eastAsia="Calibri" w:hAnsi="Calibri"/>
          <w:b/>
          <w:bCs/>
          <w:color w:val="C6963A"/>
          <w:sz w:val="20"/>
          <w:szCs w:val="20"/>
        </w:rPr>
        <w:t xml:space="preserve">PART IV — ENGAGEMENT, CONVERSION &amp; FINDABILITY SYSTEMS</w:t>
      </w:r>
      <w:r>
        <w:rPr>
          <w:rFonts w:ascii="Calibri" w:cs="Calibri" w:eastAsia="Calibri" w:hAnsi="Calibri"/>
          <w:color w:val="3F3F3F"/>
          <w:sz w:val="21"/>
          <w:szCs w:val="21"/>
        </w:rPr>
        <w:t xml:space="preserve"/>
      </w:r>
    </w:p>
    <w:p>
      <w:pPr>
        <w:tabs>
          <w:tab w:val="right" w:pos="9350" w:leader="dot"/>
        </w:tabs>
        <w:spacing w:after="70" w:before="0"/>
      </w:pPr>
      <w:r>
        <w:rPr>
          <w:rFonts w:ascii="Calibri" w:cs="Calibri" w:eastAsia="Calibri" w:hAnsi="Calibri"/>
          <w:b w:val="false"/>
          <w:bCs w:val="false"/>
          <w:color w:val="132B4F"/>
          <w:sz w:val="21"/>
          <w:szCs w:val="21"/>
        </w:rPr>
        <w:t xml:space="preserve">28. Forms &amp; Conversion Flows</w:t>
      </w:r>
      <w:r>
        <w:rPr>
          <w:rFonts w:ascii="Calibri" w:cs="Calibri" w:eastAsia="Calibri" w:hAnsi="Calibri"/>
          <w:color w:val="3F3F3F"/>
          <w:sz w:val="21"/>
          <w:szCs w:val="21"/>
        </w:rPr>
        <w:t xml:space="preserve">	127</w:t>
      </w:r>
    </w:p>
    <w:p>
      <w:pPr>
        <w:tabs>
          <w:tab w:val="right" w:pos="9350" w:leader="dot"/>
        </w:tabs>
        <w:spacing w:after="70" w:before="0"/>
      </w:pPr>
      <w:r>
        <w:rPr>
          <w:rFonts w:ascii="Calibri" w:cs="Calibri" w:eastAsia="Calibri" w:hAnsi="Calibri"/>
          <w:b w:val="false"/>
          <w:bCs w:val="false"/>
          <w:color w:val="132B4F"/>
          <w:sz w:val="21"/>
          <w:szCs w:val="21"/>
        </w:rPr>
        <w:t xml:space="preserve">29. AI Chatbot Experience ("Bee Assistant")</w:t>
      </w:r>
      <w:r>
        <w:rPr>
          <w:rFonts w:ascii="Calibri" w:cs="Calibri" w:eastAsia="Calibri" w:hAnsi="Calibri"/>
          <w:color w:val="3F3F3F"/>
          <w:sz w:val="21"/>
          <w:szCs w:val="21"/>
        </w:rPr>
        <w:t xml:space="preserve">	131</w:t>
      </w:r>
    </w:p>
    <w:p>
      <w:pPr>
        <w:tabs>
          <w:tab w:val="right" w:pos="9350" w:leader="dot"/>
        </w:tabs>
        <w:spacing w:after="70" w:before="0"/>
      </w:pPr>
      <w:r>
        <w:rPr>
          <w:rFonts w:ascii="Calibri" w:cs="Calibri" w:eastAsia="Calibri" w:hAnsi="Calibri"/>
          <w:b w:val="false"/>
          <w:bCs w:val="false"/>
          <w:color w:val="132B4F"/>
          <w:sz w:val="21"/>
          <w:szCs w:val="21"/>
        </w:rPr>
        <w:t xml:space="preserve">30. Global Search Strategy</w:t>
      </w:r>
      <w:r>
        <w:rPr>
          <w:rFonts w:ascii="Calibri" w:cs="Calibri" w:eastAsia="Calibri" w:hAnsi="Calibri"/>
          <w:color w:val="3F3F3F"/>
          <w:sz w:val="21"/>
          <w:szCs w:val="21"/>
        </w:rPr>
        <w:t xml:space="preserve">	134</w:t>
      </w:r>
    </w:p>
    <w:p>
      <w:pPr>
        <w:tabs>
          <w:tab w:val="right" w:pos="9350" w:leader="dot"/>
        </w:tabs>
        <w:spacing w:after="70" w:before="0"/>
      </w:pPr>
      <w:r>
        <w:rPr>
          <w:rFonts w:ascii="Calibri" w:cs="Calibri" w:eastAsia="Calibri" w:hAnsi="Calibri"/>
          <w:b w:val="false"/>
          <w:bCs w:val="false"/>
          <w:color w:val="132B4F"/>
          <w:sz w:val="21"/>
          <w:szCs w:val="21"/>
        </w:rPr>
        <w:t xml:space="preserve">31. Internal Linking Strategy</w:t>
      </w:r>
      <w:r>
        <w:rPr>
          <w:rFonts w:ascii="Calibri" w:cs="Calibri" w:eastAsia="Calibri" w:hAnsi="Calibri"/>
          <w:color w:val="3F3F3F"/>
          <w:sz w:val="21"/>
          <w:szCs w:val="21"/>
        </w:rPr>
        <w:t xml:space="preserve">	136</w:t>
      </w:r>
    </w:p>
    <w:p>
      <w:pPr>
        <w:tabs>
          <w:tab w:val="right" w:pos="9350" w:leader="dot"/>
        </w:tabs>
        <w:spacing w:after="70" w:before="0"/>
      </w:pPr>
      <w:r>
        <w:rPr>
          <w:rFonts w:ascii="Calibri" w:cs="Calibri" w:eastAsia="Calibri" w:hAnsi="Calibri"/>
          <w:b w:val="false"/>
          <w:bCs w:val="false"/>
          <w:color w:val="132B4F"/>
          <w:sz w:val="21"/>
          <w:szCs w:val="21"/>
        </w:rPr>
        <w:t xml:space="preserve">32. Footer Architecture</w:t>
      </w:r>
      <w:r>
        <w:rPr>
          <w:rFonts w:ascii="Calibri" w:cs="Calibri" w:eastAsia="Calibri" w:hAnsi="Calibri"/>
          <w:color w:val="3F3F3F"/>
          <w:sz w:val="21"/>
          <w:szCs w:val="21"/>
        </w:rPr>
        <w:t xml:space="preserve">	139</w:t>
      </w:r>
    </w:p>
    <w:p>
      <w:pPr>
        <w:tabs>
          <w:tab w:val="right" w:pos="9350" w:leader="dot"/>
        </w:tabs>
        <w:spacing w:after="160" w:before="220"/>
      </w:pPr>
      <w:r>
        <w:rPr>
          <w:rFonts w:ascii="Calibri" w:cs="Calibri" w:eastAsia="Calibri" w:hAnsi="Calibri"/>
          <w:b/>
          <w:bCs/>
          <w:color w:val="C6963A"/>
          <w:sz w:val="20"/>
          <w:szCs w:val="20"/>
        </w:rPr>
        <w:t xml:space="preserve">PART V — CONTENT &amp; COPY LIBRARY</w:t>
      </w:r>
      <w:r>
        <w:rPr>
          <w:rFonts w:ascii="Calibri" w:cs="Calibri" w:eastAsia="Calibri" w:hAnsi="Calibri"/>
          <w:color w:val="3F3F3F"/>
          <w:sz w:val="21"/>
          <w:szCs w:val="21"/>
        </w:rPr>
        <w:t xml:space="preserve"/>
      </w:r>
    </w:p>
    <w:p>
      <w:pPr>
        <w:tabs>
          <w:tab w:val="right" w:pos="9350" w:leader="dot"/>
        </w:tabs>
        <w:spacing w:after="70" w:before="0"/>
      </w:pPr>
      <w:r>
        <w:rPr>
          <w:rFonts w:ascii="Calibri" w:cs="Calibri" w:eastAsia="Calibri" w:hAnsi="Calibri"/>
          <w:b w:val="false"/>
          <w:bCs w:val="false"/>
          <w:color w:val="132B4F"/>
          <w:sz w:val="21"/>
          <w:szCs w:val="21"/>
        </w:rPr>
        <w:t xml:space="preserve">33. Detailed Copy Recommendations, Section by Section</w:t>
      </w:r>
      <w:r>
        <w:rPr>
          <w:rFonts w:ascii="Calibri" w:cs="Calibri" w:eastAsia="Calibri" w:hAnsi="Calibri"/>
          <w:color w:val="3F3F3F"/>
          <w:sz w:val="21"/>
          <w:szCs w:val="21"/>
        </w:rPr>
        <w:t xml:space="preserve">	142</w:t>
      </w:r>
    </w:p>
    <w:p>
      <w:pPr>
        <w:tabs>
          <w:tab w:val="right" w:pos="9350" w:leader="dot"/>
        </w:tabs>
        <w:spacing w:after="160" w:before="220"/>
      </w:pPr>
      <w:r>
        <w:rPr>
          <w:rFonts w:ascii="Calibri" w:cs="Calibri" w:eastAsia="Calibri" w:hAnsi="Calibri"/>
          <w:b/>
          <w:bCs/>
          <w:color w:val="C6963A"/>
          <w:sz w:val="20"/>
          <w:szCs w:val="20"/>
        </w:rPr>
        <w:t xml:space="preserve">PART VI — TECHNOLOGY, OPERATIONS &amp; GOVERNANCE</w:t>
      </w:r>
      <w:r>
        <w:rPr>
          <w:rFonts w:ascii="Calibri" w:cs="Calibri" w:eastAsia="Calibri" w:hAnsi="Calibri"/>
          <w:color w:val="3F3F3F"/>
          <w:sz w:val="21"/>
          <w:szCs w:val="21"/>
        </w:rPr>
        <w:t xml:space="preserve"/>
      </w:r>
    </w:p>
    <w:p>
      <w:pPr>
        <w:tabs>
          <w:tab w:val="right" w:pos="9350" w:leader="dot"/>
        </w:tabs>
        <w:spacing w:after="70" w:before="0"/>
      </w:pPr>
      <w:r>
        <w:rPr>
          <w:rFonts w:ascii="Calibri" w:cs="Calibri" w:eastAsia="Calibri" w:hAnsi="Calibri"/>
          <w:b w:val="false"/>
          <w:bCs w:val="false"/>
          <w:color w:val="132B4F"/>
          <w:sz w:val="21"/>
          <w:szCs w:val="21"/>
        </w:rPr>
        <w:t xml:space="preserve">34. CRM Integration Recommendations</w:t>
      </w:r>
      <w:r>
        <w:rPr>
          <w:rFonts w:ascii="Calibri" w:cs="Calibri" w:eastAsia="Calibri" w:hAnsi="Calibri"/>
          <w:color w:val="3F3F3F"/>
          <w:sz w:val="21"/>
          <w:szCs w:val="21"/>
        </w:rPr>
        <w:t xml:space="preserve">	149</w:t>
      </w:r>
    </w:p>
    <w:p>
      <w:pPr>
        <w:tabs>
          <w:tab w:val="right" w:pos="9350" w:leader="dot"/>
        </w:tabs>
        <w:spacing w:after="70" w:before="0"/>
      </w:pPr>
      <w:r>
        <w:rPr>
          <w:rFonts w:ascii="Calibri" w:cs="Calibri" w:eastAsia="Calibri" w:hAnsi="Calibri"/>
          <w:b w:val="false"/>
          <w:bCs w:val="false"/>
          <w:color w:val="132B4F"/>
          <w:sz w:val="21"/>
          <w:szCs w:val="21"/>
        </w:rPr>
        <w:t xml:space="preserve">35. Analytics &amp; KPI Dashboard</w:t>
      </w:r>
      <w:r>
        <w:rPr>
          <w:rFonts w:ascii="Calibri" w:cs="Calibri" w:eastAsia="Calibri" w:hAnsi="Calibri"/>
          <w:color w:val="3F3F3F"/>
          <w:sz w:val="21"/>
          <w:szCs w:val="21"/>
        </w:rPr>
        <w:t xml:space="preserve">	152</w:t>
      </w:r>
    </w:p>
    <w:p>
      <w:pPr>
        <w:tabs>
          <w:tab w:val="right" w:pos="9350" w:leader="dot"/>
        </w:tabs>
        <w:spacing w:after="70" w:before="0"/>
      </w:pPr>
      <w:r>
        <w:rPr>
          <w:rFonts w:ascii="Calibri" w:cs="Calibri" w:eastAsia="Calibri" w:hAnsi="Calibri"/>
          <w:b w:val="false"/>
          <w:bCs w:val="false"/>
          <w:color w:val="132B4F"/>
          <w:sz w:val="21"/>
          <w:szCs w:val="21"/>
        </w:rPr>
        <w:t xml:space="preserve">36. Performance Optimization Checklist</w:t>
      </w:r>
      <w:r>
        <w:rPr>
          <w:rFonts w:ascii="Calibri" w:cs="Calibri" w:eastAsia="Calibri" w:hAnsi="Calibri"/>
          <w:color w:val="3F3F3F"/>
          <w:sz w:val="21"/>
          <w:szCs w:val="21"/>
        </w:rPr>
        <w:t xml:space="preserve">	155</w:t>
      </w:r>
    </w:p>
    <w:p>
      <w:pPr>
        <w:tabs>
          <w:tab w:val="right" w:pos="9350" w:leader="dot"/>
        </w:tabs>
        <w:spacing w:after="70" w:before="0"/>
      </w:pPr>
      <w:r>
        <w:rPr>
          <w:rFonts w:ascii="Calibri" w:cs="Calibri" w:eastAsia="Calibri" w:hAnsi="Calibri"/>
          <w:b w:val="false"/>
          <w:bCs w:val="false"/>
          <w:color w:val="132B4F"/>
          <w:sz w:val="21"/>
          <w:szCs w:val="21"/>
        </w:rPr>
        <w:t xml:space="preserve">37. Security &amp; Compliance Considerations</w:t>
      </w:r>
      <w:r>
        <w:rPr>
          <w:rFonts w:ascii="Calibri" w:cs="Calibri" w:eastAsia="Calibri" w:hAnsi="Calibri"/>
          <w:color w:val="3F3F3F"/>
          <w:sz w:val="21"/>
          <w:szCs w:val="21"/>
        </w:rPr>
        <w:t xml:space="preserve">	157</w:t>
      </w:r>
    </w:p>
    <w:p>
      <w:pPr>
        <w:tabs>
          <w:tab w:val="right" w:pos="9350" w:leader="dot"/>
        </w:tabs>
        <w:spacing w:after="70" w:before="0"/>
      </w:pPr>
      <w:r>
        <w:rPr>
          <w:rFonts w:ascii="Calibri" w:cs="Calibri" w:eastAsia="Calibri" w:hAnsi="Calibri"/>
          <w:b w:val="false"/>
          <w:bCs w:val="false"/>
          <w:color w:val="132B4F"/>
          <w:sz w:val="21"/>
          <w:szCs w:val="21"/>
        </w:rPr>
        <w:t xml:space="preserve">38. Development Recommendations (Next.js, Headless CMS, Core Web Vitals)</w:t>
      </w:r>
      <w:r>
        <w:rPr>
          <w:rFonts w:ascii="Calibri" w:cs="Calibri" w:eastAsia="Calibri" w:hAnsi="Calibri"/>
          <w:color w:val="3F3F3F"/>
          <w:sz w:val="21"/>
          <w:szCs w:val="21"/>
        </w:rPr>
        <w:t xml:space="preserve">	160</w:t>
      </w:r>
    </w:p>
    <w:p>
      <w:pPr>
        <w:tabs>
          <w:tab w:val="right" w:pos="9350" w:leader="dot"/>
        </w:tabs>
        <w:spacing w:after="160" w:before="220"/>
      </w:pPr>
      <w:r>
        <w:rPr>
          <w:rFonts w:ascii="Calibri" w:cs="Calibri" w:eastAsia="Calibri" w:hAnsi="Calibri"/>
          <w:b/>
          <w:bCs/>
          <w:color w:val="C6963A"/>
          <w:sz w:val="20"/>
          <w:szCs w:val="20"/>
        </w:rPr>
        <w:t xml:space="preserve">PART VII — ROADMAP &amp; GOVERNANCE</w:t>
      </w:r>
      <w:r>
        <w:rPr>
          <w:rFonts w:ascii="Calibri" w:cs="Calibri" w:eastAsia="Calibri" w:hAnsi="Calibri"/>
          <w:color w:val="3F3F3F"/>
          <w:sz w:val="21"/>
          <w:szCs w:val="21"/>
        </w:rPr>
        <w:t xml:space="preserve"/>
      </w:r>
    </w:p>
    <w:p>
      <w:pPr>
        <w:tabs>
          <w:tab w:val="right" w:pos="9350" w:leader="dot"/>
        </w:tabs>
        <w:spacing w:after="70" w:before="0"/>
      </w:pPr>
      <w:r>
        <w:rPr>
          <w:rFonts w:ascii="Calibri" w:cs="Calibri" w:eastAsia="Calibri" w:hAnsi="Calibri"/>
          <w:b w:val="false"/>
          <w:bCs w:val="false"/>
          <w:color w:val="132B4F"/>
          <w:sz w:val="21"/>
          <w:szCs w:val="21"/>
        </w:rPr>
        <w:t xml:space="preserve">39. Phased Implementation Roadmap (MVP → Phase 2 → Phase 3)</w:t>
      </w:r>
      <w:r>
        <w:rPr>
          <w:rFonts w:ascii="Calibri" w:cs="Calibri" w:eastAsia="Calibri" w:hAnsi="Calibri"/>
          <w:color w:val="3F3F3F"/>
          <w:sz w:val="21"/>
          <w:szCs w:val="21"/>
        </w:rPr>
        <w:t xml:space="preserve">	164</w:t>
      </w:r>
    </w:p>
    <w:p>
      <w:pPr>
        <w:tabs>
          <w:tab w:val="right" w:pos="9350" w:leader="dot"/>
        </w:tabs>
        <w:spacing w:after="70" w:before="0"/>
      </w:pPr>
      <w:r>
        <w:rPr>
          <w:rFonts w:ascii="Calibri" w:cs="Calibri" w:eastAsia="Calibri" w:hAnsi="Calibri"/>
          <w:b w:val="false"/>
          <w:bCs w:val="false"/>
          <w:color w:val="132B4F"/>
          <w:sz w:val="21"/>
          <w:szCs w:val="21"/>
        </w:rPr>
        <w:t xml:space="preserve">Appendix A — Governance, RACI &amp; Design Ops</w:t>
      </w:r>
      <w:r>
        <w:rPr>
          <w:rFonts w:ascii="Calibri" w:cs="Calibri" w:eastAsia="Calibri" w:hAnsi="Calibri"/>
          <w:color w:val="3F3F3F"/>
          <w:sz w:val="21"/>
          <w:szCs w:val="21"/>
        </w:rPr>
        <w:t xml:space="preserve">	168</w:t>
      </w:r>
    </w:p>
    <w:p>
      <w:pPr>
        <w:tabs>
          <w:tab w:val="right" w:pos="9350" w:leader="dot"/>
        </w:tabs>
        <w:spacing w:after="70" w:before="0"/>
      </w:pPr>
      <w:r>
        <w:rPr>
          <w:rFonts w:ascii="Calibri" w:cs="Calibri" w:eastAsia="Calibri" w:hAnsi="Calibri"/>
          <w:b w:val="false"/>
          <w:bCs w:val="false"/>
          <w:color w:val="132B4F"/>
          <w:sz w:val="21"/>
          <w:szCs w:val="21"/>
        </w:rPr>
        <w:t xml:space="preserve">Appendix B — Glossary</w:t>
      </w:r>
      <w:r>
        <w:rPr>
          <w:rFonts w:ascii="Calibri" w:cs="Calibri" w:eastAsia="Calibri" w:hAnsi="Calibri"/>
          <w:color w:val="3F3F3F"/>
          <w:sz w:val="21"/>
          <w:szCs w:val="21"/>
        </w:rPr>
        <w:t xml:space="preserve">	170</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
      </w:r>
      <w:r>
        <w:rPr>
          <w:rFonts w:ascii="Calibri" w:cs="Calibri" w:eastAsia="Calibri" w:hAnsi="Calibri"/>
          <w:b/>
          <w:bCs/>
          <w:color w:val="0B1F3A"/>
          <w:sz w:val="32"/>
          <w:szCs w:val="32"/>
        </w:rPr>
        <w:t xml:space="preserve">Executive Summary</w:t>
      </w:r>
    </w:p>
    <w:p>
      <w:pPr>
        <w:spacing w:after="160" w:line="300"/>
      </w:pPr>
      <w:r>
        <w:rPr>
          <w:rFonts w:ascii="Calibri" w:cs="Calibri" w:eastAsia="Calibri" w:hAnsi="Calibri"/>
          <w:b w:val="false"/>
          <w:bCs w:val="false"/>
          <w:i w:val="false"/>
          <w:iCs w:val="false"/>
          <w:color w:val="3F3F3F"/>
          <w:sz w:val="21"/>
          <w:szCs w:val="21"/>
        </w:rPr>
        <w:t xml:space="preserve">This blueprint is the single source of truth for designing, writing, and building the new TeamBees Corp global website. It translates TeamBees' seven-practice operating model — Talent Bees, Digital Bees, AI Bees, Marketing Bees, Quality Bees, ServiceNow Bees, and Energy Bees — into a coherent digital experience that must do four jobs simultaneously: convince a CIO in Dallas that TeamBees can run a mission-critical staff augmentation program, convince a CTO in London that TeamBees can build production AI agents, convince an HR Director in Dubai that TeamBees understands Emiratization, and convince a senior engineer anywhere that TeamBees is a place worth joining.</w:t>
      </w:r>
    </w:p>
    <w:p>
      <w:pPr>
        <w:spacing w:after="160" w:line="300"/>
      </w:pPr>
      <w:r>
        <w:rPr>
          <w:rFonts w:ascii="Calibri" w:cs="Calibri" w:eastAsia="Calibri" w:hAnsi="Calibri"/>
          <w:b w:val="false"/>
          <w:bCs w:val="false"/>
          <w:i w:val="false"/>
          <w:iCs w:val="false"/>
          <w:color w:val="3F3F3F"/>
          <w:sz w:val="21"/>
          <w:szCs w:val="21"/>
        </w:rPr>
        <w:t xml:space="preserve">The site is designed against the reference bar of EPAM, Cognizant, Nagarro, BairesDev, Toptal, and Accenture, but the intent is not to imitate a single competitor. Those firms share a common grammar: dense but scannable information architecture, credibility signals above the fold, outcome-led (not feature-led) messaging, aggressive internal linking for SEO scale, and low-friction paths from anonymous visitor to booked meeting. This document reproduces that grammar and adapts it to TeamBees' specific practice mix and target geographies.</w:t>
      </w:r>
    </w:p>
    <w:p>
      <w:pPr>
        <w:pStyle w:val="Heading2"/>
        <w:spacing w:after="160" w:before="320"/>
      </w:pPr>
      <w:r>
        <w:rPr>
          <w:rFonts w:ascii="Calibri" w:cs="Calibri" w:eastAsia="Calibri" w:hAnsi="Calibri"/>
          <w:b/>
          <w:bCs/>
          <w:color w:val="132B4F"/>
          <w:sz w:val="26"/>
          <w:szCs w:val="26"/>
        </w:rPr>
        <w:t xml:space="preserve">The Core Strategic Bet</w:t>
      </w:r>
    </w:p>
    <w:p>
      <w:pPr>
        <w:spacing w:after="160" w:line="300"/>
      </w:pPr>
      <w:r>
        <w:rPr>
          <w:rFonts w:ascii="Calibri" w:cs="Calibri" w:eastAsia="Calibri" w:hAnsi="Calibri"/>
          <w:b w:val="false"/>
          <w:bCs w:val="false"/>
          <w:i w:val="false"/>
          <w:iCs w:val="false"/>
          <w:color w:val="3F3F3F"/>
          <w:sz w:val="21"/>
          <w:szCs w:val="21"/>
        </w:rPr>
        <w:t xml:space="preserve">TeamBees is unusual among staffing-heritage companies in that it has genuine delivery depth in AI, ServiceNow, and Energy Trading platforms (Endur, Allegro, RightAngle, TriplePoint) — capabilities that most staffing competitors cannot credibly claim, and that most AI/consulting boutiques cannot pair with global talent supply. The website's central positioning job is to make this combination legible in under ten seconds: TeamBees is simultaneously a talent supply engine and a technical delivery partner, and the two reinforce each other.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color="FFFFFF" w:sz="0"/>
              <w:left w:val="single" w:color="C6963A" w:sz="24"/>
              <w:bottom w:val="none" w:color="FFFFFF" w:sz="0"/>
              <w:right w:val="none" w:color="FFFFFF" w:sz="0"/>
            </w:tcBorders>
            <w:shd w:fill="FBF6EA" w:color="FBF6EA" w:val="clear"/>
            <w:tcMar>
              <w:top w:type="dxa" w:w="160"/>
              <w:left w:type="dxa" w:w="200"/>
              <w:bottom w:type="dxa" w:w="160"/>
              <w:right w:type="dxa" w:w="200"/>
            </w:tcMar>
          </w:tcPr>
          <w:p>
            <w:pPr>
              <w:spacing w:after="80"/>
            </w:pPr>
            <w:r>
              <w:rPr>
                <w:rFonts w:ascii="Calibri" w:cs="Calibri" w:eastAsia="Calibri" w:hAnsi="Calibri"/>
                <w:b/>
                <w:bCs/>
                <w:color w:val="0B1F3A"/>
                <w:sz w:val="21"/>
                <w:szCs w:val="21"/>
              </w:rPr>
              <w:t xml:space="preserve">Design Principle Zero</w:t>
            </w:r>
          </w:p>
          <w:p>
            <w:r>
              <w:rPr>
                <w:rFonts w:ascii="Calibri" w:cs="Calibri" w:eastAsia="Calibri" w:hAnsi="Calibri"/>
                <w:color w:val="3F3F3F"/>
                <w:sz w:val="20"/>
                <w:szCs w:val="20"/>
              </w:rPr>
              <w:t xml:space="preserve">Every page must answer three questions for its specific visitor, in this order: (1) Do these people understand my exact problem? (2) Have they solved this problem before, for someone like me? (3) What is the lowest-friction next step? If a page cannot answer all three within one scroll, it is not finished.</w:t>
            </w:r>
          </w:p>
        </w:tc>
      </w:tr>
    </w:tbl>
    <w:p>
      <w:pPr>
        <w:pStyle w:val="Heading2"/>
        <w:spacing w:after="160" w:before="320"/>
      </w:pPr>
      <w:r>
        <w:rPr>
          <w:rFonts w:ascii="Calibri" w:cs="Calibri" w:eastAsia="Calibri" w:hAnsi="Calibri"/>
          <w:b/>
          <w:bCs/>
          <w:color w:val="132B4F"/>
          <w:sz w:val="26"/>
          <w:szCs w:val="26"/>
        </w:rPr>
        <w:t xml:space="preserve">What This Document Contains</w:t>
      </w:r>
    </w:p>
    <w:p>
      <w:pPr>
        <w:pStyle w:val="ListParagraph"/>
        <w:numPr>
          <w:ilvl w:val="0"/>
          <w:numId w:val="2"/>
        </w:numPr>
        <w:spacing w:after="90"/>
      </w:pPr>
      <w:r>
        <w:rPr>
          <w:rFonts w:ascii="Calibri" w:cs="Calibri" w:eastAsia="Calibri" w:hAnsi="Calibri"/>
          <w:color w:val="3F3F3F"/>
          <w:sz w:val="21"/>
          <w:szCs w:val="21"/>
        </w:rPr>
        <w:t xml:space="preserve">A complete brand positioning framework, including messaging pillars, proof points, and a competitive differentiation map against EPAM, Cognizant, Nagarro, BairesDev, Toptal, and Accenture.</w:t>
      </w:r>
    </w:p>
    <w:p>
      <w:pPr>
        <w:pStyle w:val="ListParagraph"/>
        <w:numPr>
          <w:ilvl w:val="0"/>
          <w:numId w:val="2"/>
        </w:numPr>
        <w:spacing w:after="90"/>
      </w:pPr>
      <w:r>
        <w:rPr>
          <w:rFonts w:ascii="Calibri" w:cs="Calibri" w:eastAsia="Calibri" w:hAnsi="Calibri"/>
          <w:color w:val="3F3F3F"/>
          <w:sz w:val="21"/>
          <w:szCs w:val="21"/>
        </w:rPr>
        <w:t xml:space="preserve">A full information architecture supporting 300+ landing pages across 7 practices × 6 regions × industries × technologies, without duplicating content or cannibalizing SEO equity.</w:t>
      </w:r>
    </w:p>
    <w:p>
      <w:pPr>
        <w:pStyle w:val="ListParagraph"/>
        <w:numPr>
          <w:ilvl w:val="0"/>
          <w:numId w:val="2"/>
        </w:numPr>
        <w:spacing w:after="90"/>
      </w:pPr>
      <w:r>
        <w:rPr>
          <w:rFonts w:ascii="Calibri" w:cs="Calibri" w:eastAsia="Calibri" w:hAnsi="Calibri"/>
          <w:color w:val="3F3F3F"/>
          <w:sz w:val="21"/>
          <w:szCs w:val="21"/>
        </w:rPr>
        <w:t xml:space="preserve">Wireframes, section-by-section, for every major template: homepage, practice pages, industry pages, technology pages, case studies, careers, locations, blog, and contact.</w:t>
      </w:r>
    </w:p>
    <w:p>
      <w:pPr>
        <w:pStyle w:val="ListParagraph"/>
        <w:numPr>
          <w:ilvl w:val="0"/>
          <w:numId w:val="2"/>
        </w:numPr>
        <w:spacing w:after="90"/>
      </w:pPr>
      <w:r>
        <w:rPr>
          <w:rFonts w:ascii="Calibri" w:cs="Calibri" w:eastAsia="Calibri" w:hAnsi="Calibri"/>
          <w:color w:val="3F3F3F"/>
          <w:sz w:val="21"/>
          <w:szCs w:val="21"/>
        </w:rPr>
        <w:t xml:space="preserve">A complete UI design system — color, type, iconography, motion, and a 40+ component library — built for a navy-and-gold enterprise brand system that scales across marketing pages, product-style tools, and a candidate portal.</w:t>
      </w:r>
    </w:p>
    <w:p>
      <w:pPr>
        <w:pStyle w:val="ListParagraph"/>
        <w:numPr>
          <w:ilvl w:val="0"/>
          <w:numId w:val="2"/>
        </w:numPr>
        <w:spacing w:after="90"/>
      </w:pPr>
      <w:r>
        <w:rPr>
          <w:rFonts w:ascii="Calibri" w:cs="Calibri" w:eastAsia="Calibri" w:hAnsi="Calibri"/>
          <w:color w:val="3F3F3F"/>
          <w:sz w:val="21"/>
          <w:szCs w:val="21"/>
        </w:rPr>
        <w:t xml:space="preserve">Conversion infrastructure: CTA framework, form design, lead scoring and routing, chatbot experience, internal linking rules, and a KPI dashboard tied to CRM.</w:t>
      </w:r>
    </w:p>
    <w:p>
      <w:pPr>
        <w:pStyle w:val="ListParagraph"/>
        <w:numPr>
          <w:ilvl w:val="0"/>
          <w:numId w:val="2"/>
        </w:numPr>
        <w:spacing w:after="90"/>
      </w:pPr>
      <w:r>
        <w:rPr>
          <w:rFonts w:ascii="Calibri" w:cs="Calibri" w:eastAsia="Calibri" w:hAnsi="Calibri"/>
          <w:color w:val="3F3F3F"/>
          <w:sz w:val="21"/>
          <w:szCs w:val="21"/>
        </w:rPr>
        <w:t xml:space="preserve">A phased delivery roadmap from a 90-day MVP to a fully scaled 300+ page system, with clear ownership at each phase.</w:t>
      </w:r>
    </w:p>
    <w:p>
      <w:pPr>
        <w:pStyle w:val="Heading2"/>
        <w:spacing w:after="160" w:before="320"/>
      </w:pPr>
      <w:r>
        <w:rPr>
          <w:rFonts w:ascii="Calibri" w:cs="Calibri" w:eastAsia="Calibri" w:hAnsi="Calibri"/>
          <w:b/>
          <w:bCs/>
          <w:color w:val="132B4F"/>
          <w:sz w:val="26"/>
          <w:szCs w:val="26"/>
        </w:rPr>
        <w:t xml:space="preserve">How Success Will Be Measured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KPI</w:t>
            </w:r>
          </w:p>
        </w:tc>
        <w:tc>
          <w:tcPr>
            <w:tcW w:type="dxa" w:w="2337"/>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Baseline Assumption</w:t>
            </w:r>
          </w:p>
        </w:tc>
        <w:tc>
          <w:tcPr>
            <w:tcW w:type="dxa" w:w="2337"/>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Phase 1 Target (90 days)</w:t>
            </w:r>
          </w:p>
        </w:tc>
        <w:tc>
          <w:tcPr>
            <w:tcW w:type="dxa" w:w="2337"/>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Phase 3 Target (12 months)</w:t>
            </w:r>
          </w:p>
        </w:tc>
      </w:tr>
      <w:tr>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Organic sessions / month</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Low, brand-only traffic</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+40%</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+250%</w:t>
            </w:r>
          </w:p>
        </w:tc>
      </w:tr>
      <w:tr>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Marketing-qualified leads / month</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Ad hoc, inbox-driven</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25–40</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150+</w:t>
            </w:r>
          </w:p>
        </w:tc>
      </w:tr>
      <w:tr>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Demo / consultation bookings / month</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Not tracked centrally</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15–25</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80+</w:t>
            </w:r>
          </w:p>
        </w:tc>
      </w:tr>
      <w:tr>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Avg. session-to-lead conversion rate</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Unknown</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1.8–2.5%</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4%+</w:t>
            </w:r>
          </w:p>
        </w:tc>
      </w:tr>
      <w:tr>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Indexed landing pages</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&lt; 30</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80</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300+</w:t>
            </w:r>
          </w:p>
        </w:tc>
      </w:tr>
      <w:tr>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Core Web Vitals — pages passing</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Unmeasured</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90%</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98%+</w:t>
            </w:r>
          </w:p>
        </w:tc>
      </w:tr>
      <w:tr>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Candidate applications / month (careers)</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Low, LinkedIn-dependent</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+50%</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+200%</w:t>
            </w:r>
          </w:p>
        </w:tc>
      </w:tr>
    </w:tbl>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
      </w:r>
      <w:r>
        <w:rPr>
          <w:rFonts w:ascii="Calibri" w:cs="Calibri" w:eastAsia="Calibri" w:hAnsi="Calibri"/>
          <w:b/>
          <w:bCs/>
          <w:color w:val="0B1F3A"/>
          <w:sz w:val="32"/>
          <w:szCs w:val="32"/>
        </w:rPr>
        <w:t xml:space="preserve">How to Use This Document</w:t>
      </w:r>
    </w:p>
    <w:p>
      <w:pPr>
        <w:spacing w:after="160" w:line="300"/>
      </w:pPr>
      <w:r>
        <w:rPr>
          <w:rFonts w:ascii="Calibri" w:cs="Calibri" w:eastAsia="Calibri" w:hAnsi="Calibri"/>
          <w:b w:val="false"/>
          <w:bCs w:val="false"/>
          <w:i w:val="false"/>
          <w:iCs w:val="false"/>
          <w:color w:val="3F3F3F"/>
          <w:sz w:val="21"/>
          <w:szCs w:val="21"/>
        </w:rPr>
        <w:t xml:space="preserve">This blueprint is organized so that three different teams can each work directly from it without waiting on the others to finish first, provided the shared foundations in Parts I and II are locked before Part III begins.</w:t>
      </w:r>
    </w:p>
    <w:p>
      <w:pPr>
        <w:pStyle w:val="Heading2"/>
        <w:spacing w:after="160" w:before="320"/>
      </w:pPr>
      <w:r>
        <w:rPr>
          <w:rFonts w:ascii="Calibri" w:cs="Calibri" w:eastAsia="Calibri" w:hAnsi="Calibri"/>
          <w:b/>
          <w:bCs/>
          <w:color w:val="132B4F"/>
          <w:sz w:val="26"/>
          <w:szCs w:val="26"/>
        </w:rPr>
        <w:t xml:space="preserve">For Designers</w:t>
      </w:r>
    </w:p>
    <w:p>
      <w:pPr>
        <w:pStyle w:val="ListParagraph"/>
        <w:numPr>
          <w:ilvl w:val="0"/>
          <w:numId w:val="2"/>
        </w:numPr>
        <w:spacing w:after="90"/>
      </w:pPr>
      <w:r>
        <w:rPr>
          <w:rFonts w:ascii="Calibri" w:cs="Calibri" w:eastAsia="Calibri" w:hAnsi="Calibri"/>
          <w:color w:val="3F3F3F"/>
          <w:sz w:val="21"/>
          <w:szCs w:val="21"/>
        </w:rPr>
        <w:t xml:space="preserve">Start with Part II (Design System) to build the Figma foundations: color styles, type styles, spacing tokens, icon set, and the component library in Section 17.</w:t>
      </w:r>
    </w:p>
    <w:p>
      <w:pPr>
        <w:pStyle w:val="ListParagraph"/>
        <w:numPr>
          <w:ilvl w:val="0"/>
          <w:numId w:val="2"/>
        </w:numPr>
        <w:spacing w:after="90"/>
      </w:pPr>
      <w:r>
        <w:rPr>
          <w:rFonts w:ascii="Calibri" w:cs="Calibri" w:eastAsia="Calibri" w:hAnsi="Calibri"/>
          <w:color w:val="3F3F3F"/>
          <w:sz w:val="21"/>
          <w:szCs w:val="21"/>
        </w:rPr>
        <w:t xml:space="preserve">Part III gives you a section-by-section wireframe for every template, described in build order (hero → proof → detail → conversion → footer) so you can move directly into high-fidelity comps.</w:t>
      </w:r>
    </w:p>
    <w:p>
      <w:pPr>
        <w:pStyle w:val="ListParagraph"/>
        <w:numPr>
          <w:ilvl w:val="0"/>
          <w:numId w:val="2"/>
        </w:numPr>
        <w:spacing w:after="90"/>
      </w:pPr>
      <w:r>
        <w:rPr>
          <w:rFonts w:ascii="Calibri" w:cs="Calibri" w:eastAsia="Calibri" w:hAnsi="Calibri"/>
          <w:color w:val="3F3F3F"/>
          <w:sz w:val="21"/>
          <w:szCs w:val="21"/>
        </w:rPr>
        <w:t xml:space="preserve">Section 20 (Visual Inspiration &amp; Mood Board) gives explicit reference points and what to borrow vs. avoid from each.</w:t>
      </w:r>
    </w:p>
    <w:p>
      <w:pPr>
        <w:pStyle w:val="Heading2"/>
        <w:spacing w:after="160" w:before="320"/>
      </w:pPr>
      <w:r>
        <w:rPr>
          <w:rFonts w:ascii="Calibri" w:cs="Calibri" w:eastAsia="Calibri" w:hAnsi="Calibri"/>
          <w:b/>
          <w:bCs/>
          <w:color w:val="132B4F"/>
          <w:sz w:val="26"/>
          <w:szCs w:val="26"/>
        </w:rPr>
        <w:t xml:space="preserve">For Copywriters &amp; Content Strategists</w:t>
      </w:r>
    </w:p>
    <w:p>
      <w:pPr>
        <w:pStyle w:val="ListParagraph"/>
        <w:numPr>
          <w:ilvl w:val="0"/>
          <w:numId w:val="2"/>
        </w:numPr>
        <w:spacing w:after="90"/>
      </w:pPr>
      <w:r>
        <w:rPr>
          <w:rFonts w:ascii="Calibri" w:cs="Calibri" w:eastAsia="Calibri" w:hAnsi="Calibri"/>
          <w:color w:val="3F3F3F"/>
          <w:sz w:val="21"/>
          <w:szCs w:val="21"/>
        </w:rPr>
        <w:t xml:space="preserve">Section 1 (Brand Positioning) contains the master messaging architecture — pillars, proof points, and tone of voice — that all page copy must trace back to.</w:t>
      </w:r>
    </w:p>
    <w:p>
      <w:pPr>
        <w:pStyle w:val="ListParagraph"/>
        <w:numPr>
          <w:ilvl w:val="0"/>
          <w:numId w:val="2"/>
        </w:numPr>
        <w:spacing w:after="90"/>
      </w:pPr>
      <w:r>
        <w:rPr>
          <w:rFonts w:ascii="Calibri" w:cs="Calibri" w:eastAsia="Calibri" w:hAnsi="Calibri"/>
          <w:color w:val="3F3F3F"/>
          <w:sz w:val="21"/>
          <w:szCs w:val="21"/>
        </w:rPr>
        <w:t xml:space="preserve">Section 33 (Detailed Copy Recommendations) gives drafted, ready-to-adapt copy for every section of every major template.</w:t>
      </w:r>
    </w:p>
    <w:p>
      <w:pPr>
        <w:pStyle w:val="ListParagraph"/>
        <w:numPr>
          <w:ilvl w:val="0"/>
          <w:numId w:val="2"/>
        </w:numPr>
        <w:spacing w:after="90"/>
      </w:pPr>
      <w:r>
        <w:rPr>
          <w:rFonts w:ascii="Calibri" w:cs="Calibri" w:eastAsia="Calibri" w:hAnsi="Calibri"/>
          <w:color w:val="3F3F3F"/>
          <w:sz w:val="21"/>
          <w:szCs w:val="21"/>
        </w:rPr>
        <w:t xml:space="preserve">Section 5 (Content Strategy) and Section 27 (Blog &amp; Resource Center) define the editorial calendar structure and content types needed to support SEO scale.</w:t>
      </w:r>
    </w:p>
    <w:p>
      <w:pPr>
        <w:pStyle w:val="Heading2"/>
        <w:spacing w:after="160" w:before="320"/>
      </w:pPr>
      <w:r>
        <w:rPr>
          <w:rFonts w:ascii="Calibri" w:cs="Calibri" w:eastAsia="Calibri" w:hAnsi="Calibri"/>
          <w:b/>
          <w:bCs/>
          <w:color w:val="132B4F"/>
          <w:sz w:val="26"/>
          <w:szCs w:val="26"/>
        </w:rPr>
        <w:t xml:space="preserve">For Engineering &amp; DevOps</w:t>
      </w:r>
    </w:p>
    <w:p>
      <w:pPr>
        <w:pStyle w:val="ListParagraph"/>
        <w:numPr>
          <w:ilvl w:val="0"/>
          <w:numId w:val="2"/>
        </w:numPr>
        <w:spacing w:after="90"/>
      </w:pPr>
      <w:r>
        <w:rPr>
          <w:rFonts w:ascii="Calibri" w:cs="Calibri" w:eastAsia="Calibri" w:hAnsi="Calibri"/>
          <w:color w:val="3F3F3F"/>
          <w:sz w:val="21"/>
          <w:szCs w:val="21"/>
        </w:rPr>
        <w:t xml:space="preserve">Section 38 (Development Recommendations) specifies the stack: Next.js front end, headless CMS, hosting, and Core Web Vitals budget.</w:t>
      </w:r>
    </w:p>
    <w:p>
      <w:pPr>
        <w:pStyle w:val="ListParagraph"/>
        <w:numPr>
          <w:ilvl w:val="0"/>
          <w:numId w:val="2"/>
        </w:numPr>
        <w:spacing w:after="90"/>
      </w:pPr>
      <w:r>
        <w:rPr>
          <w:rFonts w:ascii="Calibri" w:cs="Calibri" w:eastAsia="Calibri" w:hAnsi="Calibri"/>
          <w:color w:val="3F3F3F"/>
          <w:sz w:val="21"/>
          <w:szCs w:val="21"/>
        </w:rPr>
        <w:t xml:space="preserve">Section 2 (Information Architecture) gives the exact URL structure and templating logic needed to support 300+ pages from a small number of reusable page types.</w:t>
      </w:r>
    </w:p>
    <w:p>
      <w:pPr>
        <w:pStyle w:val="ListParagraph"/>
        <w:numPr>
          <w:ilvl w:val="0"/>
          <w:numId w:val="2"/>
        </w:numPr>
        <w:spacing w:after="90"/>
      </w:pPr>
      <w:r>
        <w:rPr>
          <w:rFonts w:ascii="Calibri" w:cs="Calibri" w:eastAsia="Calibri" w:hAnsi="Calibri"/>
          <w:color w:val="3F3F3F"/>
          <w:sz w:val="21"/>
          <w:szCs w:val="21"/>
        </w:rPr>
        <w:t xml:space="preserve">Section 34 (CRM Integration) and Section 28 (Forms &amp; Conversion Flows) define the data contracts between the site, the CMS, and the CRM.</w:t>
      </w:r>
    </w:p>
    <w:p>
      <w:pPr>
        <w:pStyle w:val="ListParagraph"/>
        <w:numPr>
          <w:ilvl w:val="0"/>
          <w:numId w:val="2"/>
        </w:numPr>
        <w:spacing w:after="90"/>
      </w:pPr>
      <w:r>
        <w:rPr>
          <w:rFonts w:ascii="Calibri" w:cs="Calibri" w:eastAsia="Calibri" w:hAnsi="Calibri"/>
          <w:color w:val="3F3F3F"/>
          <w:sz w:val="21"/>
          <w:szCs w:val="21"/>
        </w:rPr>
        <w:t xml:space="preserve">Section 39 (Roadmap) sequences build work into MVP, Phase 2, and Phase 3 so engineering can staff accordingly.</w:t>
      </w:r>
    </w:p>
    <w:p>
      <w:pPr>
        <w:pStyle w:val="Heading2"/>
        <w:spacing w:after="160" w:before="320"/>
      </w:pPr>
      <w:r>
        <w:rPr>
          <w:rFonts w:ascii="Calibri" w:cs="Calibri" w:eastAsia="Calibri" w:hAnsi="Calibri"/>
          <w:b/>
          <w:bCs/>
          <w:color w:val="132B4F"/>
          <w:sz w:val="26"/>
          <w:szCs w:val="26"/>
        </w:rPr>
        <w:t xml:space="preserve">Conventions Used in This Document</w:t>
      </w:r>
    </w:p>
    <w:p>
      <w:pPr>
        <w:pStyle w:val="ListParagraph"/>
        <w:numPr>
          <w:ilvl w:val="0"/>
          <w:numId w:val="2"/>
        </w:numPr>
        <w:spacing w:after="90"/>
      </w:pPr>
      <w:r>
        <w:rPr>
          <w:rFonts w:ascii="Calibri" w:cs="Calibri" w:eastAsia="Calibri" w:hAnsi="Calibri"/>
          <w:color w:val="3F3F3F"/>
          <w:sz w:val="21"/>
          <w:szCs w:val="21"/>
        </w:rPr>
        <w:t xml:space="preserve">Wireframe sections are described top-to-bottom in the order they appear on the page, using plain-language section names (e.g., "Hero," "Proof Bar," "Practice Grid") rather than pixel-level layout, so they remain valid across breakpoints.</w:t>
      </w:r>
    </w:p>
    <w:p>
      <w:pPr>
        <w:pStyle w:val="ListParagraph"/>
        <w:numPr>
          <w:ilvl w:val="0"/>
          <w:numId w:val="2"/>
        </w:numPr>
        <w:spacing w:after="90"/>
      </w:pPr>
      <w:r>
        <w:rPr>
          <w:rFonts w:ascii="Calibri" w:cs="Calibri" w:eastAsia="Calibri" w:hAnsi="Calibri"/>
          <w:color w:val="3F3F3F"/>
          <w:sz w:val="21"/>
          <w:szCs w:val="21"/>
        </w:rPr>
        <w:t xml:space="preserve">Copy blocks marked “Draft copy” are ready to use with light editing; they are not placeholders.</w:t>
      </w:r>
    </w:p>
    <w:p>
      <w:pPr>
        <w:pStyle w:val="ListParagraph"/>
        <w:numPr>
          <w:ilvl w:val="0"/>
          <w:numId w:val="2"/>
        </w:numPr>
        <w:spacing w:after="90"/>
      </w:pPr>
      <w:r>
        <w:rPr>
          <w:rFonts w:ascii="Calibri" w:cs="Calibri" w:eastAsia="Calibri" w:hAnsi="Calibri"/>
          <w:color w:val="3F3F3F"/>
          <w:sz w:val="21"/>
          <w:szCs w:val="21"/>
        </w:rPr>
        <w:t xml:space="preserve">Anything marked “Decision needed” is a genuine open question that Vishal / TeamBees leadership should resolve before build (e.g., final legal entity names per region, whether Energy Bees gets top-level nav placement in all regions).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color="FFFFFF" w:sz="0"/>
              <w:left w:val="single" w:color="C6963A" w:sz="24"/>
              <w:bottom w:val="none" w:color="FFFFFF" w:sz="0"/>
              <w:right w:val="none" w:color="FFFFFF" w:sz="0"/>
            </w:tcBorders>
            <w:shd w:fill="FBF6EA" w:color="FBF6EA" w:val="clear"/>
            <w:tcMar>
              <w:top w:type="dxa" w:w="160"/>
              <w:left w:type="dxa" w:w="200"/>
              <w:bottom w:type="dxa" w:w="160"/>
              <w:right w:type="dxa" w:w="200"/>
            </w:tcMar>
          </w:tcPr>
          <w:p>
            <w:pPr>
              <w:spacing w:after="80"/>
            </w:pPr>
            <w:r>
              <w:rPr>
                <w:rFonts w:ascii="Calibri" w:cs="Calibri" w:eastAsia="Calibri" w:hAnsi="Calibri"/>
                <w:b/>
                <w:bCs/>
                <w:color w:val="0B1F3A"/>
                <w:sz w:val="21"/>
                <w:szCs w:val="21"/>
              </w:rPr>
              <w:t xml:space="preserve">Decision needed</w:t>
            </w:r>
          </w:p>
          <w:p>
            <w:r>
              <w:rPr>
                <w:rFonts w:ascii="Calibri" w:cs="Calibri" w:eastAsia="Calibri" w:hAnsi="Calibri"/>
                <w:color w:val="3F3F3F"/>
                <w:sz w:val="20"/>
                <w:szCs w:val="20"/>
              </w:rPr>
              <w:t xml:space="preserve">Two structural questions affect the entire IA and should be resolved first: (1) Should Energy Bees be positioned as a peer practice to the other six, or as a specialized sub-brand given its narrower, higher-value audience? (2) Should regional sites be full geo-specific subdomains/subfolders (e.g., /uk/, /uae/) with localized case studies and compliance content, or a single global site with a region switcher? This document defaults to Option B in both cases (peer practice; single global site with folder-based localization) and the IA in Section 2 is built on that assumption — flag early if this should change.</w:t>
            </w:r>
          </w:p>
        </w:tc>
      </w:tr>
    </w:tbl>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
      </w:r>
      <w:r>
        <w:rPr>
          <w:rFonts w:ascii="Calibri" w:cs="Calibri" w:eastAsia="Calibri" w:hAnsi="Calibri"/>
          <w:b/>
          <w:bCs/>
          <w:color w:val="0B1F3A"/>
          <w:sz w:val="32"/>
          <w:szCs w:val="32"/>
        </w:rPr>
        <w:t xml:space="preserve">PART I</w:t>
      </w:r>
    </w:p>
    <w:p>
      <w:pPr>
        <w:pStyle w:val="Heading2"/>
        <w:spacing w:after="160" w:before="320"/>
      </w:pPr>
      <w:r>
        <w:rPr>
          <w:rFonts w:ascii="Calibri" w:cs="Calibri" w:eastAsia="Calibri" w:hAnsi="Calibri"/>
          <w:b/>
          <w:bCs/>
          <w:color w:val="132B4F"/>
          <w:sz w:val="26"/>
          <w:szCs w:val="26"/>
        </w:rPr>
        <w:t xml:space="preserve">Strategy, Brand &amp; Growth Architecture</w:t>
      </w:r>
    </w:p>
    <w:p>
      <w:pPr>
        <w:spacing w:after="160" w:line="300"/>
      </w:pPr>
      <w:r>
        <w:rPr>
          <w:rFonts w:ascii="Calibri" w:cs="Calibri" w:eastAsia="Calibri" w:hAnsi="Calibri"/>
          <w:b w:val="false"/>
          <w:bCs w:val="false"/>
          <w:i w:val="false"/>
          <w:iCs w:val="false"/>
          <w:color w:val="3F3F3F"/>
          <w:sz w:val="21"/>
          <w:szCs w:val="21"/>
        </w:rPr>
        <w:t xml:space="preserve">This part establishes the strategic foundation everything else in the document builds on: who TeamBees is for, how the site is structured, how visitors move through it, and how it earns organic and paid demand at scale.</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1  </w:t>
      </w:r>
      <w:r>
        <w:rPr>
          <w:rFonts w:ascii="Calibri" w:cs="Calibri" w:eastAsia="Calibri" w:hAnsi="Calibri"/>
          <w:b/>
          <w:bCs/>
          <w:color w:val="0B1F3A"/>
          <w:sz w:val="32"/>
          <w:szCs w:val="32"/>
        </w:rPr>
        <w:t xml:space="preserve">1. Brand Positioning</w:t>
      </w:r>
    </w:p>
    <w:p>
      <w:pPr>
        <w:pStyle w:val="Heading2"/>
        <w:spacing w:after="160" w:before="320"/>
      </w:pPr>
      <w:r>
        <w:rPr>
          <w:rFonts w:ascii="Calibri" w:cs="Calibri" w:eastAsia="Calibri" w:hAnsi="Calibri"/>
          <w:b/>
          <w:bCs/>
          <w:color w:val="132B4F"/>
          <w:sz w:val="26"/>
          <w:szCs w:val="26"/>
        </w:rPr>
        <w:t xml:space="preserve">1.1 The Positioning Problem</w:t>
      </w:r>
    </w:p>
    <w:p>
      <w:pPr>
        <w:spacing w:after="160" w:line="300"/>
      </w:pPr>
      <w:r>
        <w:rPr>
          <w:rFonts w:ascii="Calibri" w:cs="Calibri" w:eastAsia="Calibri" w:hAnsi="Calibri"/>
          <w:b w:val="false"/>
          <w:bCs w:val="false"/>
          <w:i w:val="false"/>
          <w:iCs w:val="false"/>
          <w:color w:val="3F3F3F"/>
          <w:sz w:val="21"/>
          <w:szCs w:val="21"/>
        </w:rPr>
        <w:t xml:space="preserve">TeamBees sits at the intersection of two categories that rarely coexist convincingly in one brand: IT staffing (Talent Bees) and technical delivery (Digital Bees, AI Bees, Quality Bees, ServiceNow Bees, Energy Bees). Staffing-only firms are perceived as commodity headcount providers; pure delivery firms are perceived as expensive and slow to scale. TeamBees' positioning must make the combination feel like an advantage, not a mixed identity: "we supply the people and we can run the work," which de-risks both hiring and delivery for the buyer.</w:t>
      </w:r>
    </w:p>
    <w:p>
      <w:pPr>
        <w:pStyle w:val="Heading2"/>
        <w:spacing w:after="160" w:before="320"/>
      </w:pPr>
      <w:r>
        <w:rPr>
          <w:rFonts w:ascii="Calibri" w:cs="Calibri" w:eastAsia="Calibri" w:hAnsi="Calibri"/>
          <w:b/>
          <w:bCs/>
          <w:color w:val="132B4F"/>
          <w:sz w:val="26"/>
          <w:szCs w:val="26"/>
        </w:rPr>
        <w:t xml:space="preserve">1.2 Master Positioning Statement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color="FFFFFF" w:sz="0"/>
              <w:left w:val="single" w:color="C6963A" w:sz="24"/>
              <w:bottom w:val="none" w:color="FFFFFF" w:sz="0"/>
              <w:right w:val="none" w:color="FFFFFF" w:sz="0"/>
            </w:tcBorders>
            <w:shd w:fill="FBF6EA" w:color="FBF6EA" w:val="clear"/>
            <w:tcMar>
              <w:top w:type="dxa" w:w="160"/>
              <w:left w:type="dxa" w:w="200"/>
              <w:bottom w:type="dxa" w:w="160"/>
              <w:right w:type="dxa" w:w="200"/>
            </w:tcMar>
          </w:tcPr>
          <w:p>
            <w:pPr>
              <w:spacing w:after="80"/>
            </w:pPr>
            <w:r>
              <w:rPr>
                <w:rFonts w:ascii="Calibri" w:cs="Calibri" w:eastAsia="Calibri" w:hAnsi="Calibri"/>
                <w:b/>
                <w:bCs/>
                <w:color w:val="0B1F3A"/>
                <w:sz w:val="21"/>
                <w:szCs w:val="21"/>
              </w:rPr>
              <w:t xml:space="preserve">Positioning statement</w:t>
            </w:r>
          </w:p>
          <w:p>
            <w:r>
              <w:rPr>
                <w:rFonts w:ascii="Calibri" w:cs="Calibri" w:eastAsia="Calibri" w:hAnsi="Calibri"/>
                <w:color w:val="3F3F3F"/>
                <w:sz w:val="20"/>
                <w:szCs w:val="20"/>
              </w:rPr>
              <w:t xml:space="preserve">For enterprises and mid-market companies across the USA, UK, Europe, Canada, Australia, and UAE who need to hire fast, build faster, and modernize with AI, TeamBees Corp is the global talent-and-technology partner that combines on-demand staffing with full delivery capability across Digital Engineering, AI, Quality Engineering, ServiceNow, and Energy Trading platforms — unlike pure-play staffing firms, which stop at the resume, or offshore development shops, which stop at the project.</w:t>
            </w:r>
          </w:p>
        </w:tc>
      </w:tr>
    </w:tbl>
    <w:p>
      <w:pPr>
        <w:pStyle w:val="Heading2"/>
        <w:spacing w:after="160" w:before="320"/>
      </w:pPr>
      <w:r>
        <w:rPr>
          <w:rFonts w:ascii="Calibri" w:cs="Calibri" w:eastAsia="Calibri" w:hAnsi="Calibri"/>
          <w:b/>
          <w:bCs/>
          <w:color w:val="132B4F"/>
          <w:sz w:val="26"/>
          <w:szCs w:val="26"/>
        </w:rPr>
        <w:t xml:space="preserve">1.3 Brand Pillars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Pillar</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What it means</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Proof points to surface site-wide</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Speed to Talent</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Fill critical roles and stand up teams in days, not months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Average time-to-first-shortlist; contract-to-hire conversion rate; bench strength by skill</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Delivery Depth</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Not just resumes — squads that ship, tested, in production</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Named delivery frameworks (SPIN/Challenger for sales is internal; for delivery: Agile/DevOps maturity, case studies with outcomes)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AI-Native</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AI Bees is not a bolt-on; it's built into how Digital, Quality, and ServiceNow work is delivered</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AI agent case studies, LLM integration accelerators, AI-augmented QA</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Platform Specialists</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Deep, named expertise in ServiceNow and Energy Trading (Endur, Allegro, RightAngle, TriplePoint) that generalists cannot match</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Certifications, partner status, platform-specific case studies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Global, Compliant, Local</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Genuine regional presence and compliance fluency (IR35 in the UK, Emiratization in the UAE, US employment law, EU/GDPR)</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Region-specific compliance pages, local case studies, local testimonials</w:t>
            </w:r>
          </w:p>
        </w:tc>
      </w:tr>
    </w:tbl>
    <w:p>
      <w:pPr>
        <w:pStyle w:val="Heading2"/>
        <w:spacing w:after="160" w:before="320"/>
      </w:pPr>
      <w:r>
        <w:rPr>
          <w:rFonts w:ascii="Calibri" w:cs="Calibri" w:eastAsia="Calibri" w:hAnsi="Calibri"/>
          <w:b/>
          <w:bCs/>
          <w:color w:val="132B4F"/>
          <w:sz w:val="26"/>
          <w:szCs w:val="26"/>
        </w:rPr>
        <w:t xml:space="preserve">1.4 Audience-Specific Value Propositions</w:t>
      </w:r>
    </w:p>
    <w:p>
      <w:pPr>
        <w:spacing w:after="160" w:line="300"/>
      </w:pPr>
      <w:r>
        <w:rPr>
          <w:rFonts w:ascii="Calibri" w:cs="Calibri" w:eastAsia="Calibri" w:hAnsi="Calibri"/>
          <w:b w:val="false"/>
          <w:bCs w:val="false"/>
          <w:i w:val="false"/>
          <w:iCs w:val="false"/>
          <w:color w:val="3F3F3F"/>
          <w:sz w:val="21"/>
          <w:szCs w:val="21"/>
        </w:rPr>
        <w:t xml:space="preserve">The homepage and top-level nav must serve multiple buyer types without forcing any one of them to wade through irrelevant copy. Each audience gets its own value proposition, reachable within one click from the homepage.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Audience</w:t>
            </w:r>
          </w:p>
        </w:tc>
        <w:tc>
          <w:tcPr>
            <w:tcW w:type="dxa" w:w="2337"/>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Core anxiety</w:t>
            </w:r>
          </w:p>
        </w:tc>
        <w:tc>
          <w:tcPr>
            <w:tcW w:type="dxa" w:w="2337"/>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TeamBees message</w:t>
            </w:r>
          </w:p>
        </w:tc>
        <w:tc>
          <w:tcPr>
            <w:tcW w:type="dxa" w:w="2337"/>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Primary CTA</w:t>
            </w:r>
          </w:p>
        </w:tc>
      </w:tr>
      <w:tr>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CIO / CTO</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Will this scale, and can I trust the delivery quality?</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Ship faster with vetted specialist teams and proven delivery frameworks across Digital, AI, and QA</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Book a Technical Consultation</w:t>
            </w:r>
          </w:p>
        </w:tc>
      </w:tr>
      <w:tr>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CEO / COO</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Is this a safe, ROI-positive partner across regions?</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One partner, seven capabilities, six regions — consolidate vendors, reduce risk</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Talk to Our Leadership Team</w:t>
            </w:r>
          </w:p>
        </w:tc>
      </w:tr>
      <w:tr>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HR Director / TA Head</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Can they actually deliver quality candidates fast, compliantly?</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Global staffing bench with regional compliance built in (IR35, Emiratization, EOR)</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Request Talent Bench Overview</w:t>
            </w:r>
          </w:p>
        </w:tc>
      </w:tr>
      <w:tr>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Delivery Manager</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Will these people integrate into my existing team and tools?</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Staff-augmented specialists who plug into your stack, sprint cadence, and tooling from week one</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See Staff Augmentation Model</w:t>
            </w:r>
          </w:p>
        </w:tc>
      </w:tr>
      <w:tr>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Product / SaaS Company</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Can they build product, not just staff tickets?</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Full-cycle product engineering pods: design, build, test, ship</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Explore Product Engineering</w:t>
            </w:r>
          </w:p>
        </w:tc>
      </w:tr>
      <w:tr>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Bank / Energy Company (regulated)</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Do they understand my compliance and platform reality?</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Named platform depth (Endur, Allegro, ServiceNow) plus security/compliance rigor</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Speak with a Platform Specialist</w:t>
            </w:r>
          </w:p>
        </w:tc>
      </w:tr>
      <w:tr>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Candidate / Prospective Employee</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Is this a real career, or just a placement mill?</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Global projects, upskilling in AI and modern platforms, real career paths</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View Open Roles</w:t>
            </w:r>
          </w:p>
        </w:tc>
      </w:tr>
    </w:tbl>
    <w:p>
      <w:pPr>
        <w:pStyle w:val="Heading2"/>
        <w:spacing w:after="160" w:before="320"/>
      </w:pPr>
      <w:r>
        <w:rPr>
          <w:rFonts w:ascii="Calibri" w:cs="Calibri" w:eastAsia="Calibri" w:hAnsi="Calibri"/>
          <w:b/>
          <w:bCs/>
          <w:color w:val="132B4F"/>
          <w:sz w:val="26"/>
          <w:szCs w:val="26"/>
        </w:rPr>
        <w:t xml:space="preserve">1.5 Competitive Differentiation 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Competitor</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How they win today</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Where TeamBees differentiates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EPAM</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Deep engineering brand, strong Europe presence</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Faster staffing motion; broader practice mix incl. staffing + ServiceNow + Energy platforms</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Cognizant</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Massive scale, enterprise trust, deep verticals</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Agility and speed for mid-market; more personal senior engagement; AI-native narrative</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Nagarro</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"Non-linear" delivery model, strong digital engineering brand</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Adds genuine staffing/RPO capability and named Energy Trading platform depth Nagarro doesn't emphasize</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BairesDev</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Nearshore talent marketplace speed and simplicity</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Full delivery capability (not just talent supply) plus enterprise platform specialisms (ServiceNow, Energy)</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Toptal</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Elite freelance talent, fast matching, premium brand</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Team-based delivery accountability (not just individual contractors); staffing + delivery + compliance in one</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Accenture</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Category-defining enterprise trust and scale</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Far more agile engagement model for mid-market; specialist platform depth without enterprise-consulting overhead/cost</w:t>
            </w:r>
          </w:p>
        </w:tc>
      </w:tr>
    </w:tbl>
    <w:p>
      <w:pPr>
        <w:pStyle w:val="Heading2"/>
        <w:spacing w:after="160" w:before="320"/>
      </w:pPr>
      <w:r>
        <w:rPr>
          <w:rFonts w:ascii="Calibri" w:cs="Calibri" w:eastAsia="Calibri" w:hAnsi="Calibri"/>
          <w:b/>
          <w:bCs/>
          <w:color w:val="132B4F"/>
          <w:sz w:val="26"/>
          <w:szCs w:val="26"/>
        </w:rPr>
        <w:t xml:space="preserve">1.6 Messaging Do's and Don'ts</w:t>
      </w:r>
    </w:p>
    <w:p>
      <w:pPr>
        <w:pStyle w:val="ListParagraph"/>
        <w:numPr>
          <w:ilvl w:val="0"/>
          <w:numId w:val="2"/>
        </w:numPr>
        <w:spacing w:after="90"/>
      </w:pPr>
      <w:r>
        <w:rPr>
          <w:rFonts w:ascii="Calibri" w:cs="Calibri" w:eastAsia="Calibri" w:hAnsi="Calibri"/>
          <w:color w:val="3F3F3F"/>
          <w:sz w:val="21"/>
          <w:szCs w:val="21"/>
        </w:rPr>
        <w:t xml:space="preserve">Do lead with outcomes ("reduced time-to-hire by 40%") over capability lists ("we do staffing, dev, and testing").</w:t>
      </w:r>
    </w:p>
    <w:p>
      <w:pPr>
        <w:pStyle w:val="ListParagraph"/>
        <w:numPr>
          <w:ilvl w:val="0"/>
          <w:numId w:val="2"/>
        </w:numPr>
        <w:spacing w:after="90"/>
      </w:pPr>
      <w:r>
        <w:rPr>
          <w:rFonts w:ascii="Calibri" w:cs="Calibri" w:eastAsia="Calibri" w:hAnsi="Calibri"/>
          <w:color w:val="3F3F3F"/>
          <w:sz w:val="21"/>
          <w:szCs w:val="21"/>
        </w:rPr>
        <w:t xml:space="preserve">Do name the seven practices explicitly and consistently as "Bees" — it is a distinctive, ownable naming convention; do not dilute it with generic alternate names in copy.</w:t>
      </w:r>
    </w:p>
    <w:p>
      <w:pPr>
        <w:pStyle w:val="ListParagraph"/>
        <w:numPr>
          <w:ilvl w:val="0"/>
          <w:numId w:val="2"/>
        </w:numPr>
        <w:spacing w:after="90"/>
      </w:pPr>
      <w:r>
        <w:rPr>
          <w:rFonts w:ascii="Calibri" w:cs="Calibri" w:eastAsia="Calibri" w:hAnsi="Calibri"/>
          <w:color w:val="3F3F3F"/>
          <w:sz w:val="21"/>
          <w:szCs w:val="21"/>
        </w:rPr>
        <w:t xml:space="preserve">Do differentiate technical depth per practice (e.g., specific frameworks for Energy Bees) rather than repeating the same generic "expert team" language across all seven.</w:t>
      </w:r>
    </w:p>
    <w:p>
      <w:pPr>
        <w:pStyle w:val="ListParagraph"/>
        <w:numPr>
          <w:ilvl w:val="0"/>
          <w:numId w:val="2"/>
        </w:numPr>
        <w:spacing w:after="90"/>
      </w:pPr>
      <w:r>
        <w:rPr>
          <w:rFonts w:ascii="Calibri" w:cs="Calibri" w:eastAsia="Calibri" w:hAnsi="Calibri"/>
          <w:color w:val="3F3F3F"/>
          <w:sz w:val="21"/>
          <w:szCs w:val="21"/>
        </w:rPr>
        <w:t xml:space="preserve">Don't use unqualified superlatives ("world's best," "#1") without a citable source.</w:t>
      </w:r>
    </w:p>
    <w:p>
      <w:pPr>
        <w:pStyle w:val="ListParagraph"/>
        <w:numPr>
          <w:ilvl w:val="0"/>
          <w:numId w:val="2"/>
        </w:numPr>
        <w:spacing w:after="90"/>
      </w:pPr>
      <w:r>
        <w:rPr>
          <w:rFonts w:ascii="Calibri" w:cs="Calibri" w:eastAsia="Calibri" w:hAnsi="Calibri"/>
          <w:color w:val="3F3F3F"/>
          <w:sz w:val="21"/>
          <w:szCs w:val="21"/>
        </w:rPr>
        <w:t xml:space="preserve">Don't let the AI Bees narrative overshadow the fact that TeamBees is, at its core, also a very strong staffing and delivery company — AI should read as a genuine capability, not a rebrand.</w:t>
      </w:r>
    </w:p>
    <w:p>
      <w:pPr>
        <w:pStyle w:val="ListParagraph"/>
        <w:numPr>
          <w:ilvl w:val="0"/>
          <w:numId w:val="2"/>
        </w:numPr>
        <w:spacing w:after="90"/>
      </w:pPr>
      <w:r>
        <w:rPr>
          <w:rFonts w:ascii="Calibri" w:cs="Calibri" w:eastAsia="Calibri" w:hAnsi="Calibri"/>
          <w:color w:val="3F3F3F"/>
          <w:sz w:val="21"/>
          <w:szCs w:val="21"/>
        </w:rPr>
        <w:t xml:space="preserve">Don't write candidate-facing copy in the same register as enterprise-buyer copy; keep Careers content warmer and more personal.</w:t>
      </w:r>
    </w:p>
    <w:p>
      <w:pPr>
        <w:pStyle w:val="Heading2"/>
        <w:spacing w:after="160" w:before="320"/>
      </w:pPr>
      <w:r>
        <w:rPr>
          <w:rFonts w:ascii="Calibri" w:cs="Calibri" w:eastAsia="Calibri" w:hAnsi="Calibri"/>
          <w:b/>
          <w:bCs/>
          <w:color w:val="132B4F"/>
          <w:sz w:val="26"/>
          <w:szCs w:val="26"/>
        </w:rPr>
        <w:t xml:space="preserve">1.7 Tone of Voice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Attribute</w:t>
            </w:r>
          </w:p>
        </w:tc>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 practice</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Confident, not boastful</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State capability and evidence; avoid hype adjectives without proof.</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Precise, not jargon-heavy</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Name real frameworks and platforms (SPIN, MEDDICC, Endur, ServiceNow CSM) but explain them in one clause for non-specialist readers.</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Consultative</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Copy should sound like a senior delivery partner talking to a peer, not a sales brochure.</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Global with local fluency</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Reference specific regional realities (IR35, IR35 status determination, IRS 1099 vs W-2, UAE Emiratization quotas) rather than vague "global compliance."</w:t>
            </w:r>
          </w:p>
        </w:tc>
      </w:tr>
    </w:tbl>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2  </w:t>
      </w:r>
      <w:r>
        <w:rPr>
          <w:rFonts w:ascii="Calibri" w:cs="Calibri" w:eastAsia="Calibri" w:hAnsi="Calibri"/>
          <w:b/>
          <w:bCs/>
          <w:color w:val="0B1F3A"/>
          <w:sz w:val="32"/>
          <w:szCs w:val="32"/>
        </w:rPr>
        <w:t xml:space="preserve">2. Information Architecture &amp; Site Map</w:t>
      </w:r>
    </w:p>
    <w:p>
      <w:pPr>
        <w:spacing w:after="160" w:line="300"/>
      </w:pPr>
      <w:r>
        <w:rPr>
          <w:rFonts w:ascii="Calibri" w:cs="Calibri" w:eastAsia="Calibri" w:hAnsi="Calibri"/>
          <w:b w:val="false"/>
          <w:bCs w:val="false"/>
          <w:i w:val="false"/>
          <w:iCs w:val="false"/>
          <w:color w:val="3F3F3F"/>
          <w:sz w:val="21"/>
          <w:szCs w:val="21"/>
        </w:rPr>
        <w:t xml:space="preserve">TeamBees must scale to 300+ landing pages without becoming a maze. The solution is a small set of reusable page templates (Section headings 21–26 give full wireframes for each) combined with a combinatorial URL structure: Practice × Region × Industry × Technology. Every page is generated from one of six templates; none are bespoke one-offs, which keeps design, QA, and SEO governance tractable at scale.</w:t>
      </w:r>
    </w:p>
    <w:p>
      <w:pPr>
        <w:pStyle w:val="Heading2"/>
        <w:spacing w:after="160" w:before="320"/>
      </w:pPr>
      <w:r>
        <w:rPr>
          <w:rFonts w:ascii="Calibri" w:cs="Calibri" w:eastAsia="Calibri" w:hAnsi="Calibri"/>
          <w:b/>
          <w:bCs/>
          <w:color w:val="132B4F"/>
          <w:sz w:val="26"/>
          <w:szCs w:val="26"/>
        </w:rPr>
        <w:t xml:space="preserve">2.1 URL Architecture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Page type</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URL pattern</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Example</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Homepage</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teambees.com/</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Practice hub</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/practices/{practice}</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/practices/ai-bees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Practice sub-service</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/practices/{practice}/{service}</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/practices/ai-bees/generative-ai</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Industry page</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/industries/{industry}</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/industries/banking-financial-services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Practice × Industry</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/industries/{industry}/{practice}</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/industries/energy/energy-bees</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Technology page</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/technologies/{tech}</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/technologies/servicenow</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Region hub</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/locations/{region}</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/locations/uae</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Region × Practice</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/locations/{region}/{practice}</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/locations/uk/talent-bees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Case study</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/case-studies/{slug}</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/case-studies/global-bank-servicenow-csm</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Blog / insight</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/insights/{slug}</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/insights/ai-agents-in-financial-services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Resource (gated)</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/resources/{slug}</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/resources/ir35-compliance-guide-2026</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Career / job</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/careers/jobs/{slug}</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/careers/jobs/senior-endur-consultant-london</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Company</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/company/{page}</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/company/leadership</w:t>
            </w:r>
          </w:p>
        </w:tc>
      </w:tr>
    </w:tbl>
    <w:p>
      <w:pPr>
        <w:spacing w:after="160" w:line="300"/>
      </w:pPr>
      <w:r>
        <w:rPr>
          <w:rFonts w:ascii="Calibri" w:cs="Calibri" w:eastAsia="Calibri" w:hAnsi="Calibri"/>
          <w:b w:val="false"/>
          <w:bCs w:val="false"/>
          <w:i w:val="false"/>
          <w:iCs w:val="false"/>
          <w:color w:val="3F3F3F"/>
          <w:sz w:val="21"/>
          <w:szCs w:val="21"/>
        </w:rPr>
        <w:t xml:space="preserve">This pattern alone yields the required scale: 7 practices × ~6 sub-services average = 45 pages; 7 practices × 6 regions = 42 pages; 12 industries × 7 practices (where relevant, ~5 avg) = 60 pages; 20 technology pages; 100+ case studies and insights. Total addressable pages comfortably exceed 300 without any single template being bespoke.</w:t>
      </w:r>
    </w:p>
    <w:p>
      <w:pPr>
        <w:pStyle w:val="Heading2"/>
        <w:spacing w:after="160" w:before="320"/>
      </w:pPr>
      <w:r>
        <w:rPr>
          <w:rFonts w:ascii="Calibri" w:cs="Calibri" w:eastAsia="Calibri" w:hAnsi="Calibri"/>
          <w:b/>
          <w:bCs/>
          <w:color w:val="132B4F"/>
          <w:sz w:val="26"/>
          <w:szCs w:val="26"/>
        </w:rPr>
        <w:t xml:space="preserve">2.2 Full Site Map</w:t>
      </w:r>
    </w:p>
    <w:p>
      <w:pPr>
        <w:pStyle w:val="Heading3"/>
        <w:spacing w:after="120" w:before="220"/>
      </w:pPr>
      <w:r>
        <w:rPr>
          <w:rFonts w:ascii="Calibri" w:cs="Calibri" w:eastAsia="Calibri" w:hAnsi="Calibri"/>
          <w:b/>
          <w:bCs/>
          <w:color w:val="C6963A"/>
          <w:sz w:val="22"/>
          <w:szCs w:val="22"/>
        </w:rPr>
        <w:t xml:space="preserve">Level 1 — Global Navigation</w:t>
      </w:r>
    </w:p>
    <w:p>
      <w:pPr>
        <w:pStyle w:val="ListParagraph"/>
        <w:numPr>
          <w:ilvl w:val="0"/>
          <w:numId w:val="2"/>
        </w:numPr>
        <w:spacing w:after="90"/>
      </w:pPr>
      <w:r>
        <w:rPr>
          <w:rFonts w:ascii="Calibri" w:cs="Calibri" w:eastAsia="Calibri" w:hAnsi="Calibri"/>
          <w:color w:val="3F3F3F"/>
          <w:sz w:val="21"/>
          <w:szCs w:val="21"/>
        </w:rPr>
        <w:t xml:space="preserve">Home</w:t>
      </w:r>
    </w:p>
    <w:p>
      <w:pPr>
        <w:pStyle w:val="ListParagraph"/>
        <w:numPr>
          <w:ilvl w:val="0"/>
          <w:numId w:val="2"/>
        </w:numPr>
        <w:spacing w:after="90"/>
      </w:pPr>
      <w:r>
        <w:rPr>
          <w:rFonts w:ascii="Calibri" w:cs="Calibri" w:eastAsia="Calibri" w:hAnsi="Calibri"/>
          <w:color w:val="3F3F3F"/>
          <w:sz w:val="21"/>
          <w:szCs w:val="21"/>
        </w:rPr>
        <w:t xml:space="preserve">Practices (mega-menu) → Talent Bees, Digital Bees, AI Bees, Marketing Bees, Quality Bees, ServiceNow Bees, Energy Bees</w:t>
      </w:r>
    </w:p>
    <w:p>
      <w:pPr>
        <w:pStyle w:val="ListParagraph"/>
        <w:numPr>
          <w:ilvl w:val="0"/>
          <w:numId w:val="2"/>
        </w:numPr>
        <w:spacing w:after="90"/>
      </w:pPr>
      <w:r>
        <w:rPr>
          <w:rFonts w:ascii="Calibri" w:cs="Calibri" w:eastAsia="Calibri" w:hAnsi="Calibri"/>
          <w:color w:val="3F3F3F"/>
          <w:sz w:val="21"/>
          <w:szCs w:val="21"/>
        </w:rPr>
        <w:t xml:space="preserve">Industries (mega-menu) → Banking &amp; Financial Services, Healthcare &amp; Life Sciences, Energy &amp; Utilities, SaaS &amp; Technology, Retail &amp; eCommerce, Insurance, Manufacturing, Public Sector, Telecom, Logistics</w:t>
      </w:r>
    </w:p>
    <w:p>
      <w:pPr>
        <w:pStyle w:val="ListParagraph"/>
        <w:numPr>
          <w:ilvl w:val="0"/>
          <w:numId w:val="2"/>
        </w:numPr>
        <w:spacing w:after="90"/>
      </w:pPr>
      <w:r>
        <w:rPr>
          <w:rFonts w:ascii="Calibri" w:cs="Calibri" w:eastAsia="Calibri" w:hAnsi="Calibri"/>
          <w:color w:val="3F3F3F"/>
          <w:sz w:val="21"/>
          <w:szCs w:val="21"/>
        </w:rPr>
        <w:t xml:space="preserve">Locations → USA, UK, Europe, Canada, Australia, UAE</w:t>
      </w:r>
    </w:p>
    <w:p>
      <w:pPr>
        <w:pStyle w:val="ListParagraph"/>
        <w:numPr>
          <w:ilvl w:val="0"/>
          <w:numId w:val="2"/>
        </w:numPr>
        <w:spacing w:after="90"/>
      </w:pPr>
      <w:r>
        <w:rPr>
          <w:rFonts w:ascii="Calibri" w:cs="Calibri" w:eastAsia="Calibri" w:hAnsi="Calibri"/>
          <w:color w:val="3F3F3F"/>
          <w:sz w:val="21"/>
          <w:szCs w:val="21"/>
        </w:rPr>
        <w:t xml:space="preserve">Insights → Blog, Guides &amp; Whitepapers, Webinars &amp; Events, Research Reports</w:t>
      </w:r>
    </w:p>
    <w:p>
      <w:pPr>
        <w:pStyle w:val="ListParagraph"/>
        <w:numPr>
          <w:ilvl w:val="0"/>
          <w:numId w:val="2"/>
        </w:numPr>
        <w:spacing w:after="90"/>
      </w:pPr>
      <w:r>
        <w:rPr>
          <w:rFonts w:ascii="Calibri" w:cs="Calibri" w:eastAsia="Calibri" w:hAnsi="Calibri"/>
          <w:color w:val="3F3F3F"/>
          <w:sz w:val="21"/>
          <w:szCs w:val="21"/>
        </w:rPr>
        <w:t xml:space="preserve">Case Studies</w:t>
      </w:r>
    </w:p>
    <w:p>
      <w:pPr>
        <w:pStyle w:val="ListParagraph"/>
        <w:numPr>
          <w:ilvl w:val="0"/>
          <w:numId w:val="2"/>
        </w:numPr>
        <w:spacing w:after="90"/>
      </w:pPr>
      <w:r>
        <w:rPr>
          <w:rFonts w:ascii="Calibri" w:cs="Calibri" w:eastAsia="Calibri" w:hAnsi="Calibri"/>
          <w:color w:val="3F3F3F"/>
          <w:sz w:val="21"/>
          <w:szCs w:val="21"/>
        </w:rPr>
        <w:t xml:space="preserve">Careers → Life at TeamBees, Open Roles, Candidate Resources, Diversity &amp; Inclusion</w:t>
      </w:r>
    </w:p>
    <w:p>
      <w:pPr>
        <w:pStyle w:val="ListParagraph"/>
        <w:numPr>
          <w:ilvl w:val="0"/>
          <w:numId w:val="2"/>
        </w:numPr>
        <w:spacing w:after="90"/>
      </w:pPr>
      <w:r>
        <w:rPr>
          <w:rFonts w:ascii="Calibri" w:cs="Calibri" w:eastAsia="Calibri" w:hAnsi="Calibri"/>
          <w:color w:val="3F3F3F"/>
          <w:sz w:val="21"/>
          <w:szCs w:val="21"/>
        </w:rPr>
        <w:t xml:space="preserve">About → Our Story, Leadership, Partnerships &amp; Certifications, Newsroom, ESG &amp; Community</w:t>
      </w:r>
    </w:p>
    <w:p>
      <w:pPr>
        <w:pStyle w:val="ListParagraph"/>
        <w:numPr>
          <w:ilvl w:val="0"/>
          <w:numId w:val="2"/>
        </w:numPr>
        <w:spacing w:after="90"/>
      </w:pPr>
      <w:r>
        <w:rPr>
          <w:rFonts w:ascii="Calibri" w:cs="Calibri" w:eastAsia="Calibri" w:hAnsi="Calibri"/>
          <w:color w:val="3F3F3F"/>
          <w:sz w:val="21"/>
          <w:szCs w:val="21"/>
        </w:rPr>
        <w:t xml:space="preserve">Contact</w:t>
      </w:r>
    </w:p>
    <w:p>
      <w:pPr>
        <w:pStyle w:val="ListParagraph"/>
        <w:numPr>
          <w:ilvl w:val="0"/>
          <w:numId w:val="2"/>
        </w:numPr>
        <w:spacing w:after="90"/>
      </w:pPr>
      <w:r>
        <w:rPr>
          <w:rFonts w:ascii="Calibri" w:cs="Calibri" w:eastAsia="Calibri" w:hAnsi="Calibri"/>
          <w:color w:val="3F3F3F"/>
          <w:sz w:val="21"/>
          <w:szCs w:val="21"/>
        </w:rPr>
        <w:t xml:space="preserve">Persistent header CTA: "Book a Consultation" + secondary "For Candidates" toggle</w:t>
      </w:r>
    </w:p>
    <w:p>
      <w:pPr>
        <w:pStyle w:val="Heading3"/>
        <w:spacing w:after="120" w:before="220"/>
      </w:pPr>
      <w:r>
        <w:rPr>
          <w:rFonts w:ascii="Calibri" w:cs="Calibri" w:eastAsia="Calibri" w:hAnsi="Calibri"/>
          <w:b/>
          <w:bCs/>
          <w:color w:val="C6963A"/>
          <w:sz w:val="22"/>
          <w:szCs w:val="22"/>
        </w:rPr>
        <w:t xml:space="preserve">Level 2 — Practices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Practice</w:t>
            </w:r>
          </w:p>
        </w:tc>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Sub-service pages</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Talent Bees</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IT Staffing, Non-IT Staffing, Executive Search, Contract Staffing, Staff Augmentation, RPO</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Digital Bees</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Software Development, Digital Transformation, Cloud Engineering, DevOps, Product Engineering, UI/UX, Data Engineering</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AI Bees</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AI Agents, Generative AI, LLM Development, AI Automation, AI Consulting, AI Integration</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Marketing Bees</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Digital Marketing Staff Augmentation, Social Media Teams, SEO, PPC, Content Marketing, Graphic Design, Video Editing, Marketing Automation, HubSpot, LinkedIn Marketing</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Quality Bees</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Manual Testing, Automation Testing, Performance Testing, Security Testing, AI Testing</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ServiceNow Bees</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Consulting, Development, Implementation, Support, Staffing</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Energy Bees</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Endur, Allegro, RightAngle, TriplePoint, Energy Trading Consulting</w:t>
            </w:r>
          </w:p>
        </w:tc>
      </w:tr>
    </w:tbl>
    <w:p>
      <w:pPr>
        <w:pStyle w:val="Heading3"/>
        <w:spacing w:after="120" w:before="220"/>
      </w:pPr>
      <w:r>
        <w:rPr>
          <w:rFonts w:ascii="Calibri" w:cs="Calibri" w:eastAsia="Calibri" w:hAnsi="Calibri"/>
          <w:b/>
          <w:bCs/>
          <w:color w:val="C6963A"/>
          <w:sz w:val="22"/>
          <w:szCs w:val="22"/>
        </w:rPr>
        <w:t xml:space="preserve">Level 2 — Industries</w:t>
      </w:r>
    </w:p>
    <w:p>
      <w:pPr>
        <w:pStyle w:val="ListParagraph"/>
        <w:numPr>
          <w:ilvl w:val="0"/>
          <w:numId w:val="2"/>
        </w:numPr>
        <w:spacing w:after="90"/>
      </w:pPr>
      <w:r>
        <w:rPr>
          <w:rFonts w:ascii="Calibri" w:cs="Calibri" w:eastAsia="Calibri" w:hAnsi="Calibri"/>
          <w:color w:val="3F3F3F"/>
          <w:sz w:val="21"/>
          <w:szCs w:val="21"/>
        </w:rPr>
        <w:t xml:space="preserve">Banking, Financial Services &amp; Insurance (BFSI)</w:t>
      </w:r>
    </w:p>
    <w:p>
      <w:pPr>
        <w:pStyle w:val="ListParagraph"/>
        <w:numPr>
          <w:ilvl w:val="0"/>
          <w:numId w:val="2"/>
        </w:numPr>
        <w:spacing w:after="90"/>
      </w:pPr>
      <w:r>
        <w:rPr>
          <w:rFonts w:ascii="Calibri" w:cs="Calibri" w:eastAsia="Calibri" w:hAnsi="Calibri"/>
          <w:color w:val="3F3F3F"/>
          <w:sz w:val="21"/>
          <w:szCs w:val="21"/>
        </w:rPr>
        <w:t xml:space="preserve">Healthcare &amp; Life Sciences</w:t>
      </w:r>
    </w:p>
    <w:p>
      <w:pPr>
        <w:pStyle w:val="ListParagraph"/>
        <w:numPr>
          <w:ilvl w:val="0"/>
          <w:numId w:val="2"/>
        </w:numPr>
        <w:spacing w:after="90"/>
      </w:pPr>
      <w:r>
        <w:rPr>
          <w:rFonts w:ascii="Calibri" w:cs="Calibri" w:eastAsia="Calibri" w:hAnsi="Calibri"/>
          <w:color w:val="3F3F3F"/>
          <w:sz w:val="21"/>
          <w:szCs w:val="21"/>
        </w:rPr>
        <w:t xml:space="preserve">Energy, Oil &amp; Gas, and Utilities</w:t>
      </w:r>
    </w:p>
    <w:p>
      <w:pPr>
        <w:pStyle w:val="ListParagraph"/>
        <w:numPr>
          <w:ilvl w:val="0"/>
          <w:numId w:val="2"/>
        </w:numPr>
        <w:spacing w:after="90"/>
      </w:pPr>
      <w:r>
        <w:rPr>
          <w:rFonts w:ascii="Calibri" w:cs="Calibri" w:eastAsia="Calibri" w:hAnsi="Calibri"/>
          <w:color w:val="3F3F3F"/>
          <w:sz w:val="21"/>
          <w:szCs w:val="21"/>
        </w:rPr>
        <w:t xml:space="preserve">SaaS &amp; Technology</w:t>
      </w:r>
    </w:p>
    <w:p>
      <w:pPr>
        <w:pStyle w:val="ListParagraph"/>
        <w:numPr>
          <w:ilvl w:val="0"/>
          <w:numId w:val="2"/>
        </w:numPr>
        <w:spacing w:after="90"/>
      </w:pPr>
      <w:r>
        <w:rPr>
          <w:rFonts w:ascii="Calibri" w:cs="Calibri" w:eastAsia="Calibri" w:hAnsi="Calibri"/>
          <w:color w:val="3F3F3F"/>
          <w:sz w:val="21"/>
          <w:szCs w:val="21"/>
        </w:rPr>
        <w:t xml:space="preserve">Retail &amp; eCommerce</w:t>
      </w:r>
    </w:p>
    <w:p>
      <w:pPr>
        <w:pStyle w:val="ListParagraph"/>
        <w:numPr>
          <w:ilvl w:val="0"/>
          <w:numId w:val="2"/>
        </w:numPr>
        <w:spacing w:after="90"/>
      </w:pPr>
      <w:r>
        <w:rPr>
          <w:rFonts w:ascii="Calibri" w:cs="Calibri" w:eastAsia="Calibri" w:hAnsi="Calibri"/>
          <w:color w:val="3F3F3F"/>
          <w:sz w:val="21"/>
          <w:szCs w:val="21"/>
        </w:rPr>
        <w:t xml:space="preserve">Manufacturing &amp; Industrial</w:t>
      </w:r>
    </w:p>
    <w:p>
      <w:pPr>
        <w:pStyle w:val="ListParagraph"/>
        <w:numPr>
          <w:ilvl w:val="0"/>
          <w:numId w:val="2"/>
        </w:numPr>
        <w:spacing w:after="90"/>
      </w:pPr>
      <w:r>
        <w:rPr>
          <w:rFonts w:ascii="Calibri" w:cs="Calibri" w:eastAsia="Calibri" w:hAnsi="Calibri"/>
          <w:color w:val="3F3F3F"/>
          <w:sz w:val="21"/>
          <w:szCs w:val="21"/>
        </w:rPr>
        <w:t xml:space="preserve">Public Sector &amp; Government</w:t>
      </w:r>
    </w:p>
    <w:p>
      <w:pPr>
        <w:pStyle w:val="ListParagraph"/>
        <w:numPr>
          <w:ilvl w:val="0"/>
          <w:numId w:val="2"/>
        </w:numPr>
        <w:spacing w:after="90"/>
      </w:pPr>
      <w:r>
        <w:rPr>
          <w:rFonts w:ascii="Calibri" w:cs="Calibri" w:eastAsia="Calibri" w:hAnsi="Calibri"/>
          <w:color w:val="3F3F3F"/>
          <w:sz w:val="21"/>
          <w:szCs w:val="21"/>
        </w:rPr>
        <w:t xml:space="preserve">Telecom &amp; Media</w:t>
      </w:r>
    </w:p>
    <w:p>
      <w:pPr>
        <w:pStyle w:val="ListParagraph"/>
        <w:numPr>
          <w:ilvl w:val="0"/>
          <w:numId w:val="2"/>
        </w:numPr>
        <w:spacing w:after="90"/>
      </w:pPr>
      <w:r>
        <w:rPr>
          <w:rFonts w:ascii="Calibri" w:cs="Calibri" w:eastAsia="Calibri" w:hAnsi="Calibri"/>
          <w:color w:val="3F3F3F"/>
          <w:sz w:val="21"/>
          <w:szCs w:val="21"/>
        </w:rPr>
        <w:t xml:space="preserve">Logistics &amp; Supply Chain</w:t>
      </w:r>
    </w:p>
    <w:p>
      <w:pPr>
        <w:pStyle w:val="ListParagraph"/>
        <w:numPr>
          <w:ilvl w:val="0"/>
          <w:numId w:val="2"/>
        </w:numPr>
        <w:spacing w:after="90"/>
      </w:pPr>
      <w:r>
        <w:rPr>
          <w:rFonts w:ascii="Calibri" w:cs="Calibri" w:eastAsia="Calibri" w:hAnsi="Calibri"/>
          <w:color w:val="3F3F3F"/>
          <w:sz w:val="21"/>
          <w:szCs w:val="21"/>
        </w:rPr>
        <w:t xml:space="preserve">Global System Integrators (partner/channel-focused page, distinct tone: co-delivery, not vendor)</w:t>
      </w:r>
    </w:p>
    <w:p>
      <w:pPr>
        <w:pStyle w:val="Heading3"/>
        <w:spacing w:after="120" w:before="220"/>
      </w:pPr>
      <w:r>
        <w:rPr>
          <w:rFonts w:ascii="Calibri" w:cs="Calibri" w:eastAsia="Calibri" w:hAnsi="Calibri"/>
          <w:b/>
          <w:bCs/>
          <w:color w:val="C6963A"/>
          <w:sz w:val="22"/>
          <w:szCs w:val="22"/>
        </w:rPr>
        <w:t xml:space="preserve">Level 2 — Locations</w:t>
      </w:r>
    </w:p>
    <w:p>
      <w:pPr>
        <w:pStyle w:val="ListParagraph"/>
        <w:numPr>
          <w:ilvl w:val="0"/>
          <w:numId w:val="2"/>
        </w:numPr>
        <w:spacing w:after="90"/>
      </w:pPr>
      <w:r>
        <w:rPr>
          <w:rFonts w:ascii="Calibri" w:cs="Calibri" w:eastAsia="Calibri" w:hAnsi="Calibri"/>
          <w:color w:val="3F3F3F"/>
          <w:sz w:val="21"/>
          <w:szCs w:val="21"/>
        </w:rPr>
        <w:t xml:space="preserve">USA — hub page + state-level presence notes (major delivery/staffing hubs) + compliance snapshot (W-2/1099, EOR)</w:t>
      </w:r>
    </w:p>
    <w:p>
      <w:pPr>
        <w:pStyle w:val="ListParagraph"/>
        <w:numPr>
          <w:ilvl w:val="0"/>
          <w:numId w:val="2"/>
        </w:numPr>
        <w:spacing w:after="90"/>
      </w:pPr>
      <w:r>
        <w:rPr>
          <w:rFonts w:ascii="Calibri" w:cs="Calibri" w:eastAsia="Calibri" w:hAnsi="Calibri"/>
          <w:color w:val="3F3F3F"/>
          <w:sz w:val="21"/>
          <w:szCs w:val="21"/>
        </w:rPr>
        <w:t xml:space="preserve">UK — hub page + IR35 / off-payroll working compliance content</w:t>
      </w:r>
    </w:p>
    <w:p>
      <w:pPr>
        <w:pStyle w:val="ListParagraph"/>
        <w:numPr>
          <w:ilvl w:val="0"/>
          <w:numId w:val="2"/>
        </w:numPr>
        <w:spacing w:after="90"/>
      </w:pPr>
      <w:r>
        <w:rPr>
          <w:rFonts w:ascii="Calibri" w:cs="Calibri" w:eastAsia="Calibri" w:hAnsi="Calibri"/>
          <w:color w:val="3F3F3F"/>
          <w:sz w:val="21"/>
          <w:szCs w:val="21"/>
        </w:rPr>
        <w:t xml:space="preserve">Europe — hub page covering GDPR, EU works council norms, key country notes (Germany, Netherlands, Poland)</w:t>
      </w:r>
    </w:p>
    <w:p>
      <w:pPr>
        <w:pStyle w:val="ListParagraph"/>
        <w:numPr>
          <w:ilvl w:val="0"/>
          <w:numId w:val="2"/>
        </w:numPr>
        <w:spacing w:after="90"/>
      </w:pPr>
      <w:r>
        <w:rPr>
          <w:rFonts w:ascii="Calibri" w:cs="Calibri" w:eastAsia="Calibri" w:hAnsi="Calibri"/>
          <w:color w:val="3F3F3F"/>
          <w:sz w:val="21"/>
          <w:szCs w:val="21"/>
        </w:rPr>
        <w:t xml:space="preserve">Canada — hub page + provincial staffing considerations</w:t>
      </w:r>
    </w:p>
    <w:p>
      <w:pPr>
        <w:pStyle w:val="ListParagraph"/>
        <w:numPr>
          <w:ilvl w:val="0"/>
          <w:numId w:val="2"/>
        </w:numPr>
        <w:spacing w:after="90"/>
      </w:pPr>
      <w:r>
        <w:rPr>
          <w:rFonts w:ascii="Calibri" w:cs="Calibri" w:eastAsia="Calibri" w:hAnsi="Calibri"/>
          <w:color w:val="3F3F3F"/>
          <w:sz w:val="21"/>
          <w:szCs w:val="21"/>
        </w:rPr>
        <w:t xml:space="preserve">Australia — hub page + Fair Work / contractor classification notes</w:t>
      </w:r>
    </w:p>
    <w:p>
      <w:pPr>
        <w:pStyle w:val="ListParagraph"/>
        <w:numPr>
          <w:ilvl w:val="0"/>
          <w:numId w:val="2"/>
        </w:numPr>
        <w:spacing w:after="90"/>
      </w:pPr>
      <w:r>
        <w:rPr>
          <w:rFonts w:ascii="Calibri" w:cs="Calibri" w:eastAsia="Calibri" w:hAnsi="Calibri"/>
          <w:color w:val="3F3F3F"/>
          <w:sz w:val="21"/>
          <w:szCs w:val="21"/>
        </w:rPr>
        <w:t xml:space="preserve">UAE — hub page + Emiratization framework, free zone vs. mainland hiring</w:t>
      </w:r>
    </w:p>
    <w:p>
      <w:pPr>
        <w:pStyle w:val="Heading3"/>
        <w:spacing w:after="120" w:before="220"/>
      </w:pPr>
      <w:r>
        <w:rPr>
          <w:rFonts w:ascii="Calibri" w:cs="Calibri" w:eastAsia="Calibri" w:hAnsi="Calibri"/>
          <w:b/>
          <w:bCs/>
          <w:color w:val="C6963A"/>
          <w:sz w:val="22"/>
          <w:szCs w:val="22"/>
        </w:rPr>
        <w:t xml:space="preserve">Level 3 — Case Studies &amp; Insights (representative taxonomy, not exhaustive)</w:t>
      </w:r>
    </w:p>
    <w:p>
      <w:pPr>
        <w:pStyle w:val="ListParagraph"/>
        <w:numPr>
          <w:ilvl w:val="0"/>
          <w:numId w:val="2"/>
        </w:numPr>
        <w:spacing w:after="90"/>
      </w:pPr>
      <w:r>
        <w:rPr>
          <w:rFonts w:ascii="Calibri" w:cs="Calibri" w:eastAsia="Calibri" w:hAnsi="Calibri"/>
          <w:color w:val="3F3F3F"/>
          <w:sz w:val="21"/>
          <w:szCs w:val="21"/>
        </w:rPr>
        <w:t xml:space="preserve">Case studies tagged by: Practice, Industry, Region, Technology — enabling faceted filtering and cross-linking (see Section 31, Internal Linking).</w:t>
      </w:r>
    </w:p>
    <w:p>
      <w:pPr>
        <w:pStyle w:val="ListParagraph"/>
        <w:numPr>
          <w:ilvl w:val="0"/>
          <w:numId w:val="2"/>
        </w:numPr>
        <w:spacing w:after="90"/>
      </w:pPr>
      <w:r>
        <w:rPr>
          <w:rFonts w:ascii="Calibri" w:cs="Calibri" w:eastAsia="Calibri" w:hAnsi="Calibri"/>
          <w:color w:val="3F3F3F"/>
          <w:sz w:val="21"/>
          <w:szCs w:val="21"/>
        </w:rPr>
        <w:t xml:space="preserve">Insights tagged the same way, plus Content Type: Guide, Benchmark Report, Webinar Recording, Point-of-View / Opinion, News.</w:t>
      </w:r>
    </w:p>
    <w:p>
      <w:pPr>
        <w:pStyle w:val="Heading2"/>
        <w:spacing w:after="160" w:before="320"/>
      </w:pPr>
      <w:r>
        <w:rPr>
          <w:rFonts w:ascii="Calibri" w:cs="Calibri" w:eastAsia="Calibri" w:hAnsi="Calibri"/>
          <w:b/>
          <w:bCs/>
          <w:color w:val="132B4F"/>
          <w:sz w:val="26"/>
          <w:szCs w:val="26"/>
        </w:rPr>
        <w:t xml:space="preserve">2.3 Orphan-Page Prevention Rule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color="FFFFFF" w:sz="0"/>
              <w:left w:val="single" w:color="C6963A" w:sz="24"/>
              <w:bottom w:val="none" w:color="FFFFFF" w:sz="0"/>
              <w:right w:val="none" w:color="FFFFFF" w:sz="0"/>
            </w:tcBorders>
            <w:shd w:fill="FBF6EA" w:color="FBF6EA" w:val="clear"/>
            <w:tcMar>
              <w:top w:type="dxa" w:w="160"/>
              <w:left w:type="dxa" w:w="200"/>
              <w:bottom w:type="dxa" w:w="160"/>
              <w:right w:type="dxa" w:w="200"/>
            </w:tcMar>
          </w:tcPr>
          <w:p>
            <w:pPr>
              <w:spacing w:after="80"/>
            </w:pPr>
            <w:r>
              <w:rPr>
                <w:rFonts w:ascii="Calibri" w:cs="Calibri" w:eastAsia="Calibri" w:hAnsi="Calibri"/>
                <w:b/>
                <w:bCs/>
                <w:color w:val="0B1F3A"/>
                <w:sz w:val="21"/>
                <w:szCs w:val="21"/>
              </w:rPr>
              <w:t xml:space="preserve">Governance rule</w:t>
            </w:r>
          </w:p>
          <w:p>
            <w:r>
              <w:rPr>
                <w:rFonts w:ascii="Calibri" w:cs="Calibri" w:eastAsia="Calibri" w:hAnsi="Calibri"/>
                <w:color w:val="3F3F3F"/>
                <w:sz w:val="20"/>
                <w:szCs w:val="20"/>
              </w:rPr>
              <w:t xml:space="preserve">No page may be published without at least three inbound internal links from: (1) its parent hub, (2) one related practice or industry page, (3) one case study or insight tagged with the same taxonomy terms. This is enforced by the CMS taxonomy system described in Section 31, not by manual QA — manual QA does not scale to 300+ pages.</w:t>
            </w:r>
          </w:p>
        </w:tc>
      </w:tr>
    </w:tbl>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3  </w:t>
      </w:r>
      <w:r>
        <w:rPr>
          <w:rFonts w:ascii="Calibri" w:cs="Calibri" w:eastAsia="Calibri" w:hAnsi="Calibri"/>
          <w:b/>
          <w:bCs/>
          <w:color w:val="0B1F3A"/>
          <w:sz w:val="32"/>
          <w:szCs w:val="32"/>
        </w:rPr>
        <w:t xml:space="preserve">3. Navigation Structure</w:t>
      </w:r>
    </w:p>
    <w:p>
      <w:pPr>
        <w:pStyle w:val="Heading2"/>
        <w:spacing w:after="160" w:before="320"/>
      </w:pPr>
      <w:r>
        <w:rPr>
          <w:rFonts w:ascii="Calibri" w:cs="Calibri" w:eastAsia="Calibri" w:hAnsi="Calibri"/>
          <w:b/>
          <w:bCs/>
          <w:color w:val="132B4F"/>
          <w:sz w:val="26"/>
          <w:szCs w:val="26"/>
        </w:rPr>
        <w:t xml:space="preserve">3.1 Primary Navigation (Desktop)</w:t>
      </w:r>
    </w:p>
    <w:p>
      <w:pPr>
        <w:spacing w:after="160" w:line="300"/>
      </w:pPr>
      <w:r>
        <w:rPr>
          <w:rFonts w:ascii="Calibri" w:cs="Calibri" w:eastAsia="Calibri" w:hAnsi="Calibri"/>
          <w:b w:val="false"/>
          <w:bCs w:val="false"/>
          <w:i w:val="false"/>
          <w:iCs w:val="false"/>
          <w:color w:val="3F3F3F"/>
          <w:sz w:val="21"/>
          <w:szCs w:val="21"/>
        </w:rPr>
        <w:t xml:space="preserve">A sticky header, 72px tall, navy background at 96% opacity with a 1px gold hairline on scroll. Logo left, six primary nav items center-left, utility cluster right (Search icon, Region selector, "For Candidates" toggle, primary CTA button in gold).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Nav item</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Interaction</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Mega-menu contents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Practices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Click or hover-intent (200ms delay) opens mega-menu</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7 practice columns, each with sub-services listed + a featured case study card + "View all Practices" link</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Industries</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Same pattern</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10 industry tiles with icon + 1-line descriptor + featured stat (e.g., "40% faster claims processing")</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Locations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Same pattern</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6 region cards with flag/map glyph, local office note, and "Compliance Snapshot" link per region</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Insights</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Simple dropdown</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Blog, Guides &amp; Whitepapers, Webinars, Research Reports, "Latest Articles" preview (3 cards)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Case Studies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Direct link, no dropdown</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Goes to filterable case study library</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Careers</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Simple dropdown</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Life at TeamBees, Open Roles, Candidate Resources, D&amp;I</w:t>
            </w:r>
          </w:p>
        </w:tc>
      </w:tr>
    </w:tbl>
    <w:p>
      <w:pPr>
        <w:pStyle w:val="Heading2"/>
        <w:spacing w:after="160" w:before="320"/>
      </w:pPr>
      <w:r>
        <w:rPr>
          <w:rFonts w:ascii="Calibri" w:cs="Calibri" w:eastAsia="Calibri" w:hAnsi="Calibri"/>
          <w:b/>
          <w:bCs/>
          <w:color w:val="132B4F"/>
          <w:sz w:val="26"/>
          <w:szCs w:val="26"/>
        </w:rPr>
        <w:t xml:space="preserve">3.2 Mobile Navigation</w:t>
      </w:r>
    </w:p>
    <w:p>
      <w:pPr>
        <w:pStyle w:val="ListParagraph"/>
        <w:numPr>
          <w:ilvl w:val="0"/>
          <w:numId w:val="2"/>
        </w:numPr>
        <w:spacing w:after="90"/>
      </w:pPr>
      <w:r>
        <w:rPr>
          <w:rFonts w:ascii="Calibri" w:cs="Calibri" w:eastAsia="Calibri" w:hAnsi="Calibri"/>
          <w:color w:val="3F3F3F"/>
          <w:sz w:val="21"/>
          <w:szCs w:val="21"/>
        </w:rPr>
        <w:t xml:space="preserve">Hamburger menu opens a full-screen navy overlay with an accordion pattern; each Level-1 item expands in place rather than pushing to a new screen, preserving context.</w:t>
      </w:r>
    </w:p>
    <w:p>
      <w:pPr>
        <w:pStyle w:val="ListParagraph"/>
        <w:numPr>
          <w:ilvl w:val="0"/>
          <w:numId w:val="2"/>
        </w:numPr>
        <w:spacing w:after="90"/>
      </w:pPr>
      <w:r>
        <w:rPr>
          <w:rFonts w:ascii="Calibri" w:cs="Calibri" w:eastAsia="Calibri" w:hAnsi="Calibri"/>
          <w:color w:val="3F3F3F"/>
          <w:sz w:val="21"/>
          <w:szCs w:val="21"/>
        </w:rPr>
        <w:t xml:space="preserve">Primary CTA ("Book a Consultation") is pinned as a persistent bottom sheet button, not just inside the menu — mobile CRO data across enterprise sites consistently shows in-menu-only CTAs under-convert.</w:t>
      </w:r>
    </w:p>
    <w:p>
      <w:pPr>
        <w:pStyle w:val="ListParagraph"/>
        <w:numPr>
          <w:ilvl w:val="0"/>
          <w:numId w:val="2"/>
        </w:numPr>
        <w:spacing w:after="90"/>
      </w:pPr>
      <w:r>
        <w:rPr>
          <w:rFonts w:ascii="Calibri" w:cs="Calibri" w:eastAsia="Calibri" w:hAnsi="Calibri"/>
          <w:color w:val="3F3F3F"/>
          <w:sz w:val="21"/>
          <w:szCs w:val="21"/>
        </w:rPr>
        <w:t xml:space="preserve">Search is a top-level icon, always visible, not buried in the menu.</w:t>
      </w:r>
    </w:p>
    <w:p>
      <w:pPr>
        <w:pStyle w:val="Heading2"/>
        <w:spacing w:after="160" w:before="320"/>
      </w:pPr>
      <w:r>
        <w:rPr>
          <w:rFonts w:ascii="Calibri" w:cs="Calibri" w:eastAsia="Calibri" w:hAnsi="Calibri"/>
          <w:b/>
          <w:bCs/>
          <w:color w:val="132B4F"/>
          <w:sz w:val="26"/>
          <w:szCs w:val="26"/>
        </w:rPr>
        <w:t xml:space="preserve">3.3 Secondary Navigation Patterns</w:t>
      </w:r>
    </w:p>
    <w:p>
      <w:pPr>
        <w:pStyle w:val="ListParagraph"/>
        <w:numPr>
          <w:ilvl w:val="0"/>
          <w:numId w:val="2"/>
        </w:numPr>
        <w:spacing w:after="90"/>
      </w:pPr>
      <w:r>
        <w:rPr>
          <w:rFonts w:ascii="Calibri" w:cs="Calibri" w:eastAsia="Calibri" w:hAnsi="Calibri"/>
          <w:color w:val="3F3F3F"/>
          <w:sz w:val="21"/>
          <w:szCs w:val="21"/>
        </w:rPr>
        <w:t xml:space="preserve">Practice hub pages use a left-rail sticky sub-nav listing sub-services, visible from tablet breakpoint up.</w:t>
      </w:r>
    </w:p>
    <w:p>
      <w:pPr>
        <w:pStyle w:val="ListParagraph"/>
        <w:numPr>
          <w:ilvl w:val="0"/>
          <w:numId w:val="2"/>
        </w:numPr>
        <w:spacing w:after="90"/>
      </w:pPr>
      <w:r>
        <w:rPr>
          <w:rFonts w:ascii="Calibri" w:cs="Calibri" w:eastAsia="Calibri" w:hAnsi="Calibri"/>
          <w:color w:val="3F3F3F"/>
          <w:sz w:val="21"/>
          <w:szCs w:val="21"/>
        </w:rPr>
        <w:t xml:space="preserve">Long-form pages (Insights, Guides) use an auto-generated "On this page" sticky right-rail table of contents from H2s.</w:t>
      </w:r>
    </w:p>
    <w:p>
      <w:pPr>
        <w:pStyle w:val="ListParagraph"/>
        <w:numPr>
          <w:ilvl w:val="0"/>
          <w:numId w:val="2"/>
        </w:numPr>
        <w:spacing w:after="90"/>
      </w:pPr>
      <w:r>
        <w:rPr>
          <w:rFonts w:ascii="Calibri" w:cs="Calibri" w:eastAsia="Calibri" w:hAnsi="Calibri"/>
          <w:color w:val="3F3F3F"/>
          <w:sz w:val="21"/>
          <w:szCs w:val="21"/>
        </w:rPr>
        <w:t xml:space="preserve">Industry and Practice pages cross-link via a persistent "Explore by" filter bar directly under the hero (Practice / Industry / Region toggle chips).</w:t>
      </w:r>
    </w:p>
    <w:p>
      <w:pPr>
        <w:pStyle w:val="Heading2"/>
        <w:spacing w:after="160" w:before="320"/>
      </w:pPr>
      <w:r>
        <w:rPr>
          <w:rFonts w:ascii="Calibri" w:cs="Calibri" w:eastAsia="Calibri" w:hAnsi="Calibri"/>
          <w:b/>
          <w:bCs/>
          <w:color w:val="132B4F"/>
          <w:sz w:val="26"/>
          <w:szCs w:val="26"/>
        </w:rPr>
        <w:t xml:space="preserve">3.4 Breadcrumbs</w:t>
      </w:r>
    </w:p>
    <w:p>
      <w:pPr>
        <w:spacing w:after="160" w:line="300"/>
      </w:pPr>
      <w:r>
        <w:rPr>
          <w:rFonts w:ascii="Calibri" w:cs="Calibri" w:eastAsia="Calibri" w:hAnsi="Calibri"/>
          <w:b w:val="false"/>
          <w:bCs w:val="false"/>
          <w:i w:val="false"/>
          <w:iCs w:val="false"/>
          <w:color w:val="3F3F3F"/>
          <w:sz w:val="21"/>
          <w:szCs w:val="21"/>
        </w:rPr>
        <w:t xml:space="preserve">Every non-homepage template carries a breadcrumb trail (Home / Practices / AI Bees / Generative AI) both for user orientation and for SEO structured data (BreadcrumbList schema). Breadcrumbs use gold "›" separators on a light-gray strip directly below the header.</w:t>
      </w:r>
    </w:p>
    <w:p>
      <w:pPr>
        <w:pStyle w:val="Heading2"/>
        <w:spacing w:after="160" w:before="320"/>
      </w:pPr>
      <w:r>
        <w:rPr>
          <w:rFonts w:ascii="Calibri" w:cs="Calibri" w:eastAsia="Calibri" w:hAnsi="Calibri"/>
          <w:b/>
          <w:bCs/>
          <w:color w:val="132B4F"/>
          <w:sz w:val="26"/>
          <w:szCs w:val="26"/>
        </w:rPr>
        <w:t xml:space="preserve">3.5 Footer Navigation</w:t>
      </w:r>
    </w:p>
    <w:p>
      <w:pPr>
        <w:spacing w:after="160" w:line="300"/>
      </w:pPr>
      <w:r>
        <w:rPr>
          <w:rFonts w:ascii="Calibri" w:cs="Calibri" w:eastAsia="Calibri" w:hAnsi="Calibri"/>
          <w:b w:val="false"/>
          <w:bCs w:val="false"/>
          <w:i w:val="false"/>
          <w:iCs w:val="false"/>
          <w:color w:val="3F3F3F"/>
          <w:sz w:val="21"/>
          <w:szCs w:val="21"/>
        </w:rPr>
        <w:t xml:space="preserve">See Section 32 for full footer architecture; the footer functions as the site's secondary IA layer, listing all seven practices, all industries, all regions, and all company/legal pages, which is essential for both crawlability and users who scroll to the bottom looking for an exhaustive list.</w:t>
      </w:r>
    </w:p>
    <w:p>
      <w:pPr>
        <w:pStyle w:val="Heading2"/>
        <w:spacing w:after="160" w:before="320"/>
      </w:pPr>
      <w:r>
        <w:rPr>
          <w:rFonts w:ascii="Calibri" w:cs="Calibri" w:eastAsia="Calibri" w:hAnsi="Calibri"/>
          <w:b/>
          <w:bCs/>
          <w:color w:val="132B4F"/>
          <w:sz w:val="26"/>
          <w:szCs w:val="26"/>
        </w:rPr>
        <w:t xml:space="preserve">3.6 "For Candidates" Mode Switch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color="FFFFFF" w:sz="0"/>
              <w:left w:val="single" w:color="C6963A" w:sz="24"/>
              <w:bottom w:val="none" w:color="FFFFFF" w:sz="0"/>
              <w:right w:val="none" w:color="FFFFFF" w:sz="0"/>
            </w:tcBorders>
            <w:shd w:fill="FBF6EA" w:color="FBF6EA" w:val="clear"/>
            <w:tcMar>
              <w:top w:type="dxa" w:w="160"/>
              <w:left w:type="dxa" w:w="200"/>
              <w:bottom w:type="dxa" w:w="160"/>
              <w:right w:type="dxa" w:w="200"/>
            </w:tcMar>
          </w:tcPr>
          <w:p>
            <w:pPr>
              <w:spacing w:after="80"/>
            </w:pPr>
            <w:r>
              <w:rPr>
                <w:rFonts w:ascii="Calibri" w:cs="Calibri" w:eastAsia="Calibri" w:hAnsi="Calibri"/>
                <w:b/>
                <w:bCs/>
                <w:color w:val="0B1F3A"/>
                <w:sz w:val="21"/>
                <w:szCs w:val="21"/>
              </w:rPr>
              <w:t xml:space="preserve">UX pattern</w:t>
            </w:r>
          </w:p>
          <w:p>
            <w:r>
              <w:rPr>
                <w:rFonts w:ascii="Calibri" w:cs="Calibri" w:eastAsia="Calibri" w:hAnsi="Calibri"/>
                <w:color w:val="3F3F3F"/>
                <w:sz w:val="20"/>
                <w:szCs w:val="20"/>
              </w:rPr>
              <w:t xml:space="preserve">A visible toggle in the header switches the visual accent and CTA language from client-facing ("Book a Consultation," navy/gold, enterprise tone) to candidate-facing ("View Open Roles," warmer imagery, first-person tone) without navigating away from the current practice page — e.g., a candidate reading the AI Bees page can flip to see AI Bees-related open roles without losing context. This directly serves the dual mandate: attract candidates and clients from the same site architecture.</w:t>
            </w:r>
          </w:p>
        </w:tc>
      </w:tr>
    </w:tbl>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4  </w:t>
      </w:r>
      <w:r>
        <w:rPr>
          <w:rFonts w:ascii="Calibri" w:cs="Calibri" w:eastAsia="Calibri" w:hAnsi="Calibri"/>
          <w:b/>
          <w:bCs/>
          <w:color w:val="0B1F3A"/>
          <w:sz w:val="32"/>
          <w:szCs w:val="32"/>
        </w:rPr>
        <w:t xml:space="preserve">4. UX Strategy</w:t>
      </w:r>
    </w:p>
    <w:p>
      <w:pPr>
        <w:pStyle w:val="Heading2"/>
        <w:spacing w:after="160" w:before="320"/>
      </w:pPr>
      <w:r>
        <w:rPr>
          <w:rFonts w:ascii="Calibri" w:cs="Calibri" w:eastAsia="Calibri" w:hAnsi="Calibri"/>
          <w:b/>
          <w:bCs/>
          <w:color w:val="132B4F"/>
          <w:sz w:val="26"/>
          <w:szCs w:val="26"/>
        </w:rPr>
        <w:t xml:space="preserve">4.1 The 10-Second Trust Test</w:t>
      </w:r>
    </w:p>
    <w:p>
      <w:pPr>
        <w:spacing w:after="160" w:line="300"/>
      </w:pPr>
      <w:r>
        <w:rPr>
          <w:rFonts w:ascii="Calibri" w:cs="Calibri" w:eastAsia="Calibri" w:hAnsi="Calibri"/>
          <w:b w:val="false"/>
          <w:bCs w:val="false"/>
          <w:i w:val="false"/>
          <w:iCs w:val="false"/>
          <w:color w:val="3F3F3F"/>
          <w:sz w:val="21"/>
          <w:szCs w:val="21"/>
        </w:rPr>
        <w:t xml:space="preserve">Every template must pass this test before anything else is optimized: a first-time visitor, within 10 seconds of landing, should be able to state (a) what TeamBees does, (b) who it's for, and (c) one piece of evidence it can be trusted. This is achieved structurally, not through copy alone — see the Homepage hero and Proof Bar in Section 21.</w:t>
      </w:r>
    </w:p>
    <w:p>
      <w:pPr>
        <w:pStyle w:val="Heading2"/>
        <w:spacing w:after="160" w:before="320"/>
      </w:pPr>
      <w:r>
        <w:rPr>
          <w:rFonts w:ascii="Calibri" w:cs="Calibri" w:eastAsia="Calibri" w:hAnsi="Calibri"/>
          <w:b/>
          <w:bCs/>
          <w:color w:val="132B4F"/>
          <w:sz w:val="26"/>
          <w:szCs w:val="26"/>
        </w:rPr>
        <w:t xml:space="preserve">4.2 UX Principles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Principle</w:t>
            </w:r>
          </w:p>
        </w:tc>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What it means in practice</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Outcome before feature</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Lead every section with the result ("cut time-to-hire by 40%") before the mechanism ("our RPO model").</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Progressive disclosure</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Hub pages stay scannable (headline, 3 proof points, 3 sub-service cards); depth lives one click down on sub-service pages, not stacked on the hub.</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Persona-aware routing</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Within the first screen, offer explicit forks: "I'm hiring," "I'm building," "I'm a candidate" — not a single generic path.</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Never a dead end</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Every page ends with a relevant next step: a related case study, a related practice, or a CTA — never a blank footer with no direction.</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Consistent proof cadence</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Every major page includes at minimum: 1 stat, 1 client logo strip, 1 testimonial or case study link — repeated rhythm builds subconscious trust.</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Low-friction first conversion</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The first ask is never a 10-field form. Early-funnel CTAs use 2–3 fields (see Section 28); qualification depth increases only as intent increases.</w:t>
            </w:r>
          </w:p>
        </w:tc>
      </w:tr>
    </w:tbl>
    <w:p>
      <w:pPr>
        <w:pStyle w:val="Heading2"/>
        <w:spacing w:after="160" w:before="320"/>
      </w:pPr>
      <w:r>
        <w:rPr>
          <w:rFonts w:ascii="Calibri" w:cs="Calibri" w:eastAsia="Calibri" w:hAnsi="Calibri"/>
          <w:b/>
          <w:bCs/>
          <w:color w:val="132B4F"/>
          <w:sz w:val="26"/>
          <w:szCs w:val="26"/>
        </w:rPr>
        <w:t xml:space="preserve">4.3 Primary User Journeys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Journey</w:t>
            </w:r>
          </w:p>
        </w:tc>
        <w:tc>
          <w:tcPr>
            <w:tcW w:type="dxa" w:w="2337"/>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Entry point</w:t>
            </w:r>
          </w:p>
        </w:tc>
        <w:tc>
          <w:tcPr>
            <w:tcW w:type="dxa" w:w="2337"/>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Path</w:t>
            </w:r>
          </w:p>
        </w:tc>
        <w:tc>
          <w:tcPr>
            <w:tcW w:type="dxa" w:w="2337"/>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Success</w:t>
            </w:r>
          </w:p>
        </w:tc>
      </w:tr>
      <w:tr>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Enterprise buyer, problem-aware</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Google search / paid ad → Industry or Practice page</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Practice page → Case study → "Book a Consultation" form</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Meeting booked</w:t>
            </w:r>
          </w:p>
        </w:tc>
      </w:tr>
      <w:tr>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Enterprise buyer, vendor-comparison</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Direct / referral → Homepage</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Homepage → Practices overview → 2–3 practice pages → Contact</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Meeting booked or resource downloaded</w:t>
            </w:r>
          </w:p>
        </w:tc>
      </w:tr>
      <w:tr>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HR / TA leader sourcing staffing partner</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LinkedIn / referral → Talent Bees hub</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Talent Bees hub → sub-service (e.g., Contract Staffing) → "Request Talent Bench" form</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Bench overview sent, sales follow-up</w:t>
            </w:r>
          </w:p>
        </w:tc>
      </w:tr>
      <w:tr>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Candidate</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Job board / LinkedIn / referral → specific job posting</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Job posting → Life at TeamBees → Apply</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Application submitted</w:t>
            </w:r>
          </w:p>
        </w:tc>
      </w:tr>
      <w:tr>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Researcher / analyst / press</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Google → Insights or Newsroom</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Article → related case study → About/Newsroom</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Content consumed, newsletter signup</w:t>
            </w:r>
          </w:p>
        </w:tc>
      </w:tr>
    </w:tbl>
    <w:p>
      <w:pPr>
        <w:pStyle w:val="Heading2"/>
        <w:spacing w:after="160" w:before="320"/>
      </w:pPr>
      <w:r>
        <w:rPr>
          <w:rFonts w:ascii="Calibri" w:cs="Calibri" w:eastAsia="Calibri" w:hAnsi="Calibri"/>
          <w:b/>
          <w:bCs/>
          <w:color w:val="132B4F"/>
          <w:sz w:val="26"/>
          <w:szCs w:val="26"/>
        </w:rPr>
        <w:t xml:space="preserve">4.4 Friction Audit Checklist (applied to every template before launch)</w:t>
      </w:r>
    </w:p>
    <w:p>
      <w:pPr>
        <w:pStyle w:val="ListParagraph"/>
        <w:numPr>
          <w:ilvl w:val="0"/>
          <w:numId w:val="2"/>
        </w:numPr>
        <w:spacing w:after="90"/>
      </w:pPr>
      <w:r>
        <w:rPr>
          <w:rFonts w:ascii="Calibri" w:cs="Calibri" w:eastAsia="Calibri" w:hAnsi="Calibri"/>
          <w:color w:val="3F3F3F"/>
          <w:sz w:val="21"/>
          <w:szCs w:val="21"/>
        </w:rPr>
        <w:t xml:space="preserve">Can the visitor tell what to do next without scrolling more than 1.5 screens?</w:t>
      </w:r>
    </w:p>
    <w:p>
      <w:pPr>
        <w:pStyle w:val="ListParagraph"/>
        <w:numPr>
          <w:ilvl w:val="0"/>
          <w:numId w:val="2"/>
        </w:numPr>
        <w:spacing w:after="90"/>
      </w:pPr>
      <w:r>
        <w:rPr>
          <w:rFonts w:ascii="Calibri" w:cs="Calibri" w:eastAsia="Calibri" w:hAnsi="Calibri"/>
          <w:color w:val="3F3F3F"/>
          <w:sz w:val="21"/>
          <w:szCs w:val="21"/>
        </w:rPr>
        <w:t xml:space="preserve">Is there more than one CTA competing for attention above the fold? (There should be exactly one primary + one secondary, never more.)</w:t>
      </w:r>
    </w:p>
    <w:p>
      <w:pPr>
        <w:pStyle w:val="ListParagraph"/>
        <w:numPr>
          <w:ilvl w:val="0"/>
          <w:numId w:val="2"/>
        </w:numPr>
        <w:spacing w:after="90"/>
      </w:pPr>
      <w:r>
        <w:rPr>
          <w:rFonts w:ascii="Calibri" w:cs="Calibri" w:eastAsia="Calibri" w:hAnsi="Calibri"/>
          <w:color w:val="3F3F3F"/>
          <w:sz w:val="21"/>
          <w:szCs w:val="21"/>
        </w:rPr>
        <w:t xml:space="preserve">Does any section require the visitor to already know TeamBees' internal terminology (e.g., "Bees") before it's been introduced?</w:t>
      </w:r>
    </w:p>
    <w:p>
      <w:pPr>
        <w:pStyle w:val="ListParagraph"/>
        <w:numPr>
          <w:ilvl w:val="0"/>
          <w:numId w:val="2"/>
        </w:numPr>
        <w:spacing w:after="90"/>
      </w:pPr>
      <w:r>
        <w:rPr>
          <w:rFonts w:ascii="Calibri" w:cs="Calibri" w:eastAsia="Calibri" w:hAnsi="Calibri"/>
          <w:color w:val="3F3F3F"/>
          <w:sz w:val="21"/>
          <w:szCs w:val="21"/>
        </w:rPr>
        <w:t xml:space="preserve">Is proof (logos, stats, testimonials) visible before the third scroll, on every template?</w:t>
      </w:r>
    </w:p>
    <w:p>
      <w:pPr>
        <w:pStyle w:val="ListParagraph"/>
        <w:numPr>
          <w:ilvl w:val="0"/>
          <w:numId w:val="2"/>
        </w:numPr>
        <w:spacing w:after="90"/>
      </w:pPr>
      <w:r>
        <w:rPr>
          <w:rFonts w:ascii="Calibri" w:cs="Calibri" w:eastAsia="Calibri" w:hAnsi="Calibri"/>
          <w:color w:val="3F3F3F"/>
          <w:sz w:val="21"/>
          <w:szCs w:val="21"/>
        </w:rPr>
        <w:t xml:space="preserve">Does the mobile version preserve the same conversion path, not just a shrunk desktop layout?</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5  </w:t>
      </w:r>
      <w:r>
        <w:rPr>
          <w:rFonts w:ascii="Calibri" w:cs="Calibri" w:eastAsia="Calibri" w:hAnsi="Calibri"/>
          <w:b/>
          <w:bCs/>
          <w:color w:val="0B1F3A"/>
          <w:sz w:val="32"/>
          <w:szCs w:val="32"/>
        </w:rPr>
        <w:t xml:space="preserve">5. Content Strategy</w:t>
      </w:r>
    </w:p>
    <w:p>
      <w:pPr>
        <w:pStyle w:val="Heading2"/>
        <w:spacing w:after="160" w:before="320"/>
      </w:pPr>
      <w:r>
        <w:rPr>
          <w:rFonts w:ascii="Calibri" w:cs="Calibri" w:eastAsia="Calibri" w:hAnsi="Calibri"/>
          <w:b/>
          <w:bCs/>
          <w:color w:val="132B4F"/>
          <w:sz w:val="26"/>
          <w:szCs w:val="26"/>
        </w:rPr>
        <w:t xml:space="preserve">5.1 Content Pillars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Pillar</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Purpose</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Content types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Capability content</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Explain what TeamBees does, per practice/sub-service</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Practice pages, sub-service pages, technology pages, one-pagers (PDF)</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Proof content</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Demonstrate outcomes</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Case studies, client testimonials, logo walls, benchmark stats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Authority content</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Establish expertise and win organic search for research-intent queries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Guides, whitepapers, benchmark reports, original research/surveys</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Timely content</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Capture news-cycle and trend-driven search demand</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Blog posts on AI, ServiceNow releases, market/compliance changes (IR35 updates, Emiratization policy changes)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Talent content</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Attract and convert candidates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Life at TeamBees stories, role spotlights, learning &amp; development content, D&amp;I content</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Trust/company content</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Support due diligence late in the buying process</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Leadership bios, certifications, security/compliance pages, ESG</w:t>
            </w:r>
          </w:p>
        </w:tc>
      </w:tr>
    </w:tbl>
    <w:p>
      <w:pPr>
        <w:pStyle w:val="Heading2"/>
        <w:spacing w:after="160" w:before="320"/>
      </w:pPr>
      <w:r>
        <w:rPr>
          <w:rFonts w:ascii="Calibri" w:cs="Calibri" w:eastAsia="Calibri" w:hAnsi="Calibri"/>
          <w:b/>
          <w:bCs/>
          <w:color w:val="132B4F"/>
          <w:sz w:val="26"/>
          <w:szCs w:val="26"/>
        </w:rPr>
        <w:t xml:space="preserve">5.2 Content Governance Model</w:t>
      </w:r>
    </w:p>
    <w:p>
      <w:pPr>
        <w:pStyle w:val="ListParagraph"/>
        <w:numPr>
          <w:ilvl w:val="0"/>
          <w:numId w:val="2"/>
        </w:numPr>
        <w:spacing w:after="90"/>
      </w:pPr>
      <w:r>
        <w:rPr>
          <w:rFonts w:ascii="Calibri" w:cs="Calibri" w:eastAsia="Calibri" w:hAnsi="Calibri"/>
          <w:color w:val="3F3F3F"/>
          <w:sz w:val="21"/>
          <w:szCs w:val="21"/>
        </w:rPr>
        <w:t xml:space="preserve">Every page maps to exactly one primary keyword/intent (see Section 6) and one taxonomy set (Practice, Industry, Region, Technology) used for internal linking and filtering.</w:t>
      </w:r>
    </w:p>
    <w:p>
      <w:pPr>
        <w:pStyle w:val="ListParagraph"/>
        <w:numPr>
          <w:ilvl w:val="0"/>
          <w:numId w:val="2"/>
        </w:numPr>
        <w:spacing w:after="90"/>
      </w:pPr>
      <w:r>
        <w:rPr>
          <w:rFonts w:ascii="Calibri" w:cs="Calibri" w:eastAsia="Calibri" w:hAnsi="Calibri"/>
          <w:color w:val="3F3F3F"/>
          <w:sz w:val="21"/>
          <w:szCs w:val="21"/>
        </w:rPr>
        <w:t xml:space="preserve">A central content brief template (owner, primary keyword, target persona, required proof points, CTA, related pages to link to) is mandatory before any page is drafted — this is what allows 300+ pages to stay consistent without a single editor reviewing every one line-by-line.</w:t>
      </w:r>
    </w:p>
    <w:p>
      <w:pPr>
        <w:pStyle w:val="ListParagraph"/>
        <w:numPr>
          <w:ilvl w:val="0"/>
          <w:numId w:val="2"/>
        </w:numPr>
        <w:spacing w:after="90"/>
      </w:pPr>
      <w:r>
        <w:rPr>
          <w:rFonts w:ascii="Calibri" w:cs="Calibri" w:eastAsia="Calibri" w:hAnsi="Calibri"/>
          <w:color w:val="3F3F3F"/>
          <w:sz w:val="21"/>
          <w:szCs w:val="21"/>
        </w:rPr>
        <w:t xml:space="preserve">Case studies follow the fixed template in Section 25 so they can be filtered, compared, and syndicated as PDF one-pagers for sales without rework.</w:t>
      </w:r>
    </w:p>
    <w:p>
      <w:pPr>
        <w:pStyle w:val="Heading2"/>
        <w:spacing w:after="160" w:before="320"/>
      </w:pPr>
      <w:r>
        <w:rPr>
          <w:rFonts w:ascii="Calibri" w:cs="Calibri" w:eastAsia="Calibri" w:hAnsi="Calibri"/>
          <w:b/>
          <w:bCs/>
          <w:color w:val="132B4F"/>
          <w:sz w:val="26"/>
          <w:szCs w:val="26"/>
        </w:rPr>
        <w:t xml:space="preserve">5.3 Editorial Calendar Structure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Cadence</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Content type</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Volume</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Weekly</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Blog / insight article</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1–2 posts</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Bi-weekly</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Case study (rotating across practices/regions)</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 per two weeks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Monthly</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Gated guide or benchmark report</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Quarterly</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Original research / survey report (flagship, PR-driven)</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Ongoing</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New landing pages as practice/industry/region combinations are identified via keyword gap analysis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Variable, tracked against the 300-page roadmap</w:t>
            </w:r>
          </w:p>
        </w:tc>
      </w:tr>
    </w:tbl>
    <w:p>
      <w:pPr>
        <w:pStyle w:val="Heading2"/>
        <w:spacing w:after="160" w:before="320"/>
      </w:pPr>
      <w:r>
        <w:rPr>
          <w:rFonts w:ascii="Calibri" w:cs="Calibri" w:eastAsia="Calibri" w:hAnsi="Calibri"/>
          <w:b/>
          <w:bCs/>
          <w:color w:val="132B4F"/>
          <w:sz w:val="26"/>
          <w:szCs w:val="26"/>
        </w:rPr>
        <w:t xml:space="preserve">5.4 Localization Strategy</w:t>
      </w:r>
    </w:p>
    <w:p>
      <w:pPr>
        <w:spacing w:after="160" w:line="300"/>
      </w:pPr>
      <w:r>
        <w:rPr>
          <w:rFonts w:ascii="Calibri" w:cs="Calibri" w:eastAsia="Calibri" w:hAnsi="Calibri"/>
          <w:b w:val="false"/>
          <w:bCs w:val="false"/>
          <w:i w:val="false"/>
          <w:iCs w:val="false"/>
          <w:color w:val="3F3F3F"/>
          <w:sz w:val="21"/>
          <w:szCs w:val="21"/>
        </w:rPr>
        <w:t xml:space="preserve">Rather than fully translated regional sites (a heavier lift with limited near-term ROI given English-language-dominant target markets), Phase 1 uses English-language content with regionalized substance: compliance terminology, currency, case studies, and testimonials specific to each region. Full translation (e.g., for European markets) is a Phase 3 consideration, prioritized by traffic and revenue data, not built speculatively.</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6  </w:t>
      </w:r>
      <w:r>
        <w:rPr>
          <w:rFonts w:ascii="Calibri" w:cs="Calibri" w:eastAsia="Calibri" w:hAnsi="Calibri"/>
          <w:b/>
          <w:bCs/>
          <w:color w:val="0B1F3A"/>
          <w:sz w:val="32"/>
          <w:szCs w:val="32"/>
        </w:rPr>
        <w:t xml:space="preserve">6. SEO Strategy</w:t>
      </w:r>
    </w:p>
    <w:p>
      <w:pPr>
        <w:pStyle w:val="Heading2"/>
        <w:spacing w:after="160" w:before="320"/>
      </w:pPr>
      <w:r>
        <w:rPr>
          <w:rFonts w:ascii="Calibri" w:cs="Calibri" w:eastAsia="Calibri" w:hAnsi="Calibri"/>
          <w:b/>
          <w:bCs/>
          <w:color w:val="132B4F"/>
          <w:sz w:val="26"/>
          <w:szCs w:val="26"/>
        </w:rPr>
        <w:t xml:space="preserve">6.1 SEO Objectives</w:t>
      </w:r>
    </w:p>
    <w:p>
      <w:pPr>
        <w:pStyle w:val="ListParagraph"/>
        <w:numPr>
          <w:ilvl w:val="0"/>
          <w:numId w:val="2"/>
        </w:numPr>
        <w:spacing w:after="90"/>
      </w:pPr>
      <w:r>
        <w:rPr>
          <w:rFonts w:ascii="Calibri" w:cs="Calibri" w:eastAsia="Calibri" w:hAnsi="Calibri"/>
          <w:color w:val="3F3F3F"/>
          <w:sz w:val="21"/>
          <w:szCs w:val="21"/>
        </w:rPr>
        <w:t xml:space="preserve">Rank top-3 for practice + service terms in each priority region (e.g., "ServiceNow implementation partner UK," "AI agent development company USA").</w:t>
      </w:r>
    </w:p>
    <w:p>
      <w:pPr>
        <w:pStyle w:val="ListParagraph"/>
        <w:numPr>
          <w:ilvl w:val="0"/>
          <w:numId w:val="2"/>
        </w:numPr>
        <w:spacing w:after="90"/>
      </w:pPr>
      <w:r>
        <w:rPr>
          <w:rFonts w:ascii="Calibri" w:cs="Calibri" w:eastAsia="Calibri" w:hAnsi="Calibri"/>
          <w:color w:val="3F3F3F"/>
          <w:sz w:val="21"/>
          <w:szCs w:val="21"/>
        </w:rPr>
        <w:t xml:space="preserve">Own long-tail, high-intent combinatorial queries ("Endur consulting Houston," "IR35 compliant contract staffing London") through the Practice × Region × Industry page matrix.</w:t>
      </w:r>
    </w:p>
    <w:p>
      <w:pPr>
        <w:pStyle w:val="ListParagraph"/>
        <w:numPr>
          <w:ilvl w:val="0"/>
          <w:numId w:val="2"/>
        </w:numPr>
        <w:spacing w:after="90"/>
      </w:pPr>
      <w:r>
        <w:rPr>
          <w:rFonts w:ascii="Calibri" w:cs="Calibri" w:eastAsia="Calibri" w:hAnsi="Calibri"/>
          <w:color w:val="3F3F3F"/>
          <w:sz w:val="21"/>
          <w:szCs w:val="21"/>
        </w:rPr>
        <w:t xml:space="preserve">Build topical authority in AI, ServiceNow, and Energy Trading platforms specifically — the three areas where TeamBees has a genuine differentiation story worth owning in search.</w:t>
      </w:r>
    </w:p>
    <w:p>
      <w:pPr>
        <w:pStyle w:val="Heading2"/>
        <w:spacing w:after="160" w:before="320"/>
      </w:pPr>
      <w:r>
        <w:rPr>
          <w:rFonts w:ascii="Calibri" w:cs="Calibri" w:eastAsia="Calibri" w:hAnsi="Calibri"/>
          <w:b/>
          <w:bCs/>
          <w:color w:val="132B4F"/>
          <w:sz w:val="26"/>
          <w:szCs w:val="26"/>
        </w:rPr>
        <w:t xml:space="preserve">6.2 Keyword Architecture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Tier</w:t>
            </w:r>
          </w:p>
        </w:tc>
        <w:tc>
          <w:tcPr>
            <w:tcW w:type="dxa" w:w="2337"/>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Intent</w:t>
            </w:r>
          </w:p>
        </w:tc>
        <w:tc>
          <w:tcPr>
            <w:tcW w:type="dxa" w:w="2337"/>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Example queries</w:t>
            </w:r>
          </w:p>
        </w:tc>
        <w:tc>
          <w:tcPr>
            <w:tcW w:type="dxa" w:w="2337"/>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Target page</w:t>
            </w:r>
          </w:p>
        </w:tc>
      </w:tr>
      <w:tr>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Head terms</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Broad category, high volume, high competition</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"IT staffing company," "AI consulting firm"</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Practice hub pages</w:t>
            </w:r>
          </w:p>
        </w:tc>
      </w:tr>
      <w:tr>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Mid-tail</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Practice + modifier</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"ServiceNow implementation partner," "generative AI development services"</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Sub-service pages</w:t>
            </w:r>
          </w:p>
        </w:tc>
      </w:tr>
      <w:tr>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Long-tail combinatorial</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Practice + industry or + region</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"AI testing for healthcare," "contract staffing Toronto"</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Practice × Industry or × Region pages</w:t>
            </w:r>
          </w:p>
        </w:tc>
      </w:tr>
      <w:tr>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Bottom-funnel / branded-adjacent</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Comparison, vendor-evaluation</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"TeamBees vs Cognizant," "best staffing alternative to Toptal"</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Comparison / alternatives pages (Phase 2)</w:t>
            </w:r>
          </w:p>
        </w:tc>
      </w:tr>
      <w:tr>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Informational</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Research, top-of-funnel</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"what is MEDDICC," "IR35 explained for contractors"</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Blog / guides</w:t>
            </w:r>
          </w:p>
        </w:tc>
      </w:tr>
    </w:tbl>
    <w:p>
      <w:pPr>
        <w:pStyle w:val="Heading2"/>
        <w:spacing w:after="160" w:before="320"/>
      </w:pPr>
      <w:r>
        <w:rPr>
          <w:rFonts w:ascii="Calibri" w:cs="Calibri" w:eastAsia="Calibri" w:hAnsi="Calibri"/>
          <w:b/>
          <w:bCs/>
          <w:color w:val="132B4F"/>
          <w:sz w:val="26"/>
          <w:szCs w:val="26"/>
        </w:rPr>
        <w:t xml:space="preserve">6.3 On-Page SEO Standards (applied to every template)</w:t>
      </w:r>
    </w:p>
    <w:p>
      <w:pPr>
        <w:pStyle w:val="ListParagraph"/>
        <w:numPr>
          <w:ilvl w:val="0"/>
          <w:numId w:val="2"/>
        </w:numPr>
        <w:spacing w:after="90"/>
      </w:pPr>
      <w:r>
        <w:rPr>
          <w:rFonts w:ascii="Calibri" w:cs="Calibri" w:eastAsia="Calibri" w:hAnsi="Calibri"/>
          <w:color w:val="3F3F3F"/>
          <w:sz w:val="21"/>
          <w:szCs w:val="21"/>
        </w:rPr>
        <w:t xml:space="preserve">One H1 per page, containing the primary keyword naturally, never keyword-stuffed.</w:t>
      </w:r>
    </w:p>
    <w:p>
      <w:pPr>
        <w:pStyle w:val="ListParagraph"/>
        <w:numPr>
          <w:ilvl w:val="0"/>
          <w:numId w:val="2"/>
        </w:numPr>
        <w:spacing w:after="90"/>
      </w:pPr>
      <w:r>
        <w:rPr>
          <w:rFonts w:ascii="Calibri" w:cs="Calibri" w:eastAsia="Calibri" w:hAnsi="Calibri"/>
          <w:color w:val="3F3F3F"/>
          <w:sz w:val="21"/>
          <w:szCs w:val="21"/>
        </w:rPr>
        <w:t xml:space="preserve">Meta title ≤ 60 characters, meta description ≤ 155 characters, both unique per page — enforced by CMS field validation, not manual review.</w:t>
      </w:r>
    </w:p>
    <w:p>
      <w:pPr>
        <w:pStyle w:val="ListParagraph"/>
        <w:numPr>
          <w:ilvl w:val="0"/>
          <w:numId w:val="2"/>
        </w:numPr>
        <w:spacing w:after="90"/>
      </w:pPr>
      <w:r>
        <w:rPr>
          <w:rFonts w:ascii="Calibri" w:cs="Calibri" w:eastAsia="Calibri" w:hAnsi="Calibri"/>
          <w:color w:val="3F3F3F"/>
          <w:sz w:val="21"/>
          <w:szCs w:val="21"/>
        </w:rPr>
        <w:t xml:space="preserve">Structured data: Organization schema sitewide; Service schema on practice/sub-service pages; JobPosting schema on all career listings; Article schema on blog/insights; BreadcrumbList sitewide; FAQPage schema where an FAQ block is present.</w:t>
      </w:r>
    </w:p>
    <w:p>
      <w:pPr>
        <w:pStyle w:val="ListParagraph"/>
        <w:numPr>
          <w:ilvl w:val="0"/>
          <w:numId w:val="2"/>
        </w:numPr>
        <w:spacing w:after="90"/>
      </w:pPr>
      <w:r>
        <w:rPr>
          <w:rFonts w:ascii="Calibri" w:cs="Calibri" w:eastAsia="Calibri" w:hAnsi="Calibri"/>
          <w:color w:val="3F3F3F"/>
          <w:sz w:val="21"/>
          <w:szCs w:val="21"/>
        </w:rPr>
        <w:t xml:space="preserve">Every image has descriptive alt text; hero and above-the-fold images are served pre-optimized (WebP/AVIF) — see Section 36.</w:t>
      </w:r>
    </w:p>
    <w:p>
      <w:pPr>
        <w:pStyle w:val="ListParagraph"/>
        <w:numPr>
          <w:ilvl w:val="0"/>
          <w:numId w:val="2"/>
        </w:numPr>
        <w:spacing w:after="90"/>
      </w:pPr>
      <w:r>
        <w:rPr>
          <w:rFonts w:ascii="Calibri" w:cs="Calibri" w:eastAsia="Calibri" w:hAnsi="Calibri"/>
          <w:color w:val="3F3F3F"/>
          <w:sz w:val="21"/>
          <w:szCs w:val="21"/>
        </w:rPr>
        <w:t xml:space="preserve">Internal links use descriptive anchor text tied to the target page's primary keyword, never "click here."</w:t>
      </w:r>
    </w:p>
    <w:p>
      <w:pPr>
        <w:pStyle w:val="Heading2"/>
        <w:spacing w:after="160" w:before="320"/>
      </w:pPr>
      <w:r>
        <w:rPr>
          <w:rFonts w:ascii="Calibri" w:cs="Calibri" w:eastAsia="Calibri" w:hAnsi="Calibri"/>
          <w:b/>
          <w:bCs/>
          <w:color w:val="132B4F"/>
          <w:sz w:val="26"/>
          <w:szCs w:val="26"/>
        </w:rPr>
        <w:t xml:space="preserve">6.4 Technical SEO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Requirement</w:t>
            </w:r>
          </w:p>
        </w:tc>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XML sitemap</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Auto-generated, segmented by content type (pages, case studies, insights, jobs), resubmitted on publish via CMS webhook to Search Console</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Canonicalization</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Enforced on all faceted/filtered case-study and industry views to prevent duplicate-content dilution from the 300+ page matrix</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Robots &amp; crawl budget</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Low-value parameterized URLs (filters, tracking params) disallowed; priority given to crawl budget for money pages</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Core Web Vitals</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LCP &lt; 2.5s, INP &lt; 200ms, CLS &lt; 0.1 on 90% of tracked page loads (see Section 36 for the full checklist)</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hreflang</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Applied if/when true regional sites are introduced in Phase 3; not required for Phase 1's single global site model</w:t>
            </w:r>
          </w:p>
        </w:tc>
      </w:tr>
    </w:tbl>
    <w:p>
      <w:pPr>
        <w:pStyle w:val="Heading2"/>
        <w:spacing w:after="160" w:before="320"/>
      </w:pPr>
      <w:r>
        <w:rPr>
          <w:rFonts w:ascii="Calibri" w:cs="Calibri" w:eastAsia="Calibri" w:hAnsi="Calibri"/>
          <w:b/>
          <w:bCs/>
          <w:color w:val="132B4F"/>
          <w:sz w:val="26"/>
          <w:szCs w:val="26"/>
        </w:rPr>
        <w:t xml:space="preserve">6.5 Link Building &amp; Authority</w:t>
      </w:r>
    </w:p>
    <w:p>
      <w:pPr>
        <w:pStyle w:val="ListParagraph"/>
        <w:numPr>
          <w:ilvl w:val="0"/>
          <w:numId w:val="2"/>
        </w:numPr>
        <w:spacing w:after="90"/>
      </w:pPr>
      <w:r>
        <w:rPr>
          <w:rFonts w:ascii="Calibri" w:cs="Calibri" w:eastAsia="Calibri" w:hAnsi="Calibri"/>
          <w:color w:val="3F3F3F"/>
          <w:sz w:val="21"/>
          <w:szCs w:val="21"/>
        </w:rPr>
        <w:t xml:space="preserve">Digital PR around the quarterly original-research report (Section 5.3) is the primary scalable backlink engine — benchmark data is what press and industry sites cite.</w:t>
      </w:r>
    </w:p>
    <w:p>
      <w:pPr>
        <w:pStyle w:val="ListParagraph"/>
        <w:numPr>
          <w:ilvl w:val="0"/>
          <w:numId w:val="2"/>
        </w:numPr>
        <w:spacing w:after="90"/>
      </w:pPr>
      <w:r>
        <w:rPr>
          <w:rFonts w:ascii="Calibri" w:cs="Calibri" w:eastAsia="Calibri" w:hAnsi="Calibri"/>
          <w:color w:val="3F3F3F"/>
          <w:sz w:val="21"/>
          <w:szCs w:val="21"/>
        </w:rPr>
        <w:t xml:space="preserve">Partner/technology pages (ServiceNow, Endur, etc.) pursue reciprocal listing in official partner directories, which carry high domain authority.</w:t>
      </w:r>
    </w:p>
    <w:p>
      <w:pPr>
        <w:pStyle w:val="ListParagraph"/>
        <w:numPr>
          <w:ilvl w:val="0"/>
          <w:numId w:val="2"/>
        </w:numPr>
        <w:spacing w:after="90"/>
      </w:pPr>
      <w:r>
        <w:rPr>
          <w:rFonts w:ascii="Calibri" w:cs="Calibri" w:eastAsia="Calibri" w:hAnsi="Calibri"/>
          <w:color w:val="3F3F3F"/>
          <w:sz w:val="21"/>
          <w:szCs w:val="21"/>
        </w:rPr>
        <w:t xml:space="preserve">Guest contribution and speaking-engagement content on industry publications (staffing, HR tech, energy trading trade press) ties back to relevant practice pages.</w:t>
      </w:r>
    </w:p>
    <w:p>
      <w:pPr>
        <w:pStyle w:val="Heading2"/>
        <w:spacing w:after="160" w:before="320"/>
      </w:pPr>
      <w:r>
        <w:rPr>
          <w:rFonts w:ascii="Calibri" w:cs="Calibri" w:eastAsia="Calibri" w:hAnsi="Calibri"/>
          <w:b/>
          <w:bCs/>
          <w:color w:val="132B4F"/>
          <w:sz w:val="26"/>
          <w:szCs w:val="26"/>
        </w:rPr>
        <w:t xml:space="preserve">6.6 Measurement</w:t>
      </w:r>
    </w:p>
    <w:p>
      <w:pPr>
        <w:spacing w:after="160" w:line="300"/>
      </w:pPr>
      <w:r>
        <w:rPr>
          <w:rFonts w:ascii="Calibri" w:cs="Calibri" w:eastAsia="Calibri" w:hAnsi="Calibri"/>
          <w:b w:val="false"/>
          <w:bCs w:val="false"/>
          <w:i w:val="false"/>
          <w:iCs w:val="false"/>
          <w:color w:val="3F3F3F"/>
          <w:sz w:val="21"/>
          <w:szCs w:val="21"/>
        </w:rPr>
        <w:t xml:space="preserve">SEO performance is tracked in the KPI dashboard (Section 35): organic sessions, keyword rank distribution by tier, indexed-page count vs. the 300-page target, and organic-to-lead conversion rate, reviewed monthly against the roadmap in Section 39.</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7  </w:t>
      </w:r>
      <w:r>
        <w:rPr>
          <w:rFonts w:ascii="Calibri" w:cs="Calibri" w:eastAsia="Calibri" w:hAnsi="Calibri"/>
          <w:b/>
          <w:bCs/>
          <w:color w:val="0B1F3A"/>
          <w:sz w:val="32"/>
          <w:szCs w:val="32"/>
        </w:rPr>
        <w:t xml:space="preserve">7. Landing Page Strategy (Scaling to 300+ Pages)</w:t>
      </w:r>
    </w:p>
    <w:p>
      <w:pPr>
        <w:pStyle w:val="Heading2"/>
        <w:spacing w:after="160" w:before="320"/>
      </w:pPr>
      <w:r>
        <w:rPr>
          <w:rFonts w:ascii="Calibri" w:cs="Calibri" w:eastAsia="Calibri" w:hAnsi="Calibri"/>
          <w:b/>
          <w:bCs/>
          <w:color w:val="132B4F"/>
          <w:sz w:val="26"/>
          <w:szCs w:val="26"/>
        </w:rPr>
        <w:t xml:space="preserve">7.1 The Templating Model</w:t>
      </w:r>
    </w:p>
    <w:p>
      <w:pPr>
        <w:spacing w:after="160" w:line="300"/>
      </w:pPr>
      <w:r>
        <w:rPr>
          <w:rFonts w:ascii="Calibri" w:cs="Calibri" w:eastAsia="Calibri" w:hAnsi="Calibri"/>
          <w:b w:val="false"/>
          <w:bCs w:val="false"/>
          <w:i w:val="false"/>
          <w:iCs w:val="false"/>
          <w:color w:val="3F3F3F"/>
          <w:sz w:val="21"/>
          <w:szCs w:val="21"/>
        </w:rPr>
        <w:t xml:space="preserve">300+ unique pages are only maintainable if they are generated, not handcrafted. TeamBees' site is built on six parametric templates (detailed with full wireframes in Part III): Practice Hub, Sub-Service, Industry, Practice × Industry, Region Hub, and Region × Practice. Each template has fixed structural sections with variable content slots populated from the CMS by taxonomy — practice name, industry name, region name, relevant case studies, relevant stats.</w:t>
      </w:r>
    </w:p>
    <w:p>
      <w:pPr>
        <w:pStyle w:val="Heading2"/>
        <w:spacing w:after="160" w:before="320"/>
      </w:pPr>
      <w:r>
        <w:rPr>
          <w:rFonts w:ascii="Calibri" w:cs="Calibri" w:eastAsia="Calibri" w:hAnsi="Calibri"/>
          <w:b/>
          <w:bCs/>
          <w:color w:val="132B4F"/>
          <w:sz w:val="26"/>
          <w:szCs w:val="26"/>
        </w:rPr>
        <w:t xml:space="preserve">7.2 Landing Page Content Requirements (minimum viable page)</w:t>
      </w:r>
    </w:p>
    <w:p>
      <w:pPr>
        <w:pStyle w:val="ListParagraph"/>
        <w:numPr>
          <w:ilvl w:val="0"/>
          <w:numId w:val="2"/>
        </w:numPr>
        <w:spacing w:after="90"/>
      </w:pPr>
      <w:r>
        <w:rPr>
          <w:rFonts w:ascii="Calibri" w:cs="Calibri" w:eastAsia="Calibri" w:hAnsi="Calibri"/>
          <w:color w:val="3F3F3F"/>
          <w:sz w:val="21"/>
          <w:szCs w:val="21"/>
        </w:rPr>
        <w:t xml:space="preserve">A unique H1 and unique intro paragraph (never templated boilerplate with only the noun swapped) — thin, near-duplicate content is the single biggest SEO risk at this scale.</w:t>
      </w:r>
    </w:p>
    <w:p>
      <w:pPr>
        <w:pStyle w:val="ListParagraph"/>
        <w:numPr>
          <w:ilvl w:val="0"/>
          <w:numId w:val="2"/>
        </w:numPr>
        <w:spacing w:after="90"/>
      </w:pPr>
      <w:r>
        <w:rPr>
          <w:rFonts w:ascii="Calibri" w:cs="Calibri" w:eastAsia="Calibri" w:hAnsi="Calibri"/>
          <w:color w:val="3F3F3F"/>
          <w:sz w:val="21"/>
          <w:szCs w:val="21"/>
        </w:rPr>
        <w:t xml:space="preserve">At least one region- or industry-specific proof point (stat, quote, or mini case study), not generic company-wide proof repeated everywhere.</w:t>
      </w:r>
    </w:p>
    <w:p>
      <w:pPr>
        <w:pStyle w:val="ListParagraph"/>
        <w:numPr>
          <w:ilvl w:val="0"/>
          <w:numId w:val="2"/>
        </w:numPr>
        <w:spacing w:after="90"/>
      </w:pPr>
      <w:r>
        <w:rPr>
          <w:rFonts w:ascii="Calibri" w:cs="Calibri" w:eastAsia="Calibri" w:hAnsi="Calibri"/>
          <w:color w:val="3F3F3F"/>
          <w:sz w:val="21"/>
          <w:szCs w:val="21"/>
        </w:rPr>
        <w:t xml:space="preserve">A minimum of 400 words of substantive body copy — enough to avoid thin-content classification, not padded for its own sake.</w:t>
      </w:r>
    </w:p>
    <w:p>
      <w:pPr>
        <w:pStyle w:val="ListParagraph"/>
        <w:numPr>
          <w:ilvl w:val="0"/>
          <w:numId w:val="2"/>
        </w:numPr>
        <w:spacing w:after="90"/>
      </w:pPr>
      <w:r>
        <w:rPr>
          <w:rFonts w:ascii="Calibri" w:cs="Calibri" w:eastAsia="Calibri" w:hAnsi="Calibri"/>
          <w:color w:val="3F3F3F"/>
          <w:sz w:val="21"/>
          <w:szCs w:val="21"/>
        </w:rPr>
        <w:t xml:space="preserve">3+ contextual internal links to related practice, industry, or case study pages (see Section 31).</w:t>
      </w:r>
    </w:p>
    <w:p>
      <w:pPr>
        <w:pStyle w:val="ListParagraph"/>
        <w:numPr>
          <w:ilvl w:val="0"/>
          <w:numId w:val="2"/>
        </w:numPr>
        <w:spacing w:after="90"/>
      </w:pPr>
      <w:r>
        <w:rPr>
          <w:rFonts w:ascii="Calibri" w:cs="Calibri" w:eastAsia="Calibri" w:hAnsi="Calibri"/>
          <w:color w:val="3F3F3F"/>
          <w:sz w:val="21"/>
          <w:szCs w:val="21"/>
        </w:rPr>
        <w:t xml:space="preserve">One clear, single primary CTA appropriate to that page's funnel stage.</w:t>
      </w:r>
    </w:p>
    <w:p>
      <w:pPr>
        <w:pStyle w:val="Heading2"/>
        <w:spacing w:after="160" w:before="320"/>
      </w:pPr>
      <w:r>
        <w:rPr>
          <w:rFonts w:ascii="Calibri" w:cs="Calibri" w:eastAsia="Calibri" w:hAnsi="Calibri"/>
          <w:b/>
          <w:bCs/>
          <w:color w:val="132B4F"/>
          <w:sz w:val="26"/>
          <w:szCs w:val="26"/>
        </w:rPr>
        <w:t xml:space="preserve">7.3 Paid Landing Page Variants</w:t>
      </w:r>
    </w:p>
    <w:p>
      <w:pPr>
        <w:spacing w:after="160" w:line="300"/>
      </w:pPr>
      <w:r>
        <w:rPr>
          <w:rFonts w:ascii="Calibri" w:cs="Calibri" w:eastAsia="Calibri" w:hAnsi="Calibri"/>
          <w:b w:val="false"/>
          <w:bCs w:val="false"/>
          <w:i w:val="false"/>
          <w:iCs w:val="false"/>
          <w:color w:val="3F3F3F"/>
          <w:sz w:val="21"/>
          <w:szCs w:val="21"/>
        </w:rPr>
        <w:t xml:space="preserve">For paid campaigns (Google Ads, LinkedIn Ads), a lightweight variant of each sub-service/industry page removes global nav and footer navigation, keeping a single conversion path — standard PPC landing-page discipline that materially lifts conversion rate versus sending paid traffic to the full site template.</w:t>
      </w:r>
    </w:p>
    <w:p>
      <w:pPr>
        <w:pStyle w:val="Heading2"/>
        <w:spacing w:after="160" w:before="320"/>
      </w:pPr>
      <w:r>
        <w:rPr>
          <w:rFonts w:ascii="Calibri" w:cs="Calibri" w:eastAsia="Calibri" w:hAnsi="Calibri"/>
          <w:b/>
          <w:bCs/>
          <w:color w:val="132B4F"/>
          <w:sz w:val="26"/>
          <w:szCs w:val="26"/>
        </w:rPr>
        <w:t xml:space="preserve">7.4 Page Prioritization Roadmap (by expected demand)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Page cluster</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Rationale</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P0</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7 Practice hubs + ~45 sub-service pages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Core capability pages; every other page links back to these</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P0</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6 Region hubs</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Required for regional paid campaigns and compliance credibility from day one</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P1</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10 Industry hubs + top 20 Practice×Industry combinations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Highest-intent, highest-conversion long-tail traffic</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P1</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First 30 case studies</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Core proof infrastructure referenced across all other templates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P2</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Remaining Practice×Industry and Region×Practice combinations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Fill out the matrix as keyword and sales data validate demand</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P2</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Technology pages (20)</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ServiceNow, Endur, Allegro, RightAngle, TriplePoint, plus Digital/AI tech stack pages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P3</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Comparison/alternatives pages, additional long-tail combinations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Built opportunistically based on Search Console gap analysis</w:t>
            </w:r>
          </w:p>
        </w:tc>
      </w:tr>
    </w:tbl>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8  </w:t>
      </w:r>
      <w:r>
        <w:rPr>
          <w:rFonts w:ascii="Calibri" w:cs="Calibri" w:eastAsia="Calibri" w:hAnsi="Calibri"/>
          <w:b/>
          <w:bCs/>
          <w:color w:val="0B1F3A"/>
          <w:sz w:val="32"/>
          <w:szCs w:val="32"/>
        </w:rPr>
        <w:t xml:space="preserve">8. Lead Generation Strategy</w:t>
      </w:r>
    </w:p>
    <w:p>
      <w:pPr>
        <w:pStyle w:val="Heading2"/>
        <w:spacing w:after="160" w:before="320"/>
      </w:pPr>
      <w:r>
        <w:rPr>
          <w:rFonts w:ascii="Calibri" w:cs="Calibri" w:eastAsia="Calibri" w:hAnsi="Calibri"/>
          <w:b/>
          <w:bCs/>
          <w:color w:val="132B4F"/>
          <w:sz w:val="26"/>
          <w:szCs w:val="26"/>
        </w:rPr>
        <w:t xml:space="preserve">8.1 Lead Capture Points by Funnel Stage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Funnel stage</w:t>
            </w:r>
          </w:p>
        </w:tc>
        <w:tc>
          <w:tcPr>
            <w:tcW w:type="dxa" w:w="2337"/>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Visitor intent</w:t>
            </w:r>
          </w:p>
        </w:tc>
        <w:tc>
          <w:tcPr>
            <w:tcW w:type="dxa" w:w="2337"/>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Offer</w:t>
            </w:r>
          </w:p>
        </w:tc>
        <w:tc>
          <w:tcPr>
            <w:tcW w:type="dxa" w:w="2337"/>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Form depth</w:t>
            </w:r>
          </w:p>
        </w:tc>
      </w:tr>
      <w:tr>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Top</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Research, no vendor yet in mind</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Newsletter, guide/whitepaper download</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1–2 fields (email, name)</w:t>
            </w:r>
          </w:p>
        </w:tc>
      </w:tr>
      <w:tr>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Middle</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Comparing capability, building shortlist</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Webinar registration, benchmark report, "Talent Bench Overview"</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3–4 fields (name, email, company, role)</w:t>
            </w:r>
          </w:p>
        </w:tc>
      </w:tr>
      <w:tr>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Bottom</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Ready to evaluate a partner</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"Book a Consultation," "Request a Proposal"</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5–7 fields (+ project detail, timeline, budget band)</w:t>
            </w:r>
          </w:p>
        </w:tc>
      </w:tr>
      <w:tr>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Candidate</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Job seeking</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Apply to role, "Join Talent Community"</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Resume upload + short form, optimized for mobile completion</w:t>
            </w:r>
          </w:p>
        </w:tc>
      </w:tr>
    </w:tbl>
    <w:p>
      <w:pPr>
        <w:pStyle w:val="Heading2"/>
        <w:spacing w:after="160" w:before="320"/>
      </w:pPr>
      <w:r>
        <w:rPr>
          <w:rFonts w:ascii="Calibri" w:cs="Calibri" w:eastAsia="Calibri" w:hAnsi="Calibri"/>
          <w:b/>
          <w:bCs/>
          <w:color w:val="132B4F"/>
          <w:sz w:val="26"/>
          <w:szCs w:val="26"/>
        </w:rPr>
        <w:t xml:space="preserve">8.2 Lead Scoring Model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Signal</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Points</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Form type: Book a Consultation</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+40</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Highest-intent action</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Form type: Resource download</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+10</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Top-of-funnel</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Job title matches ICP (CIO, CTO, VP Eng, HR Director, TA Head)</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+20</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Matched via form field or enrichment</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Company size matches ICP (mid-market to enterprise)</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+15</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Enrichment via Clearbit/ZoomInfo-type integration</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Visited 3+ practice/industry pages in one session</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+10</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Intent-signal from behavioral tracking</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Returned visitor within 14 days</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+10</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Indicates active evaluation</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From a target account (ABM list match)</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+25</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See Section 34, CRM integration</w:t>
            </w:r>
          </w:p>
        </w:tc>
      </w:tr>
    </w:tbl>
    <w:p>
      <w:pPr>
        <w:spacing w:after="160" w:line="300"/>
      </w:pPr>
      <w:r>
        <w:rPr>
          <w:rFonts w:ascii="Calibri" w:cs="Calibri" w:eastAsia="Calibri" w:hAnsi="Calibri"/>
          <w:b w:val="false"/>
          <w:bCs w:val="false"/>
          <w:i w:val="false"/>
          <w:iCs w:val="false"/>
          <w:color w:val="3F3F3F"/>
          <w:sz w:val="21"/>
          <w:szCs w:val="21"/>
        </w:rPr>
        <w:t xml:space="preserve">Leads scoring 60+ route immediately to a named sales owner with a 1-business-hour SLA notification (Slack + CRM task); leads scoring 30–59 enter a nurture sequence; below 30, nurture-only with quarterly re-scoring.</w:t>
      </w:r>
    </w:p>
    <w:p>
      <w:pPr>
        <w:pStyle w:val="Heading2"/>
        <w:spacing w:after="160" w:before="320"/>
      </w:pPr>
      <w:r>
        <w:rPr>
          <w:rFonts w:ascii="Calibri" w:cs="Calibri" w:eastAsia="Calibri" w:hAnsi="Calibri"/>
          <w:b/>
          <w:bCs/>
          <w:color w:val="132B4F"/>
          <w:sz w:val="26"/>
          <w:szCs w:val="26"/>
        </w:rPr>
        <w:t xml:space="preserve">8.3 Lead Routing Logic</w:t>
      </w:r>
    </w:p>
    <w:p>
      <w:pPr>
        <w:pStyle w:val="ListParagraph"/>
        <w:numPr>
          <w:ilvl w:val="0"/>
          <w:numId w:val="2"/>
        </w:numPr>
        <w:spacing w:after="90"/>
      </w:pPr>
      <w:r>
        <w:rPr>
          <w:rFonts w:ascii="Calibri" w:cs="Calibri" w:eastAsia="Calibri" w:hAnsi="Calibri"/>
          <w:color w:val="3F3F3F"/>
          <w:sz w:val="21"/>
          <w:szCs w:val="21"/>
        </w:rPr>
        <w:t xml:space="preserve">Route by Practice tag first (a ServiceNow Bees inquiry goes to the ServiceNow practice lead, not a generalist inbox).</w:t>
      </w:r>
    </w:p>
    <w:p>
      <w:pPr>
        <w:pStyle w:val="ListParagraph"/>
        <w:numPr>
          <w:ilvl w:val="0"/>
          <w:numId w:val="2"/>
        </w:numPr>
        <w:spacing w:after="90"/>
      </w:pPr>
      <w:r>
        <w:rPr>
          <w:rFonts w:ascii="Calibri" w:cs="Calibri" w:eastAsia="Calibri" w:hAnsi="Calibri"/>
          <w:color w:val="3F3F3F"/>
          <w:sz w:val="21"/>
          <w:szCs w:val="21"/>
        </w:rPr>
        <w:t xml:space="preserve">Route by Region second, to the correct regional account team for time-zone-appropriate follow-up.</w:t>
      </w:r>
    </w:p>
    <w:p>
      <w:pPr>
        <w:pStyle w:val="ListParagraph"/>
        <w:numPr>
          <w:ilvl w:val="0"/>
          <w:numId w:val="2"/>
        </w:numPr>
        <w:spacing w:after="90"/>
      </w:pPr>
      <w:r>
        <w:rPr>
          <w:rFonts w:ascii="Calibri" w:cs="Calibri" w:eastAsia="Calibri" w:hAnsi="Calibri"/>
          <w:color w:val="3F3F3F"/>
          <w:sz w:val="21"/>
          <w:szCs w:val="21"/>
        </w:rPr>
        <w:t xml:space="preserve">Fallback: unmatched or ambiguous leads route to a central SDR queue with a 4-hour SLA.</w:t>
      </w:r>
    </w:p>
    <w:p>
      <w:pPr>
        <w:pStyle w:val="Heading2"/>
        <w:spacing w:after="160" w:before="320"/>
      </w:pPr>
      <w:r>
        <w:rPr>
          <w:rFonts w:ascii="Calibri" w:cs="Calibri" w:eastAsia="Calibri" w:hAnsi="Calibri"/>
          <w:b/>
          <w:bCs/>
          <w:color w:val="132B4F"/>
          <w:sz w:val="26"/>
          <w:szCs w:val="26"/>
        </w:rPr>
        <w:t xml:space="preserve">8.4 Account-Based Marketing (ABM) Support</w:t>
      </w:r>
    </w:p>
    <w:p>
      <w:pPr>
        <w:spacing w:after="160" w:line="300"/>
      </w:pPr>
      <w:r>
        <w:rPr>
          <w:rFonts w:ascii="Calibri" w:cs="Calibri" w:eastAsia="Calibri" w:hAnsi="Calibri"/>
          <w:b w:val="false"/>
          <w:bCs w:val="false"/>
          <w:i w:val="false"/>
          <w:iCs w:val="false"/>
          <w:color w:val="3F3F3F"/>
          <w:sz w:val="21"/>
          <w:szCs w:val="21"/>
        </w:rPr>
        <w:t xml:space="preserve">For named target accounts (GSIs, large banks, energy majors), the site should support IP-based or list-based account recognition to trigger personalized homepage banners and priority routing — a Phase 2/3 capability once base analytics and CRM integration (Section 34) are stable.</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9  </w:t>
      </w:r>
      <w:r>
        <w:rPr>
          <w:rFonts w:ascii="Calibri" w:cs="Calibri" w:eastAsia="Calibri" w:hAnsi="Calibri"/>
          <w:b/>
          <w:bCs/>
          <w:color w:val="0B1F3A"/>
          <w:sz w:val="32"/>
          <w:szCs w:val="32"/>
        </w:rPr>
        <w:t xml:space="preserve">9. Conversion Optimization Strategy (CRO)</w:t>
      </w:r>
    </w:p>
    <w:p>
      <w:pPr>
        <w:pStyle w:val="Heading2"/>
        <w:spacing w:after="160" w:before="320"/>
      </w:pPr>
      <w:r>
        <w:rPr>
          <w:rFonts w:ascii="Calibri" w:cs="Calibri" w:eastAsia="Calibri" w:hAnsi="Calibri"/>
          <w:b/>
          <w:bCs/>
          <w:color w:val="132B4F"/>
          <w:sz w:val="26"/>
          <w:szCs w:val="26"/>
        </w:rPr>
        <w:t xml:space="preserve">9.1 CRO Operating Model</w:t>
      </w:r>
    </w:p>
    <w:p>
      <w:pPr>
        <w:pStyle w:val="ListParagraph"/>
        <w:numPr>
          <w:ilvl w:val="0"/>
          <w:numId w:val="2"/>
        </w:numPr>
        <w:spacing w:after="90"/>
      </w:pPr>
      <w:r>
        <w:rPr>
          <w:rFonts w:ascii="Calibri" w:cs="Calibri" w:eastAsia="Calibri" w:hAnsi="Calibri"/>
          <w:color w:val="3F3F3F"/>
          <w:sz w:val="21"/>
          <w:szCs w:val="21"/>
        </w:rPr>
        <w:t xml:space="preserve">Every P0/P1 template (Section 7.4) gets a baseline conversion rate benchmark within 30 days of launch, then enters a monthly test cadence.</w:t>
      </w:r>
    </w:p>
    <w:p>
      <w:pPr>
        <w:pStyle w:val="ListParagraph"/>
        <w:numPr>
          <w:ilvl w:val="0"/>
          <w:numId w:val="2"/>
        </w:numPr>
        <w:spacing w:after="90"/>
      </w:pPr>
      <w:r>
        <w:rPr>
          <w:rFonts w:ascii="Calibri" w:cs="Calibri" w:eastAsia="Calibri" w:hAnsi="Calibri"/>
          <w:color w:val="3F3F3F"/>
          <w:sz w:val="21"/>
          <w:szCs w:val="21"/>
        </w:rPr>
        <w:t xml:space="preserve">Tests are prioritized using an ICE framework (Impact, Confidence, Ease) and logged centrally so results compound rather than being re-litigated per region.</w:t>
      </w:r>
    </w:p>
    <w:p>
      <w:pPr>
        <w:pStyle w:val="ListParagraph"/>
        <w:numPr>
          <w:ilvl w:val="0"/>
          <w:numId w:val="2"/>
        </w:numPr>
        <w:spacing w:after="90"/>
      </w:pPr>
      <w:r>
        <w:rPr>
          <w:rFonts w:ascii="Calibri" w:cs="Calibri" w:eastAsia="Calibri" w:hAnsi="Calibri"/>
          <w:color w:val="3F3F3F"/>
          <w:sz w:val="21"/>
          <w:szCs w:val="21"/>
        </w:rPr>
        <w:t xml:space="preserve">No test runs on pages with under ~1,000 monthly sessions — statistical noise makes results unreliable below that threshold; low-traffic pages instead follow best-practice patterns proven on high-traffic templates.</w:t>
      </w:r>
    </w:p>
    <w:p>
      <w:pPr>
        <w:pStyle w:val="Heading2"/>
        <w:spacing w:after="160" w:before="320"/>
      </w:pPr>
      <w:r>
        <w:rPr>
          <w:rFonts w:ascii="Calibri" w:cs="Calibri" w:eastAsia="Calibri" w:hAnsi="Calibri"/>
          <w:b/>
          <w:bCs/>
          <w:color w:val="132B4F"/>
          <w:sz w:val="26"/>
          <w:szCs w:val="26"/>
        </w:rPr>
        <w:t xml:space="preserve">9.2 Priority Test Backlog (first two quarters)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Test</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Hypothesis</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Template</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Hero CTA copy: "Book a Consultation" vs. "See How We Can Help"</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Lower-commitment framing increases click-through without reducing lead quality</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Homepage, Practice hubs</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Form length: 5-field vs. 3-field + progressive profiling</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Shorter initial form increases submission rate; missing fields captured on a second touch</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Bottom-funnel forms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Proof placement: logo strip immediately under hero vs. after first content block</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Immediate proof increases scroll depth and time-on-page</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Homepage, Industry pages</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Chatbot proactive prompt vs. passive icon only</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Proactive prompt after 15s dwell increases engagement without feeling intrusive</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Practice and Industry pages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Exit-intent offer (resource download) vs. no exit-intent</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Recovers a portion of abandoning top-of-funnel traffic</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Blog / Insights pages</w:t>
            </w:r>
          </w:p>
        </w:tc>
      </w:tr>
    </w:tbl>
    <w:p>
      <w:pPr>
        <w:pStyle w:val="Heading2"/>
        <w:spacing w:after="160" w:before="320"/>
      </w:pPr>
      <w:r>
        <w:rPr>
          <w:rFonts w:ascii="Calibri" w:cs="Calibri" w:eastAsia="Calibri" w:hAnsi="Calibri"/>
          <w:b/>
          <w:bCs/>
          <w:color w:val="132B4F"/>
          <w:sz w:val="26"/>
          <w:szCs w:val="26"/>
        </w:rPr>
        <w:t xml:space="preserve">9.3 CRO Guardrails</w:t>
      </w:r>
    </w:p>
    <w:p>
      <w:pPr>
        <w:pStyle w:val="ListParagraph"/>
        <w:numPr>
          <w:ilvl w:val="0"/>
          <w:numId w:val="2"/>
        </w:numPr>
        <w:spacing w:after="90"/>
      </w:pPr>
      <w:r>
        <w:rPr>
          <w:rFonts w:ascii="Calibri" w:cs="Calibri" w:eastAsia="Calibri" w:hAnsi="Calibri"/>
          <w:color w:val="3F3F3F"/>
          <w:sz w:val="21"/>
          <w:szCs w:val="21"/>
        </w:rPr>
        <w:t xml:space="preserve">Never test against brand consistency (color, tone) purely for a conversion lift — a test that wins short-term conversion but erodes brand trust is not a true win.</w:t>
      </w:r>
    </w:p>
    <w:p>
      <w:pPr>
        <w:pStyle w:val="ListParagraph"/>
        <w:numPr>
          <w:ilvl w:val="0"/>
          <w:numId w:val="2"/>
        </w:numPr>
        <w:spacing w:after="90"/>
      </w:pPr>
      <w:r>
        <w:rPr>
          <w:rFonts w:ascii="Calibri" w:cs="Calibri" w:eastAsia="Calibri" w:hAnsi="Calibri"/>
          <w:color w:val="3F3F3F"/>
          <w:sz w:val="21"/>
          <w:szCs w:val="21"/>
        </w:rPr>
        <w:t xml:space="preserve">Every winning variant must be validated across at least two regions before being made the sitewide default, given real behavioral differences between, e.g., UAE and UK enterprise buyers.</w:t>
      </w:r>
    </w:p>
    <w:p>
      <w:pPr>
        <w:pStyle w:val="ListParagraph"/>
        <w:numPr>
          <w:ilvl w:val="0"/>
          <w:numId w:val="2"/>
        </w:numPr>
        <w:spacing w:after="90"/>
      </w:pPr>
      <w:r>
        <w:rPr>
          <w:rFonts w:ascii="Calibri" w:cs="Calibri" w:eastAsia="Calibri" w:hAnsi="Calibri"/>
          <w:color w:val="3F3F3F"/>
          <w:sz w:val="21"/>
          <w:szCs w:val="21"/>
        </w:rPr>
        <w:t xml:space="preserve">Lead quality (measured downstream in CRM as SQL/won-rate), not just raw conversion rate, is the ultimate success metric — a test that increases form fills but decreases lead quality is a loss.</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10  </w:t>
      </w:r>
      <w:r>
        <w:rPr>
          <w:rFonts w:ascii="Calibri" w:cs="Calibri" w:eastAsia="Calibri" w:hAnsi="Calibri"/>
          <w:b/>
          <w:bCs/>
          <w:color w:val="0B1F3A"/>
          <w:sz w:val="32"/>
          <w:szCs w:val="32"/>
        </w:rPr>
        <w:t xml:space="preserve">10. Trust-Building Elements</w:t>
      </w:r>
    </w:p>
    <w:p>
      <w:pPr>
        <w:pStyle w:val="Heading2"/>
        <w:spacing w:after="160" w:before="320"/>
      </w:pPr>
      <w:r>
        <w:rPr>
          <w:rFonts w:ascii="Calibri" w:cs="Calibri" w:eastAsia="Calibri" w:hAnsi="Calibri"/>
          <w:b/>
          <w:bCs/>
          <w:color w:val="132B4F"/>
          <w:sz w:val="26"/>
          <w:szCs w:val="26"/>
        </w:rPr>
        <w:t xml:space="preserve">10.1 Trust Signal Inventory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Signal type</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Placement</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Client logo wall</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Homepage (below hero), Practice hubs, Industry pages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Segment logos by relevance where possible (show BFSI logos on BFSI page) rather than one static global wall everywhere</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Quantified outcomes</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Homepage proof bar, every practice/industry page</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e.g., "40% faster time-to-hire," "99.2% test-defect capture rate" — always sourced from real client data, footnoted where needed</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Testimonials / video testimonials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Homepage, case studies, practice pages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Named where permitted; role + company + region shown for credibility</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Certifications &amp; partnerships</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Footer sitewide + dedicated Partnerships page</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ServiceNow partner tier, ISO/security certifications, energy-platform partner status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Analyst/press mentions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Homepage, Newsroom</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Only where genuine coverage exists — do not fabricate</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Security &amp; compliance badges</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Footer, Contact/RFP pages</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SOC 2, ISO 27001, GDPR statement, data residency notes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Leadership visibility</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About/Leadership page, author bylines on Insights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Real photos and bios; anonymous "our team" copy reads as lower-trust at enterprise scale</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Employee/candidate proof</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Careers pages</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Employee stories and tenure/growth stats build trust with candidates specifically</w:t>
            </w:r>
          </w:p>
        </w:tc>
      </w:tr>
    </w:tbl>
    <w:p>
      <w:pPr>
        <w:pStyle w:val="Heading2"/>
        <w:spacing w:after="160" w:before="320"/>
      </w:pPr>
      <w:r>
        <w:rPr>
          <w:rFonts w:ascii="Calibri" w:cs="Calibri" w:eastAsia="Calibri" w:hAnsi="Calibri"/>
          <w:b/>
          <w:bCs/>
          <w:color w:val="132B4F"/>
          <w:sz w:val="26"/>
          <w:szCs w:val="26"/>
        </w:rPr>
        <w:t xml:space="preserve">10.2 The Proof Bar Pattern</w:t>
      </w:r>
    </w:p>
    <w:p>
      <w:pPr>
        <w:spacing w:after="160" w:line="300"/>
      </w:pPr>
      <w:r>
        <w:rPr>
          <w:rFonts w:ascii="Calibri" w:cs="Calibri" w:eastAsia="Calibri" w:hAnsi="Calibri"/>
          <w:b w:val="false"/>
          <w:bCs w:val="false"/>
          <w:i w:val="false"/>
          <w:iCs w:val="false"/>
          <w:color w:val="3F3F3F"/>
          <w:sz w:val="21"/>
          <w:szCs w:val="21"/>
        </w:rPr>
        <w:t xml:space="preserve">A recurring, consistent horizontal band used across templates: 3–4 stat tiles (icon + number + 1-line context), placed directly beneath the hero. This is the single highest-leverage trust device on enterprise sites in this category (seen consistently on EPAM, Cognizant, and Nagarro) because it delivers quantified credibility before the visitor has to read a word of prose.</w:t>
      </w:r>
    </w:p>
    <w:p>
      <w:pPr>
        <w:pStyle w:val="Heading2"/>
        <w:spacing w:after="160" w:before="320"/>
      </w:pPr>
      <w:r>
        <w:rPr>
          <w:rFonts w:ascii="Calibri" w:cs="Calibri" w:eastAsia="Calibri" w:hAnsi="Calibri"/>
          <w:b/>
          <w:bCs/>
          <w:color w:val="132B4F"/>
          <w:sz w:val="26"/>
          <w:szCs w:val="26"/>
        </w:rPr>
        <w:t xml:space="preserve">10.3 Handling Regions/Practices with Less Public Proof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color="FFFFFF" w:sz="0"/>
              <w:left w:val="single" w:color="C6963A" w:sz="24"/>
              <w:bottom w:val="none" w:color="FFFFFF" w:sz="0"/>
              <w:right w:val="none" w:color="FFFFFF" w:sz="0"/>
            </w:tcBorders>
            <w:shd w:fill="FBF6EA" w:color="FBF6EA" w:val="clear"/>
            <w:tcMar>
              <w:top w:type="dxa" w:w="160"/>
              <w:left w:type="dxa" w:w="200"/>
              <w:bottom w:type="dxa" w:w="160"/>
              <w:right w:type="dxa" w:w="200"/>
            </w:tcMar>
          </w:tcPr>
          <w:p>
            <w:pPr>
              <w:spacing w:after="80"/>
            </w:pPr>
            <w:r>
              <w:rPr>
                <w:rFonts w:ascii="Calibri" w:cs="Calibri" w:eastAsia="Calibri" w:hAnsi="Calibri"/>
                <w:b/>
                <w:bCs/>
                <w:color w:val="0B1F3A"/>
                <w:sz w:val="21"/>
                <w:szCs w:val="21"/>
              </w:rPr>
              <w:t xml:space="preserve">Decision needed</w:t>
            </w:r>
          </w:p>
          <w:p>
            <w:r>
              <w:rPr>
                <w:rFonts w:ascii="Calibri" w:cs="Calibri" w:eastAsia="Calibri" w:hAnsi="Calibri"/>
                <w:color w:val="3F3F3F"/>
                <w:sz w:val="20"/>
                <w:szCs w:val="20"/>
              </w:rPr>
              <w:t xml:space="preserve">Some practices (e.g., Energy Bees) may have fewer publishable client references due to confidentiality in energy trading engagements. Where named case studies aren't available, use anonymized composite case studies ("A top-5 US energy trading firm...") with quantified outcomes, clearly labeled as anonymized — this preserves credibility without fabricating specificity. This pattern should be pre-approved by legal/client-relations before launch.</w:t>
            </w:r>
          </w:p>
        </w:tc>
      </w:tr>
    </w:tbl>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11  </w:t>
      </w:r>
      <w:r>
        <w:rPr>
          <w:rFonts w:ascii="Calibri" w:cs="Calibri" w:eastAsia="Calibri" w:hAnsi="Calibri"/>
          <w:b/>
          <w:bCs/>
          <w:color w:val="0B1F3A"/>
          <w:sz w:val="32"/>
          <w:szCs w:val="32"/>
        </w:rPr>
        <w:t xml:space="preserve">11. CTA Framework</w:t>
      </w:r>
    </w:p>
    <w:p>
      <w:pPr>
        <w:pStyle w:val="Heading2"/>
        <w:spacing w:after="160" w:before="320"/>
      </w:pPr>
      <w:r>
        <w:rPr>
          <w:rFonts w:ascii="Calibri" w:cs="Calibri" w:eastAsia="Calibri" w:hAnsi="Calibri"/>
          <w:b/>
          <w:bCs/>
          <w:color w:val="132B4F"/>
          <w:sz w:val="26"/>
          <w:szCs w:val="26"/>
        </w:rPr>
        <w:t xml:space="preserve">11.1 CTA Hierarchy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Tier</w:t>
            </w:r>
          </w:p>
        </w:tc>
        <w:tc>
          <w:tcPr>
            <w:tcW w:type="dxa" w:w="2337"/>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Example CTAs</w:t>
            </w:r>
          </w:p>
        </w:tc>
        <w:tc>
          <w:tcPr>
            <w:tcW w:type="dxa" w:w="2337"/>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Visual treatment</w:t>
            </w:r>
          </w:p>
        </w:tc>
        <w:tc>
          <w:tcPr>
            <w:tcW w:type="dxa" w:w="2337"/>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Where used</w:t>
            </w:r>
          </w:p>
        </w:tc>
      </w:tr>
      <w:tr>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Primary</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"Book a Consultation," "Talk to an Expert"</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Solid gold button, navy text, always the highest-contrast element on the page</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Header, hero, end of every major page</w:t>
            </w:r>
          </w:p>
        </w:tc>
      </w:tr>
      <w:tr>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Secondary</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"See Case Studies," "Download the Guide"</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Outlined button, navy border/text</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Adjacent to primary in hero, mid-page sections</w:t>
            </w:r>
          </w:p>
        </w:tc>
      </w:tr>
      <w:tr>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Tertiary / inline</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"Learn more about AI Bees →"</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Text link with gold arrow, underline on hover</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Within body copy, card footers</w:t>
            </w:r>
          </w:p>
        </w:tc>
      </w:tr>
      <w:tr>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Candidate-mode</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"View Open Roles," "Join Our Talent Community"</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Solid navy button on candidate-mode pages</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Careers pages, candidate-mode toggle state</w:t>
            </w:r>
          </w:p>
        </w:tc>
      </w:tr>
    </w:tbl>
    <w:p>
      <w:pPr>
        <w:pStyle w:val="Heading2"/>
        <w:spacing w:after="160" w:before="320"/>
      </w:pPr>
      <w:r>
        <w:rPr>
          <w:rFonts w:ascii="Calibri" w:cs="Calibri" w:eastAsia="Calibri" w:hAnsi="Calibri"/>
          <w:b/>
          <w:bCs/>
          <w:color w:val="132B4F"/>
          <w:sz w:val="26"/>
          <w:szCs w:val="26"/>
        </w:rPr>
        <w:t xml:space="preserve">11.2 CTA Copy Principles</w:t>
      </w:r>
    </w:p>
    <w:p>
      <w:pPr>
        <w:pStyle w:val="ListParagraph"/>
        <w:numPr>
          <w:ilvl w:val="0"/>
          <w:numId w:val="2"/>
        </w:numPr>
        <w:spacing w:after="90"/>
      </w:pPr>
      <w:r>
        <w:rPr>
          <w:rFonts w:ascii="Calibri" w:cs="Calibri" w:eastAsia="Calibri" w:hAnsi="Calibri"/>
          <w:color w:val="3F3F3F"/>
          <w:sz w:val="21"/>
          <w:szCs w:val="21"/>
        </w:rPr>
        <w:t xml:space="preserve">Use first-person-adjacent, specific verbs: "Book a Consultation" outperforms "Submit" or "Learn More" for bottom-funnel intent.</w:t>
      </w:r>
    </w:p>
    <w:p>
      <w:pPr>
        <w:pStyle w:val="ListParagraph"/>
        <w:numPr>
          <w:ilvl w:val="0"/>
          <w:numId w:val="2"/>
        </w:numPr>
        <w:spacing w:after="90"/>
      </w:pPr>
      <w:r>
        <w:rPr>
          <w:rFonts w:ascii="Calibri" w:cs="Calibri" w:eastAsia="Calibri" w:hAnsi="Calibri"/>
          <w:color w:val="3F3F3F"/>
          <w:sz w:val="21"/>
          <w:szCs w:val="21"/>
        </w:rPr>
        <w:t xml:space="preserve">Match CTA language to funnel stage — never put a bottom-funnel CTA ("Request a Proposal") as the only option on a top-of-funnel blog post; pair it with a lower-commitment secondary CTA.</w:t>
      </w:r>
    </w:p>
    <w:p>
      <w:pPr>
        <w:pStyle w:val="ListParagraph"/>
        <w:numPr>
          <w:ilvl w:val="0"/>
          <w:numId w:val="2"/>
        </w:numPr>
        <w:spacing w:after="90"/>
      </w:pPr>
      <w:r>
        <w:rPr>
          <w:rFonts w:ascii="Calibri" w:cs="Calibri" w:eastAsia="Calibri" w:hAnsi="Calibri"/>
          <w:color w:val="3F3F3F"/>
          <w:sz w:val="21"/>
          <w:szCs w:val="21"/>
        </w:rPr>
        <w:t xml:space="preserve">Avoid generic "Contact Us" as a primary CTA anywhere a more specific, benefit-oriented alternative fits ("Talk to a ServiceNow Specialist" beats "Contact Us" on the ServiceNow Bees page).</w:t>
      </w:r>
    </w:p>
    <w:p>
      <w:pPr>
        <w:pStyle w:val="Heading2"/>
        <w:spacing w:after="160" w:before="320"/>
      </w:pPr>
      <w:r>
        <w:rPr>
          <w:rFonts w:ascii="Calibri" w:cs="Calibri" w:eastAsia="Calibri" w:hAnsi="Calibri"/>
          <w:b/>
          <w:bCs/>
          <w:color w:val="132B4F"/>
          <w:sz w:val="26"/>
          <w:szCs w:val="26"/>
        </w:rPr>
        <w:t xml:space="preserve">11.3 CTA Placement Rules</w:t>
      </w:r>
    </w:p>
    <w:p>
      <w:pPr>
        <w:pStyle w:val="ListParagraph"/>
        <w:numPr>
          <w:ilvl w:val="0"/>
          <w:numId w:val="2"/>
        </w:numPr>
        <w:spacing w:after="90"/>
      </w:pPr>
      <w:r>
        <w:rPr>
          <w:rFonts w:ascii="Calibri" w:cs="Calibri" w:eastAsia="Calibri" w:hAnsi="Calibri"/>
          <w:color w:val="3F3F3F"/>
          <w:sz w:val="21"/>
          <w:szCs w:val="21"/>
        </w:rPr>
        <w:t xml:space="preserve">One primary CTA maximum visible in any single viewport — competing primary CTAs measurably reduce conversion (paradox of choice).</w:t>
      </w:r>
    </w:p>
    <w:p>
      <w:pPr>
        <w:pStyle w:val="ListParagraph"/>
        <w:numPr>
          <w:ilvl w:val="0"/>
          <w:numId w:val="2"/>
        </w:numPr>
        <w:spacing w:after="90"/>
      </w:pPr>
      <w:r>
        <w:rPr>
          <w:rFonts w:ascii="Calibri" w:cs="Calibri" w:eastAsia="Calibri" w:hAnsi="Calibri"/>
          <w:color w:val="3F3F3F"/>
          <w:sz w:val="21"/>
          <w:szCs w:val="21"/>
        </w:rPr>
        <w:t xml:space="preserve">Primary CTA repeats at: hero, mid-page (after proof/case study section), and page end — never buried only in the footer.</w:t>
      </w:r>
    </w:p>
    <w:p>
      <w:pPr>
        <w:pStyle w:val="ListParagraph"/>
        <w:numPr>
          <w:ilvl w:val="0"/>
          <w:numId w:val="2"/>
        </w:numPr>
        <w:spacing w:after="90"/>
      </w:pPr>
      <w:r>
        <w:rPr>
          <w:rFonts w:ascii="Calibri" w:cs="Calibri" w:eastAsia="Calibri" w:hAnsi="Calibri"/>
          <w:color w:val="3F3F3F"/>
          <w:sz w:val="21"/>
          <w:szCs w:val="21"/>
        </w:rPr>
        <w:t xml:space="preserve">Sticky mobile CTA bar (Section 3.2) mirrors whatever the page's primary CTA is, dynamically, not a hardcoded generic "Contact Us."</w:t>
      </w:r>
    </w:p>
    <w:p>
      <w:pPr>
        <w:pStyle w:val="Heading2"/>
        <w:spacing w:after="160" w:before="320"/>
      </w:pPr>
      <w:r>
        <w:rPr>
          <w:rFonts w:ascii="Calibri" w:cs="Calibri" w:eastAsia="Calibri" w:hAnsi="Calibri"/>
          <w:b/>
          <w:bCs/>
          <w:color w:val="132B4F"/>
          <w:sz w:val="26"/>
          <w:szCs w:val="26"/>
        </w:rPr>
        <w:t xml:space="preserve">11.4 Post-Click Experience</w:t>
      </w:r>
    </w:p>
    <w:p>
      <w:pPr>
        <w:spacing w:after="160" w:line="300"/>
      </w:pPr>
      <w:r>
        <w:rPr>
          <w:rFonts w:ascii="Calibri" w:cs="Calibri" w:eastAsia="Calibri" w:hAnsi="Calibri"/>
          <w:b w:val="false"/>
          <w:bCs w:val="false"/>
          <w:i w:val="false"/>
          <w:iCs w:val="false"/>
          <w:color w:val="3F3F3F"/>
          <w:sz w:val="21"/>
          <w:szCs w:val="21"/>
        </w:rPr>
        <w:t xml:space="preserve">Every CTA must lead somewhere frictionless and truthful to its label: "Book a Consultation" opens a scheduling widget (Section 28), not a generic contact form; "Download the Guide" gates only after the value has been previewed (title, TOC, or excerpt shown before the form).</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
      </w:r>
      <w:r>
        <w:rPr>
          <w:rFonts w:ascii="Calibri" w:cs="Calibri" w:eastAsia="Calibri" w:hAnsi="Calibri"/>
          <w:b/>
          <w:bCs/>
          <w:color w:val="0B1F3A"/>
          <w:sz w:val="32"/>
          <w:szCs w:val="32"/>
        </w:rPr>
        <w:t xml:space="preserve">PART II</w:t>
      </w:r>
    </w:p>
    <w:p>
      <w:pPr>
        <w:pStyle w:val="Heading2"/>
        <w:spacing w:after="160" w:before="320"/>
      </w:pPr>
      <w:r>
        <w:rPr>
          <w:rFonts w:ascii="Calibri" w:cs="Calibri" w:eastAsia="Calibri" w:hAnsi="Calibri"/>
          <w:b/>
          <w:bCs/>
          <w:color w:val="132B4F"/>
          <w:sz w:val="26"/>
          <w:szCs w:val="26"/>
        </w:rPr>
        <w:t xml:space="preserve">Visual Language &amp; Design System</w:t>
      </w:r>
    </w:p>
    <w:p>
      <w:pPr>
        <w:spacing w:after="160" w:line="300"/>
      </w:pPr>
      <w:r>
        <w:rPr>
          <w:rFonts w:ascii="Calibri" w:cs="Calibri" w:eastAsia="Calibri" w:hAnsi="Calibri"/>
          <w:b w:val="false"/>
          <w:bCs w:val="false"/>
          <w:i w:val="false"/>
          <w:iCs w:val="false"/>
          <w:color w:val="3F3F3F"/>
          <w:sz w:val="21"/>
          <w:szCs w:val="21"/>
        </w:rPr>
        <w:t xml:space="preserve">This part defines the reusable visual and interaction vocabulary — color, type, icons, motion, and components — that every wireframe in Part III is built from. Locking this system first is what allows 300+ pages to feel like one coherent brand rather than a patchwork of one-off designs.</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12  </w:t>
      </w:r>
      <w:r>
        <w:rPr>
          <w:rFonts w:ascii="Calibri" w:cs="Calibri" w:eastAsia="Calibri" w:hAnsi="Calibri"/>
          <w:b/>
          <w:bCs/>
          <w:color w:val="0B1F3A"/>
          <w:sz w:val="32"/>
          <w:szCs w:val="32"/>
        </w:rPr>
        <w:t xml:space="preserve">12. UI Design System — Overview &amp; Principles</w:t>
      </w:r>
    </w:p>
    <w:p>
      <w:pPr>
        <w:pStyle w:val="Heading2"/>
        <w:spacing w:after="160" w:before="320"/>
      </w:pPr>
      <w:r>
        <w:rPr>
          <w:rFonts w:ascii="Calibri" w:cs="Calibri" w:eastAsia="Calibri" w:hAnsi="Calibri"/>
          <w:b/>
          <w:bCs/>
          <w:color w:val="132B4F"/>
          <w:sz w:val="26"/>
          <w:szCs w:val="26"/>
        </w:rPr>
        <w:t xml:space="preserve">12.1 Design Philosophy</w:t>
      </w:r>
    </w:p>
    <w:p>
      <w:pPr>
        <w:spacing w:after="160" w:line="300"/>
      </w:pPr>
      <w:r>
        <w:rPr>
          <w:rFonts w:ascii="Calibri" w:cs="Calibri" w:eastAsia="Calibri" w:hAnsi="Calibri"/>
          <w:b w:val="false"/>
          <w:bCs w:val="false"/>
          <w:i w:val="false"/>
          <w:iCs w:val="false"/>
          <w:color w:val="3F3F3F"/>
          <w:sz w:val="21"/>
          <w:szCs w:val="21"/>
        </w:rPr>
        <w:t xml:space="preserve">The system should read as "confident enterprise, not corporate-generic": navy-and-gold conveys authority and premium positioning (the same emotional register as financial services and top-tier consulting brands), while the gold accent, used sparingly, prevents the site from feeling as cold or interchangeable as the many blue-and-white enterprise sites in this category. Editorial layout choices (generous whitespace, confident type scale, restrained iconography) borrow from EPAM and Nagarro's visual maturity rather than the denser, more sales-brochure feel of legacy IT-services sites.</w:t>
      </w:r>
    </w:p>
    <w:p>
      <w:pPr>
        <w:pStyle w:val="Heading2"/>
        <w:spacing w:after="160" w:before="320"/>
      </w:pPr>
      <w:r>
        <w:rPr>
          <w:rFonts w:ascii="Calibri" w:cs="Calibri" w:eastAsia="Calibri" w:hAnsi="Calibri"/>
          <w:b/>
          <w:bCs/>
          <w:color w:val="132B4F"/>
          <w:sz w:val="26"/>
          <w:szCs w:val="26"/>
        </w:rPr>
        <w:t xml:space="preserve">12.2 Core Design Principles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Principle</w:t>
            </w:r>
          </w:p>
        </w:tc>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Application</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Restraint over decoration</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Gold is an accent color used for emphasis (CTAs, dividers, icons), never a large background fill — overuse cheapens a premium palette fast.</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Consistent rhythm</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 fixed 8px spacing scale and a small set of section patterns (hero, proof bar, card grid, split content, CTA band) recur across all templates.</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Content-led hierarchy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Type scale and color do the work of hierarchy; avoid relying on decorative dividers or excess iconography to signal importance.</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Systemized, not styled per page</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Every visual decision traces back to a token (color, spacing, type) in this system — no page-specific one-off styling.</w:t>
            </w:r>
          </w:p>
        </w:tc>
      </w:tr>
    </w:tbl>
    <w:p>
      <w:pPr>
        <w:pStyle w:val="Heading2"/>
        <w:spacing w:after="160" w:before="320"/>
      </w:pPr>
      <w:r>
        <w:rPr>
          <w:rFonts w:ascii="Calibri" w:cs="Calibri" w:eastAsia="Calibri" w:hAnsi="Calibri"/>
          <w:b/>
          <w:bCs/>
          <w:color w:val="132B4F"/>
          <w:sz w:val="26"/>
          <w:szCs w:val="26"/>
        </w:rPr>
        <w:t xml:space="preserve">12.3 Design Tokens Summary</w:t>
      </w:r>
    </w:p>
    <w:p>
      <w:pPr>
        <w:spacing w:after="160" w:line="300"/>
      </w:pPr>
      <w:r>
        <w:rPr>
          <w:rFonts w:ascii="Calibri" w:cs="Calibri" w:eastAsia="Calibri" w:hAnsi="Calibri"/>
          <w:b w:val="false"/>
          <w:bCs w:val="false"/>
          <w:i w:val="false"/>
          <w:iCs w:val="false"/>
          <w:color w:val="3F3F3F"/>
          <w:sz w:val="21"/>
          <w:szCs w:val="21"/>
        </w:rPr>
        <w:t xml:space="preserve">Full detail in Sections 13–15. At a glance: a 2-color brand palette (navy, gold) plus a neutral gray scale and semantic state colors; a two-typeface system (a confident sans-serif for headings, a highly legible sans-serif for body); an 8px base spacing unit; and a restrained, line-weight-consistent icon set.</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13  </w:t>
      </w:r>
      <w:r>
        <w:rPr>
          <w:rFonts w:ascii="Calibri" w:cs="Calibri" w:eastAsia="Calibri" w:hAnsi="Calibri"/>
          <w:b/>
          <w:bCs/>
          <w:color w:val="0B1F3A"/>
          <w:sz w:val="32"/>
          <w:szCs w:val="32"/>
        </w:rPr>
        <w:t xml:space="preserve">13. Color Palette</w:t>
      </w:r>
    </w:p>
    <w:p>
      <w:pPr>
        <w:pStyle w:val="Heading2"/>
        <w:spacing w:after="160" w:before="320"/>
      </w:pPr>
      <w:r>
        <w:rPr>
          <w:rFonts w:ascii="Calibri" w:cs="Calibri" w:eastAsia="Calibri" w:hAnsi="Calibri"/>
          <w:b/>
          <w:bCs/>
          <w:color w:val="132B4F"/>
          <w:sz w:val="26"/>
          <w:szCs w:val="26"/>
        </w:rPr>
        <w:t xml:space="preserve">13.1 Primary Palette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Role</w:t>
            </w:r>
          </w:p>
        </w:tc>
        <w:tc>
          <w:tcPr>
            <w:tcW w:type="dxa" w:w="2337"/>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Name</w:t>
            </w:r>
          </w:p>
        </w:tc>
        <w:tc>
          <w:tcPr>
            <w:tcW w:type="dxa" w:w="2337"/>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Hex</w:t>
            </w:r>
          </w:p>
        </w:tc>
        <w:tc>
          <w:tcPr>
            <w:tcW w:type="dxa" w:w="2337"/>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Usage</w:t>
            </w:r>
          </w:p>
        </w:tc>
      </w:tr>
      <w:tr>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Primary</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TeamBees Navy</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#0B1F3A</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Header, footer, primary text on light backgrounds, dark section backgrounds</w:t>
            </w:r>
          </w:p>
        </w:tc>
      </w:tr>
      <w:tr>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Primary — deep</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Navy 900</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#071527</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Hover/pressed states, deepest backgrounds</w:t>
            </w:r>
          </w:p>
        </w:tc>
      </w:tr>
      <w:tr>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Primary — mid</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Navy 600</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#132B4F</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Secondary headings, borders on dark sections</w:t>
            </w:r>
          </w:p>
        </w:tc>
      </w:tr>
      <w:tr>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Accent</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Bee Gold</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#C6963A</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Primary CTA buttons, dividers, icon accents, key stats</w:t>
            </w:r>
          </w:p>
        </w:tc>
      </w:tr>
      <w:tr>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Accent — light</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Gold 200</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#E9D9AE</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Subtle backgrounds, hover highlight, chart fills</w:t>
            </w:r>
          </w:p>
        </w:tc>
      </w:tr>
      <w:tr>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Accent — deep</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Gold 700</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#9C7326</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CTA hover/pressed state</w:t>
            </w:r>
          </w:p>
        </w:tc>
      </w:tr>
    </w:tbl>
    <w:p>
      <w:pPr>
        <w:pStyle w:val="Heading2"/>
        <w:spacing w:after="160" w:before="320"/>
      </w:pPr>
      <w:r>
        <w:rPr>
          <w:rFonts w:ascii="Calibri" w:cs="Calibri" w:eastAsia="Calibri" w:hAnsi="Calibri"/>
          <w:b/>
          <w:bCs/>
          <w:color w:val="132B4F"/>
          <w:sz w:val="26"/>
          <w:szCs w:val="26"/>
        </w:rPr>
        <w:t xml:space="preserve">13.2 Neutral Palette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Name</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Hex</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Usage</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Ink</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#1B1B1B</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Body copy on white</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Gray 700</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#4A4A4A</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Secondary body copy, captions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Gray 400</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#9B9B9B</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Disabled states, placeholder text</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Gray 100</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#F4F4F2</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Section background alternation, card backgrounds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White</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#FFFFFF</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Primary background, text on navy</w:t>
            </w:r>
          </w:p>
        </w:tc>
      </w:tr>
    </w:tbl>
    <w:p>
      <w:pPr>
        <w:pStyle w:val="Heading2"/>
        <w:spacing w:after="160" w:before="320"/>
      </w:pPr>
      <w:r>
        <w:rPr>
          <w:rFonts w:ascii="Calibri" w:cs="Calibri" w:eastAsia="Calibri" w:hAnsi="Calibri"/>
          <w:b/>
          <w:bCs/>
          <w:color w:val="132B4F"/>
          <w:sz w:val="26"/>
          <w:szCs w:val="26"/>
        </w:rPr>
        <w:t xml:space="preserve">13.3 Semantic Colors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Purpose</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Hex</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Success / positive stat</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#2E7D5B</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Used sparingly for growth metrics, form success states</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Warning</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#B8862B</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Form validation warnings — distinct enough from Gold accent to avoid confusion</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Error</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#B3261E</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Form errors only</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Info / link (on white)</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#0B1F3A with underline on hover</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Standard inline links use Navy, not a separate blue, to keep the palette closed</w:t>
            </w:r>
          </w:p>
        </w:tc>
      </w:tr>
    </w:tbl>
    <w:p>
      <w:pPr>
        <w:pStyle w:val="Heading2"/>
        <w:spacing w:after="160" w:before="320"/>
      </w:pPr>
      <w:r>
        <w:rPr>
          <w:rFonts w:ascii="Calibri" w:cs="Calibri" w:eastAsia="Calibri" w:hAnsi="Calibri"/>
          <w:b/>
          <w:bCs/>
          <w:color w:val="132B4F"/>
          <w:sz w:val="26"/>
          <w:szCs w:val="26"/>
        </w:rPr>
        <w:t xml:space="preserve">13.4 Practice Accent Sub-Colors (optional, for wayfinding)</w:t>
      </w:r>
    </w:p>
    <w:p>
      <w:pPr>
        <w:spacing w:after="160" w:line="300"/>
      </w:pPr>
      <w:r>
        <w:rPr>
          <w:rFonts w:ascii="Calibri" w:cs="Calibri" w:eastAsia="Calibri" w:hAnsi="Calibri"/>
          <w:b w:val="false"/>
          <w:bCs w:val="false"/>
          <w:i w:val="false"/>
          <w:iCs w:val="false"/>
          <w:color w:val="3F3F3F"/>
          <w:sz w:val="21"/>
          <w:szCs w:val="21"/>
        </w:rPr>
        <w:t xml:space="preserve">To help visually differentiate the seven practices within mega-menus, cards, and tags without introducing a chaotic rainbow palette, each practice is assigned a muted tint of the core navy/gold system rather than an unrelated hue — preserving one coherent brand while aiding scanability.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Practice</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Tint (hex)</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Used for</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Talent Bees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#4A6FA1</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Tag chips, icon backgrounds</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Digital Bees</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#3F8FA5</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Tag chips, icon backgrounds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AI Bees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#6B4FA1</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Tag chips, icon backgrounds</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Marketing Bees</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#B8862B</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Tag chips, icon backgrounds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Quality Bees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#4A8F6B</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Tag chips, icon backgrounds</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ServiceNow Bees</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#2E6B4F</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Tag chips, icon backgrounds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Energy Bees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#8A5A2E</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Tag chips, icon backgrounds</w:t>
            </w:r>
          </w:p>
        </w:tc>
      </w:tr>
    </w:tbl>
    <w:p>
      <w:pPr>
        <w:pStyle w:val="Heading2"/>
        <w:spacing w:after="160" w:before="320"/>
      </w:pPr>
      <w:r>
        <w:rPr>
          <w:rFonts w:ascii="Calibri" w:cs="Calibri" w:eastAsia="Calibri" w:hAnsi="Calibri"/>
          <w:b/>
          <w:bCs/>
          <w:color w:val="132B4F"/>
          <w:sz w:val="26"/>
          <w:szCs w:val="26"/>
        </w:rPr>
        <w:t xml:space="preserve">13.5 Accessibility &amp; Contrast Rules</w:t>
      </w:r>
    </w:p>
    <w:p>
      <w:pPr>
        <w:pStyle w:val="ListParagraph"/>
        <w:numPr>
          <w:ilvl w:val="0"/>
          <w:numId w:val="2"/>
        </w:numPr>
        <w:spacing w:after="90"/>
      </w:pPr>
      <w:r>
        <w:rPr>
          <w:rFonts w:ascii="Calibri" w:cs="Calibri" w:eastAsia="Calibri" w:hAnsi="Calibri"/>
          <w:color w:val="3F3F3F"/>
          <w:sz w:val="21"/>
          <w:szCs w:val="21"/>
        </w:rPr>
        <w:t xml:space="preserve">Body text on white must be Ink (#1B1B1B) or Gray 700 (#4A4A4A) only — never Gray 400, which fails contrast at body-text sizes.</w:t>
      </w:r>
    </w:p>
    <w:p>
      <w:pPr>
        <w:pStyle w:val="ListParagraph"/>
        <w:numPr>
          <w:ilvl w:val="0"/>
          <w:numId w:val="2"/>
        </w:numPr>
        <w:spacing w:after="90"/>
      </w:pPr>
      <w:r>
        <w:rPr>
          <w:rFonts w:ascii="Calibri" w:cs="Calibri" w:eastAsia="Calibri" w:hAnsi="Calibri"/>
          <w:color w:val="3F3F3F"/>
          <w:sz w:val="21"/>
          <w:szCs w:val="21"/>
        </w:rPr>
        <w:t xml:space="preserve">Gold (#C6963A) is never used for body text on white; contrast ratio fails WCAG AA at that size. Gold is for large text (24px+/bold), icons, borders, and buttons with sufficient size and surrounding contrast.</w:t>
      </w:r>
    </w:p>
    <w:p>
      <w:pPr>
        <w:pStyle w:val="ListParagraph"/>
        <w:numPr>
          <w:ilvl w:val="0"/>
          <w:numId w:val="2"/>
        </w:numPr>
        <w:spacing w:after="90"/>
      </w:pPr>
      <w:r>
        <w:rPr>
          <w:rFonts w:ascii="Calibri" w:cs="Calibri" w:eastAsia="Calibri" w:hAnsi="Calibri"/>
          <w:color w:val="3F3F3F"/>
          <w:sz w:val="21"/>
          <w:szCs w:val="21"/>
        </w:rPr>
        <w:t xml:space="preserve">White text is only placed on Navy or Navy 900 backgrounds, verified at 4.5:1 minimum for body text and 3:1 for large text/UI components.</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14  </w:t>
      </w:r>
      <w:r>
        <w:rPr>
          <w:rFonts w:ascii="Calibri" w:cs="Calibri" w:eastAsia="Calibri" w:hAnsi="Calibri"/>
          <w:b/>
          <w:bCs/>
          <w:color w:val="0B1F3A"/>
          <w:sz w:val="32"/>
          <w:szCs w:val="32"/>
        </w:rPr>
        <w:t xml:space="preserve">14. Typography</w:t>
      </w:r>
    </w:p>
    <w:p>
      <w:pPr>
        <w:pStyle w:val="Heading2"/>
        <w:spacing w:after="160" w:before="320"/>
      </w:pPr>
      <w:r>
        <w:rPr>
          <w:rFonts w:ascii="Calibri" w:cs="Calibri" w:eastAsia="Calibri" w:hAnsi="Calibri"/>
          <w:b/>
          <w:bCs/>
          <w:color w:val="132B4F"/>
          <w:sz w:val="26"/>
          <w:szCs w:val="26"/>
        </w:rPr>
        <w:t xml:space="preserve">14.1 Typeface 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Role</w:t>
            </w:r>
          </w:p>
        </w:tc>
        <w:tc>
          <w:tcPr>
            <w:tcW w:type="dxa" w:w="2337"/>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Typeface</w:t>
            </w:r>
          </w:p>
        </w:tc>
        <w:tc>
          <w:tcPr>
            <w:tcW w:type="dxa" w:w="2337"/>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Fallback stack</w:t>
            </w:r>
          </w:p>
        </w:tc>
        <w:tc>
          <w:tcPr>
            <w:tcW w:type="dxa" w:w="2337"/>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Rationale</w:t>
            </w:r>
          </w:p>
        </w:tc>
      </w:tr>
      <w:tr>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Headings</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Söhne (or "General Sans" as an open-source-licensed substitute)</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"Helvetica Neue", Arial, sans-serif</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Confident, geometric, contemporary — matches the visual maturity of EPAM/Nagarro rather than a generic system font</w:t>
            </w:r>
          </w:p>
        </w:tc>
      </w:tr>
      <w:tr>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Body</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Inter</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system-ui, -apple-system, sans-serif</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Best-in-class legibility at small sizes, wide language support, free/open license reduces licensing complexity across regions</w:t>
            </w:r>
          </w:p>
        </w:tc>
      </w:tr>
      <w:tr>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Monospace (code/technical snippets)</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IBM Plex Mono</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"Courier New", monospace</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Used sparingly on AI/technology pages for code-sample or technical-spec callouts</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color="FFFFFF" w:sz="0"/>
              <w:left w:val="single" w:color="C6963A" w:sz="24"/>
              <w:bottom w:val="none" w:color="FFFFFF" w:sz="0"/>
              <w:right w:val="none" w:color="FFFFFF" w:sz="0"/>
            </w:tcBorders>
            <w:shd w:fill="FBF6EA" w:color="FBF6EA" w:val="clear"/>
            <w:tcMar>
              <w:top w:type="dxa" w:w="160"/>
              <w:left w:type="dxa" w:w="200"/>
              <w:bottom w:type="dxa" w:w="160"/>
              <w:right w:type="dxa" w:w="200"/>
            </w:tcMar>
          </w:tcPr>
          <w:p>
            <w:pPr>
              <w:spacing w:after="80"/>
            </w:pPr>
            <w:r>
              <w:rPr>
                <w:rFonts w:ascii="Calibri" w:cs="Calibri" w:eastAsia="Calibri" w:hAnsi="Calibri"/>
                <w:b/>
                <w:bCs/>
                <w:color w:val="0B1F3A"/>
                <w:sz w:val="21"/>
                <w:szCs w:val="21"/>
              </w:rPr>
              <w:t xml:space="preserve">Decision needed</w:t>
            </w:r>
          </w:p>
          <w:p>
            <w:r>
              <w:rPr>
                <w:rFonts w:ascii="Calibri" w:cs="Calibri" w:eastAsia="Calibri" w:hAnsi="Calibri"/>
                <w:color w:val="3F3F3F"/>
                <w:sz w:val="20"/>
                <w:szCs w:val="20"/>
              </w:rPr>
              <w:t xml:space="preserve">Confirm final licensed heading typeface (Söhne requires a commercial license). General Sans and Söhne share a similar geometric character and General Sans is free for commercial use — recommended as the default unless brand budget confirms Söhne licensing.</w:t>
            </w:r>
          </w:p>
        </w:tc>
      </w:tr>
    </w:tbl>
    <w:p>
      <w:pPr>
        <w:pStyle w:val="Heading2"/>
        <w:spacing w:after="160" w:before="320"/>
      </w:pPr>
      <w:r>
        <w:rPr>
          <w:rFonts w:ascii="Calibri" w:cs="Calibri" w:eastAsia="Calibri" w:hAnsi="Calibri"/>
          <w:b/>
          <w:bCs/>
          <w:color w:val="132B4F"/>
          <w:sz w:val="26"/>
          <w:szCs w:val="26"/>
        </w:rPr>
        <w:t xml:space="preserve">14.2 Type Scale (desktop / mobile)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Style</w:t>
            </w:r>
          </w:p>
        </w:tc>
        <w:tc>
          <w:tcPr>
            <w:tcW w:type="dxa" w:w="1870"/>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Desktop size / line-height</w:t>
            </w:r>
          </w:p>
        </w:tc>
        <w:tc>
          <w:tcPr>
            <w:tcW w:type="dxa" w:w="1870"/>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Mobile size / line-height</w:t>
            </w:r>
          </w:p>
        </w:tc>
        <w:tc>
          <w:tcPr>
            <w:tcW w:type="dxa" w:w="1870"/>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Weight</w:t>
            </w:r>
          </w:p>
        </w:tc>
        <w:tc>
          <w:tcPr>
            <w:tcW w:type="dxa" w:w="1870"/>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Usage</w:t>
            </w:r>
          </w:p>
        </w:tc>
      </w:tr>
      <w:tr>
        <w:tc>
          <w:tcPr>
            <w:tcW w:type="dxa" w:w="1870"/>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Display</w:t>
            </w:r>
          </w:p>
        </w:tc>
        <w:tc>
          <w:tcPr>
            <w:tcW w:type="dxa" w:w="1870"/>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56px / 64px</w:t>
            </w:r>
          </w:p>
        </w:tc>
        <w:tc>
          <w:tcPr>
            <w:tcW w:type="dxa" w:w="1870"/>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36px / 44px</w:t>
            </w:r>
          </w:p>
        </w:tc>
        <w:tc>
          <w:tcPr>
            <w:tcW w:type="dxa" w:w="1870"/>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700</w:t>
            </w:r>
          </w:p>
        </w:tc>
        <w:tc>
          <w:tcPr>
            <w:tcW w:type="dxa" w:w="1870"/>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Homepage hero H1 only</w:t>
            </w:r>
          </w:p>
        </w:tc>
      </w:tr>
      <w:tr>
        <w:tc>
          <w:tcPr>
            <w:tcW w:type="dxa" w:w="1870"/>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H1</w:t>
            </w:r>
          </w:p>
        </w:tc>
        <w:tc>
          <w:tcPr>
            <w:tcW w:type="dxa" w:w="1870"/>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40px / 48px</w:t>
            </w:r>
          </w:p>
        </w:tc>
        <w:tc>
          <w:tcPr>
            <w:tcW w:type="dxa" w:w="1870"/>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30px / 38px</w:t>
            </w:r>
          </w:p>
        </w:tc>
        <w:tc>
          <w:tcPr>
            <w:tcW w:type="dxa" w:w="1870"/>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700</w:t>
            </w:r>
          </w:p>
        </w:tc>
        <w:tc>
          <w:tcPr>
            <w:tcW w:type="dxa" w:w="1870"/>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Page titles</w:t>
            </w:r>
          </w:p>
        </w:tc>
      </w:tr>
      <w:tr>
        <w:tc>
          <w:tcPr>
            <w:tcW w:type="dxa" w:w="1870"/>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H2</w:t>
            </w:r>
          </w:p>
        </w:tc>
        <w:tc>
          <w:tcPr>
            <w:tcW w:type="dxa" w:w="1870"/>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28px / 36px</w:t>
            </w:r>
          </w:p>
        </w:tc>
        <w:tc>
          <w:tcPr>
            <w:tcW w:type="dxa" w:w="1870"/>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24px / 32px</w:t>
            </w:r>
          </w:p>
        </w:tc>
        <w:tc>
          <w:tcPr>
            <w:tcW w:type="dxa" w:w="1870"/>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700</w:t>
            </w:r>
          </w:p>
        </w:tc>
        <w:tc>
          <w:tcPr>
            <w:tcW w:type="dxa" w:w="1870"/>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Section headings</w:t>
            </w:r>
          </w:p>
        </w:tc>
      </w:tr>
      <w:tr>
        <w:tc>
          <w:tcPr>
            <w:tcW w:type="dxa" w:w="1870"/>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H3</w:t>
            </w:r>
          </w:p>
        </w:tc>
        <w:tc>
          <w:tcPr>
            <w:tcW w:type="dxa" w:w="1870"/>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22px / 30px</w:t>
            </w:r>
          </w:p>
        </w:tc>
        <w:tc>
          <w:tcPr>
            <w:tcW w:type="dxa" w:w="1870"/>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20px / 28px</w:t>
            </w:r>
          </w:p>
        </w:tc>
        <w:tc>
          <w:tcPr>
            <w:tcW w:type="dxa" w:w="1870"/>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600</w:t>
            </w:r>
          </w:p>
        </w:tc>
        <w:tc>
          <w:tcPr>
            <w:tcW w:type="dxa" w:w="1870"/>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Subsection headings, card titles</w:t>
            </w:r>
          </w:p>
        </w:tc>
      </w:tr>
      <w:tr>
        <w:tc>
          <w:tcPr>
            <w:tcW w:type="dxa" w:w="1870"/>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Body Large</w:t>
            </w:r>
          </w:p>
        </w:tc>
        <w:tc>
          <w:tcPr>
            <w:tcW w:type="dxa" w:w="1870"/>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18px / 28px</w:t>
            </w:r>
          </w:p>
        </w:tc>
        <w:tc>
          <w:tcPr>
            <w:tcW w:type="dxa" w:w="1870"/>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17px / 26px</w:t>
            </w:r>
          </w:p>
        </w:tc>
        <w:tc>
          <w:tcPr>
            <w:tcW w:type="dxa" w:w="1870"/>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400</w:t>
            </w:r>
          </w:p>
        </w:tc>
        <w:tc>
          <w:tcPr>
            <w:tcW w:type="dxa" w:w="1870"/>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Hero subtext, intro paragraphs</w:t>
            </w:r>
          </w:p>
        </w:tc>
      </w:tr>
      <w:tr>
        <w:tc>
          <w:tcPr>
            <w:tcW w:type="dxa" w:w="1870"/>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Body</w:t>
            </w:r>
          </w:p>
        </w:tc>
        <w:tc>
          <w:tcPr>
            <w:tcW w:type="dxa" w:w="1870"/>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16px / 26px</w:t>
            </w:r>
          </w:p>
        </w:tc>
        <w:tc>
          <w:tcPr>
            <w:tcW w:type="dxa" w:w="1870"/>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16px / 24px</w:t>
            </w:r>
          </w:p>
        </w:tc>
        <w:tc>
          <w:tcPr>
            <w:tcW w:type="dxa" w:w="1870"/>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400</w:t>
            </w:r>
          </w:p>
        </w:tc>
        <w:tc>
          <w:tcPr>
            <w:tcW w:type="dxa" w:w="1870"/>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Standard body copy</w:t>
            </w:r>
          </w:p>
        </w:tc>
      </w:tr>
      <w:tr>
        <w:tc>
          <w:tcPr>
            <w:tcW w:type="dxa" w:w="1870"/>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Small / Caption</w:t>
            </w:r>
          </w:p>
        </w:tc>
        <w:tc>
          <w:tcPr>
            <w:tcW w:type="dxa" w:w="1870"/>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14px / 20px</w:t>
            </w:r>
          </w:p>
        </w:tc>
        <w:tc>
          <w:tcPr>
            <w:tcW w:type="dxa" w:w="1870"/>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13px / 18px</w:t>
            </w:r>
          </w:p>
        </w:tc>
        <w:tc>
          <w:tcPr>
            <w:tcW w:type="dxa" w:w="1870"/>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400/500</w:t>
            </w:r>
          </w:p>
        </w:tc>
        <w:tc>
          <w:tcPr>
            <w:tcW w:type="dxa" w:w="1870"/>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Captions, meta text, form labels</w:t>
            </w:r>
          </w:p>
        </w:tc>
      </w:tr>
      <w:tr>
        <w:tc>
          <w:tcPr>
            <w:tcW w:type="dxa" w:w="1870"/>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Button/Label</w:t>
            </w:r>
          </w:p>
        </w:tc>
        <w:tc>
          <w:tcPr>
            <w:tcW w:type="dxa" w:w="1870"/>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16px / 20px</w:t>
            </w:r>
          </w:p>
        </w:tc>
        <w:tc>
          <w:tcPr>
            <w:tcW w:type="dxa" w:w="1870"/>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15px / 20px</w:t>
            </w:r>
          </w:p>
        </w:tc>
        <w:tc>
          <w:tcPr>
            <w:tcW w:type="dxa" w:w="1870"/>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600</w:t>
            </w:r>
          </w:p>
        </w:tc>
        <w:tc>
          <w:tcPr>
            <w:tcW w:type="dxa" w:w="1870"/>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All CTAs and UI labels</w:t>
            </w:r>
          </w:p>
        </w:tc>
      </w:tr>
    </w:tbl>
    <w:p>
      <w:pPr>
        <w:pStyle w:val="Heading2"/>
        <w:spacing w:after="160" w:before="320"/>
      </w:pPr>
      <w:r>
        <w:rPr>
          <w:rFonts w:ascii="Calibri" w:cs="Calibri" w:eastAsia="Calibri" w:hAnsi="Calibri"/>
          <w:b/>
          <w:bCs/>
          <w:color w:val="132B4F"/>
          <w:sz w:val="26"/>
          <w:szCs w:val="26"/>
        </w:rPr>
        <w:t xml:space="preserve">14.3 Typographic Rules</w:t>
      </w:r>
    </w:p>
    <w:p>
      <w:pPr>
        <w:pStyle w:val="ListParagraph"/>
        <w:numPr>
          <w:ilvl w:val="0"/>
          <w:numId w:val="2"/>
        </w:numPr>
        <w:spacing w:after="90"/>
      </w:pPr>
      <w:r>
        <w:rPr>
          <w:rFonts w:ascii="Calibri" w:cs="Calibri" w:eastAsia="Calibri" w:hAnsi="Calibri"/>
          <w:color w:val="3F3F3F"/>
          <w:sz w:val="21"/>
          <w:szCs w:val="21"/>
        </w:rPr>
        <w:t xml:space="preserve">Line length capped at ~72 characters for body copy to preserve readability on wide desktop layouts.</w:t>
      </w:r>
    </w:p>
    <w:p>
      <w:pPr>
        <w:pStyle w:val="ListParagraph"/>
        <w:numPr>
          <w:ilvl w:val="0"/>
          <w:numId w:val="2"/>
        </w:numPr>
        <w:spacing w:after="90"/>
      </w:pPr>
      <w:r>
        <w:rPr>
          <w:rFonts w:ascii="Calibri" w:cs="Calibri" w:eastAsia="Calibri" w:hAnsi="Calibri"/>
          <w:color w:val="3F3F3F"/>
          <w:sz w:val="21"/>
          <w:szCs w:val="21"/>
        </w:rPr>
        <w:t xml:space="preserve">Sentence case for all headings and buttons (not Title Case, not ALL CAPS) except short UI labels/eyebrow text, which may use uppercase with letter-spacing for a premium, editorial feel.</w:t>
      </w:r>
    </w:p>
    <w:p>
      <w:pPr>
        <w:pStyle w:val="ListParagraph"/>
        <w:numPr>
          <w:ilvl w:val="0"/>
          <w:numId w:val="2"/>
        </w:numPr>
        <w:spacing w:after="90"/>
      </w:pPr>
      <w:r>
        <w:rPr>
          <w:rFonts w:ascii="Calibri" w:cs="Calibri" w:eastAsia="Calibri" w:hAnsi="Calibri"/>
          <w:color w:val="3F3F3F"/>
          <w:sz w:val="21"/>
          <w:szCs w:val="21"/>
        </w:rPr>
        <w:t xml:space="preserve">Numerals in stats use tabular figures for alignment in proof-bar and dashboard-style components.</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15  </w:t>
      </w:r>
      <w:r>
        <w:rPr>
          <w:rFonts w:ascii="Calibri" w:cs="Calibri" w:eastAsia="Calibri" w:hAnsi="Calibri"/>
          <w:b/>
          <w:bCs/>
          <w:color w:val="0B1F3A"/>
          <w:sz w:val="32"/>
          <w:szCs w:val="32"/>
        </w:rPr>
        <w:t xml:space="preserve">15. Iconography</w:t>
      </w:r>
    </w:p>
    <w:p>
      <w:pPr>
        <w:pStyle w:val="Heading2"/>
        <w:spacing w:after="160" w:before="320"/>
      </w:pPr>
      <w:r>
        <w:rPr>
          <w:rFonts w:ascii="Calibri" w:cs="Calibri" w:eastAsia="Calibri" w:hAnsi="Calibri"/>
          <w:b/>
          <w:bCs/>
          <w:color w:val="132B4F"/>
          <w:sz w:val="26"/>
          <w:szCs w:val="26"/>
        </w:rPr>
        <w:t xml:space="preserve">15.1 Icon Style</w:t>
      </w:r>
    </w:p>
    <w:p>
      <w:pPr>
        <w:spacing w:after="160" w:line="300"/>
      </w:pPr>
      <w:r>
        <w:rPr>
          <w:rFonts w:ascii="Calibri" w:cs="Calibri" w:eastAsia="Calibri" w:hAnsi="Calibri"/>
          <w:b w:val="false"/>
          <w:bCs w:val="false"/>
          <w:i w:val="false"/>
          <w:iCs w:val="false"/>
          <w:color w:val="3F3F3F"/>
          <w:sz w:val="21"/>
          <w:szCs w:val="21"/>
        </w:rPr>
        <w:t xml:space="preserve">A single consistent line-icon set (1.5px stroke weight, rounded joins, 24px base grid) used across the entire site — no mixing of filled and outline styles, no stock icon packs blended in ad hoc. Recommend Phosphor Icons or Lucide as a base open-source set, customized with rounded corners consistent with the type system's geometric character, extended with a small custom set for the seven practices and platform logos (ServiceNow, Endur, Allegro, RightAngle, TriplePoint) drawn in the same stroke weight.</w:t>
      </w:r>
    </w:p>
    <w:p>
      <w:pPr>
        <w:pStyle w:val="Heading2"/>
        <w:spacing w:after="160" w:before="320"/>
      </w:pPr>
      <w:r>
        <w:rPr>
          <w:rFonts w:ascii="Calibri" w:cs="Calibri" w:eastAsia="Calibri" w:hAnsi="Calibri"/>
          <w:b/>
          <w:bCs/>
          <w:color w:val="132B4F"/>
          <w:sz w:val="26"/>
          <w:szCs w:val="26"/>
        </w:rPr>
        <w:t xml:space="preserve">15.2 Icon Usage 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Context</w:t>
            </w:r>
          </w:p>
        </w:tc>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Treatment</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Practice icons (nav, cards)</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24px line icon inside a 48px circular tint background using that practice's accent tint (Section 13.4)</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Proof-bar stat icons</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32px gold line icon above each stat number</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Feature/benefit lists</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20px navy line icon, left-aligned with text baseline-centered</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Form/UI icons (chevrons, close, search)</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20px, Gray 700, no accent color — utility icons stay neutral so they don't compete with brand accents</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Social/platform logos</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Full-color official logos only where required for partner/technology credibility (e.g., ServiceNow logo on the ServiceNow Bees page) — brand logos are never recolored to navy/gold</w:t>
            </w:r>
          </w:p>
        </w:tc>
      </w:tr>
    </w:tbl>
    <w:p>
      <w:pPr>
        <w:pStyle w:val="Heading2"/>
        <w:spacing w:after="160" w:before="320"/>
      </w:pPr>
      <w:r>
        <w:rPr>
          <w:rFonts w:ascii="Calibri" w:cs="Calibri" w:eastAsia="Calibri" w:hAnsi="Calibri"/>
          <w:b/>
          <w:bCs/>
          <w:color w:val="132B4F"/>
          <w:sz w:val="26"/>
          <w:szCs w:val="26"/>
        </w:rPr>
        <w:t xml:space="preserve">15.3 Illustration &amp; Photography Style</w:t>
      </w:r>
    </w:p>
    <w:p>
      <w:pPr>
        <w:pStyle w:val="ListParagraph"/>
        <w:numPr>
          <w:ilvl w:val="0"/>
          <w:numId w:val="2"/>
        </w:numPr>
        <w:spacing w:after="90"/>
      </w:pPr>
      <w:r>
        <w:rPr>
          <w:rFonts w:ascii="Calibri" w:cs="Calibri" w:eastAsia="Calibri" w:hAnsi="Calibri"/>
          <w:color w:val="3F3F3F"/>
          <w:sz w:val="21"/>
          <w:szCs w:val="21"/>
        </w:rPr>
        <w:t xml:space="preserve">Photography: authentic, on-location or well-cast lifestyle photography of real (or realistic, diverse) professionals in modern office/hybrid settings — avoid generic, dated corporate stock (handshakes-in-suits clichés). Consistent color grading toward a cool, navy-leaning tone to unify with the palette.</w:t>
      </w:r>
    </w:p>
    <w:p>
      <w:pPr>
        <w:pStyle w:val="ListParagraph"/>
        <w:numPr>
          <w:ilvl w:val="0"/>
          <w:numId w:val="2"/>
        </w:numPr>
        <w:spacing w:after="90"/>
      </w:pPr>
      <w:r>
        <w:rPr>
          <w:rFonts w:ascii="Calibri" w:cs="Calibri" w:eastAsia="Calibri" w:hAnsi="Calibri"/>
          <w:color w:val="3F3F3F"/>
          <w:sz w:val="21"/>
          <w:szCs w:val="21"/>
        </w:rPr>
        <w:t xml:space="preserve">Abstract/data visuals: subtle geometric line patterns echoing a hexagon/honeycomb motif (a natural, tasteful nod to "Bees" without becoming a literal bee mascot, which would undercut enterprise credibility) used as background texture on dark sections.</w:t>
      </w:r>
    </w:p>
    <w:p>
      <w:pPr>
        <w:pStyle w:val="ListParagraph"/>
        <w:numPr>
          <w:ilvl w:val="0"/>
          <w:numId w:val="2"/>
        </w:numPr>
        <w:spacing w:after="90"/>
      </w:pPr>
      <w:r>
        <w:rPr>
          <w:rFonts w:ascii="Calibri" w:cs="Calibri" w:eastAsia="Calibri" w:hAnsi="Calibri"/>
          <w:color w:val="3F3F3F"/>
          <w:sz w:val="21"/>
          <w:szCs w:val="21"/>
        </w:rPr>
        <w:t xml:space="preserve">No literal bee/insect illustrations or mascots anywhere in the primary UI — the naming convention ("Talent Bees," etc.) is playful in language only; the visual system stays fully enterprise-serious.</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16  </w:t>
      </w:r>
      <w:r>
        <w:rPr>
          <w:rFonts w:ascii="Calibri" w:cs="Calibri" w:eastAsia="Calibri" w:hAnsi="Calibri"/>
          <w:b/>
          <w:bCs/>
          <w:color w:val="0B1F3A"/>
          <w:sz w:val="32"/>
          <w:szCs w:val="32"/>
        </w:rPr>
        <w:t xml:space="preserve">16. Animation &amp; Interaction Guidelines</w:t>
      </w:r>
    </w:p>
    <w:p>
      <w:pPr>
        <w:pStyle w:val="Heading2"/>
        <w:spacing w:after="160" w:before="320"/>
      </w:pPr>
      <w:r>
        <w:rPr>
          <w:rFonts w:ascii="Calibri" w:cs="Calibri" w:eastAsia="Calibri" w:hAnsi="Calibri"/>
          <w:b/>
          <w:bCs/>
          <w:color w:val="132B4F"/>
          <w:sz w:val="26"/>
          <w:szCs w:val="26"/>
        </w:rPr>
        <w:t xml:space="preserve">16.1 Motion Principles</w:t>
      </w:r>
    </w:p>
    <w:p>
      <w:pPr>
        <w:pStyle w:val="ListParagraph"/>
        <w:numPr>
          <w:ilvl w:val="0"/>
          <w:numId w:val="2"/>
        </w:numPr>
        <w:spacing w:after="90"/>
      </w:pPr>
      <w:r>
        <w:rPr>
          <w:rFonts w:ascii="Calibri" w:cs="Calibri" w:eastAsia="Calibri" w:hAnsi="Calibri"/>
          <w:color w:val="3F3F3F"/>
          <w:sz w:val="21"/>
          <w:szCs w:val="21"/>
        </w:rPr>
        <w:t xml:space="preserve">Purposeful, not decorative: motion should clarify state changes (hover, load, transition) and never exist purely for visual flair that risks harming performance or accessibility.</w:t>
      </w:r>
    </w:p>
    <w:p>
      <w:pPr>
        <w:pStyle w:val="ListParagraph"/>
        <w:numPr>
          <w:ilvl w:val="0"/>
          <w:numId w:val="2"/>
        </w:numPr>
        <w:spacing w:after="90"/>
      </w:pPr>
      <w:r>
        <w:rPr>
          <w:rFonts w:ascii="Calibri" w:cs="Calibri" w:eastAsia="Calibri" w:hAnsi="Calibri"/>
          <w:color w:val="3F3F3F"/>
          <w:sz w:val="21"/>
          <w:szCs w:val="21"/>
        </w:rPr>
        <w:t xml:space="preserve">Fast and subtle: default durations 150–250ms for micro-interactions (hover, focus), 300–400ms for larger transitions (menu open, modal). Nothing enterprise-grade should feel slow or bouncy.</w:t>
      </w:r>
    </w:p>
    <w:p>
      <w:pPr>
        <w:pStyle w:val="ListParagraph"/>
        <w:numPr>
          <w:ilvl w:val="0"/>
          <w:numId w:val="2"/>
        </w:numPr>
        <w:spacing w:after="90"/>
      </w:pPr>
      <w:r>
        <w:rPr>
          <w:rFonts w:ascii="Calibri" w:cs="Calibri" w:eastAsia="Calibri" w:hAnsi="Calibri"/>
          <w:color w:val="3F3F3F"/>
          <w:sz w:val="21"/>
          <w:szCs w:val="21"/>
        </w:rPr>
        <w:t xml:space="preserve">Respect reduced motion: all animation is wrapped to honor prefers-reduced-motion, degrading gracefully to instant state changes.</w:t>
      </w:r>
    </w:p>
    <w:p>
      <w:pPr>
        <w:pStyle w:val="Heading2"/>
        <w:spacing w:after="160" w:before="320"/>
      </w:pPr>
      <w:r>
        <w:rPr>
          <w:rFonts w:ascii="Calibri" w:cs="Calibri" w:eastAsia="Calibri" w:hAnsi="Calibri"/>
          <w:b/>
          <w:bCs/>
          <w:color w:val="132B4F"/>
          <w:sz w:val="26"/>
          <w:szCs w:val="26"/>
        </w:rPr>
        <w:t xml:space="preserve">16.2 Interaction Patterns Library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Element</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Interaction</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Motion spec</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Primary button</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Hover: background shifts Gold → Gold 700; slight (2px) upward translate</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150ms ease-out</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Card (case study, practice)</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Hover: subtle elevation (shadow increases), 1.02x scale on image only</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200ms ease-out</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Mega-menu</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Fade + 8px slide-down on open; 200ms hover-intent delay before triggering</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250ms ease-in-out</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Stat counters (proof bar)</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Numbers count up from 0 on scroll-into-view, once only</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800ms ease-out, triggered once per session</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Sticky header</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Background opacity/shadow increases on scroll past 80px</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150ms linear</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Page transitions</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Simple cross-fade between routes (Next.js), no heavy page-wipe effects</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200ms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Form field focus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Border color shift to Gold, label micro-animates upward (floating label)</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150ms ease-out</w:t>
            </w:r>
          </w:p>
        </w:tc>
      </w:tr>
    </w:tbl>
    <w:p>
      <w:pPr>
        <w:pStyle w:val="Heading2"/>
        <w:spacing w:after="160" w:before="320"/>
      </w:pPr>
      <w:r>
        <w:rPr>
          <w:rFonts w:ascii="Calibri" w:cs="Calibri" w:eastAsia="Calibri" w:hAnsi="Calibri"/>
          <w:b/>
          <w:bCs/>
          <w:color w:val="132B4F"/>
          <w:sz w:val="26"/>
          <w:szCs w:val="26"/>
        </w:rPr>
        <w:t xml:space="preserve">16.3 What to Avoid</w:t>
      </w:r>
    </w:p>
    <w:p>
      <w:pPr>
        <w:pStyle w:val="ListParagraph"/>
        <w:numPr>
          <w:ilvl w:val="0"/>
          <w:numId w:val="2"/>
        </w:numPr>
        <w:spacing w:after="90"/>
      </w:pPr>
      <w:r>
        <w:rPr>
          <w:rFonts w:ascii="Calibri" w:cs="Calibri" w:eastAsia="Calibri" w:hAnsi="Calibri"/>
          <w:color w:val="3F3F3F"/>
          <w:sz w:val="21"/>
          <w:szCs w:val="21"/>
        </w:rPr>
        <w:t xml:space="preserve">Parallax-heavy scroll effects that hurt performance on mid-tier mobile devices common in some target markets.</w:t>
      </w:r>
    </w:p>
    <w:p>
      <w:pPr>
        <w:pStyle w:val="ListParagraph"/>
        <w:numPr>
          <w:ilvl w:val="0"/>
          <w:numId w:val="2"/>
        </w:numPr>
        <w:spacing w:after="90"/>
      </w:pPr>
      <w:r>
        <w:rPr>
          <w:rFonts w:ascii="Calibri" w:cs="Calibri" w:eastAsia="Calibri" w:hAnsi="Calibri"/>
          <w:color w:val="3F3F3F"/>
          <w:sz w:val="21"/>
          <w:szCs w:val="21"/>
        </w:rPr>
        <w:t xml:space="preserve">Auto-playing background video without a static-image fallback and an accessible pause control.</w:t>
      </w:r>
    </w:p>
    <w:p>
      <w:pPr>
        <w:pStyle w:val="ListParagraph"/>
        <w:numPr>
          <w:ilvl w:val="0"/>
          <w:numId w:val="2"/>
        </w:numPr>
        <w:spacing w:after="90"/>
      </w:pPr>
      <w:r>
        <w:rPr>
          <w:rFonts w:ascii="Calibri" w:cs="Calibri" w:eastAsia="Calibri" w:hAnsi="Calibri"/>
          <w:color w:val="3F3F3F"/>
          <w:sz w:val="21"/>
          <w:szCs w:val="21"/>
        </w:rPr>
        <w:t xml:space="preserve">Excessive scroll-triggered reveal animation on every single element — reserve reveal-on-scroll for hero and key proof sections only, or the page feels sluggish to scan.</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17  </w:t>
      </w:r>
      <w:r>
        <w:rPr>
          <w:rFonts w:ascii="Calibri" w:cs="Calibri" w:eastAsia="Calibri" w:hAnsi="Calibri"/>
          <w:b/>
          <w:bCs/>
          <w:color w:val="0B1F3A"/>
          <w:sz w:val="32"/>
          <w:szCs w:val="32"/>
        </w:rPr>
        <w:t xml:space="preserve">17. Component Library</w:t>
      </w:r>
    </w:p>
    <w:p>
      <w:pPr>
        <w:spacing w:after="160" w:line="300"/>
      </w:pPr>
      <w:r>
        <w:rPr>
          <w:rFonts w:ascii="Calibri" w:cs="Calibri" w:eastAsia="Calibri" w:hAnsi="Calibri"/>
          <w:b w:val="false"/>
          <w:bCs w:val="false"/>
          <w:i w:val="false"/>
          <w:iCs w:val="false"/>
          <w:color w:val="3F3F3F"/>
          <w:sz w:val="21"/>
          <w:szCs w:val="21"/>
        </w:rPr>
        <w:t xml:space="preserve">A shared component library of roughly 40 components is what allows Part III's wireframes to be assembled quickly and consistently. Components are grouped below by function; each should be built once in Figma and once in code (Section 38) with matching names so design and engineering stay in lockstep.</w:t>
      </w:r>
    </w:p>
    <w:p>
      <w:pPr>
        <w:pStyle w:val="Heading2"/>
        <w:spacing w:after="160" w:before="320"/>
      </w:pPr>
      <w:r>
        <w:rPr>
          <w:rFonts w:ascii="Calibri" w:cs="Calibri" w:eastAsia="Calibri" w:hAnsi="Calibri"/>
          <w:b/>
          <w:bCs/>
          <w:color w:val="132B4F"/>
          <w:sz w:val="26"/>
          <w:szCs w:val="26"/>
        </w:rPr>
        <w:t xml:space="preserve">17.1 Navigation Components</w:t>
      </w:r>
    </w:p>
    <w:p>
      <w:pPr>
        <w:pStyle w:val="ListParagraph"/>
        <w:numPr>
          <w:ilvl w:val="0"/>
          <w:numId w:val="2"/>
        </w:numPr>
        <w:spacing w:after="90"/>
      </w:pPr>
      <w:r>
        <w:rPr>
          <w:rFonts w:ascii="Calibri" w:cs="Calibri" w:eastAsia="Calibri" w:hAnsi="Calibri"/>
          <w:color w:val="3F3F3F"/>
          <w:sz w:val="21"/>
          <w:szCs w:val="21"/>
        </w:rPr>
        <w:t xml:space="preserve">Header (sticky, with scroll state)</w:t>
      </w:r>
    </w:p>
    <w:p>
      <w:pPr>
        <w:pStyle w:val="ListParagraph"/>
        <w:numPr>
          <w:ilvl w:val="0"/>
          <w:numId w:val="2"/>
        </w:numPr>
        <w:spacing w:after="90"/>
      </w:pPr>
      <w:r>
        <w:rPr>
          <w:rFonts w:ascii="Calibri" w:cs="Calibri" w:eastAsia="Calibri" w:hAnsi="Calibri"/>
          <w:color w:val="3F3F3F"/>
          <w:sz w:val="21"/>
          <w:szCs w:val="21"/>
        </w:rPr>
        <w:t xml:space="preserve">Mega-menu panel</w:t>
      </w:r>
    </w:p>
    <w:p>
      <w:pPr>
        <w:pStyle w:val="ListParagraph"/>
        <w:numPr>
          <w:ilvl w:val="0"/>
          <w:numId w:val="2"/>
        </w:numPr>
        <w:spacing w:after="90"/>
      </w:pPr>
      <w:r>
        <w:rPr>
          <w:rFonts w:ascii="Calibri" w:cs="Calibri" w:eastAsia="Calibri" w:hAnsi="Calibri"/>
          <w:color w:val="3F3F3F"/>
          <w:sz w:val="21"/>
          <w:szCs w:val="21"/>
        </w:rPr>
        <w:t xml:space="preserve">Mobile nav overlay (accordion)</w:t>
      </w:r>
    </w:p>
    <w:p>
      <w:pPr>
        <w:pStyle w:val="ListParagraph"/>
        <w:numPr>
          <w:ilvl w:val="0"/>
          <w:numId w:val="2"/>
        </w:numPr>
        <w:spacing w:after="90"/>
      </w:pPr>
      <w:r>
        <w:rPr>
          <w:rFonts w:ascii="Calibri" w:cs="Calibri" w:eastAsia="Calibri" w:hAnsi="Calibri"/>
          <w:color w:val="3F3F3F"/>
          <w:sz w:val="21"/>
          <w:szCs w:val="21"/>
        </w:rPr>
        <w:t xml:space="preserve">Breadcrumb trail</w:t>
      </w:r>
    </w:p>
    <w:p>
      <w:pPr>
        <w:pStyle w:val="ListParagraph"/>
        <w:numPr>
          <w:ilvl w:val="0"/>
          <w:numId w:val="2"/>
        </w:numPr>
        <w:spacing w:after="90"/>
      </w:pPr>
      <w:r>
        <w:rPr>
          <w:rFonts w:ascii="Calibri" w:cs="Calibri" w:eastAsia="Calibri" w:hAnsi="Calibri"/>
          <w:color w:val="3F3F3F"/>
          <w:sz w:val="21"/>
          <w:szCs w:val="21"/>
        </w:rPr>
        <w:t xml:space="preserve">Sticky sub-nav rail (practice hub pages)</w:t>
      </w:r>
    </w:p>
    <w:p>
      <w:pPr>
        <w:pStyle w:val="ListParagraph"/>
        <w:numPr>
          <w:ilvl w:val="0"/>
          <w:numId w:val="2"/>
        </w:numPr>
        <w:spacing w:after="90"/>
      </w:pPr>
      <w:r>
        <w:rPr>
          <w:rFonts w:ascii="Calibri" w:cs="Calibri" w:eastAsia="Calibri" w:hAnsi="Calibri"/>
          <w:color w:val="3F3F3F"/>
          <w:sz w:val="21"/>
          <w:szCs w:val="21"/>
        </w:rPr>
        <w:t xml:space="preserve">"On this page" TOC rail (long-form content)</w:t>
      </w:r>
    </w:p>
    <w:p>
      <w:pPr>
        <w:pStyle w:val="ListParagraph"/>
        <w:numPr>
          <w:ilvl w:val="0"/>
          <w:numId w:val="2"/>
        </w:numPr>
        <w:spacing w:after="90"/>
      </w:pPr>
      <w:r>
        <w:rPr>
          <w:rFonts w:ascii="Calibri" w:cs="Calibri" w:eastAsia="Calibri" w:hAnsi="Calibri"/>
          <w:color w:val="3F3F3F"/>
          <w:sz w:val="21"/>
          <w:szCs w:val="21"/>
        </w:rPr>
        <w:t xml:space="preserve">Region selector dropdown</w:t>
      </w:r>
    </w:p>
    <w:p>
      <w:pPr>
        <w:pStyle w:val="ListParagraph"/>
        <w:numPr>
          <w:ilvl w:val="0"/>
          <w:numId w:val="2"/>
        </w:numPr>
        <w:spacing w:after="90"/>
      </w:pPr>
      <w:r>
        <w:rPr>
          <w:rFonts w:ascii="Calibri" w:cs="Calibri" w:eastAsia="Calibri" w:hAnsi="Calibri"/>
          <w:color w:val="3F3F3F"/>
          <w:sz w:val="21"/>
          <w:szCs w:val="21"/>
        </w:rPr>
        <w:t xml:space="preserve">Candidate-mode toggle</w:t>
      </w:r>
    </w:p>
    <w:p>
      <w:pPr>
        <w:pStyle w:val="Heading2"/>
        <w:spacing w:after="160" w:before="320"/>
      </w:pPr>
      <w:r>
        <w:rPr>
          <w:rFonts w:ascii="Calibri" w:cs="Calibri" w:eastAsia="Calibri" w:hAnsi="Calibri"/>
          <w:b/>
          <w:bCs/>
          <w:color w:val="132B4F"/>
          <w:sz w:val="26"/>
          <w:szCs w:val="26"/>
        </w:rPr>
        <w:t xml:space="preserve">17.2 Hero &amp; Section Components</w:t>
      </w:r>
    </w:p>
    <w:p>
      <w:pPr>
        <w:pStyle w:val="ListParagraph"/>
        <w:numPr>
          <w:ilvl w:val="0"/>
          <w:numId w:val="2"/>
        </w:numPr>
        <w:spacing w:after="90"/>
      </w:pPr>
      <w:r>
        <w:rPr>
          <w:rFonts w:ascii="Calibri" w:cs="Calibri" w:eastAsia="Calibri" w:hAnsi="Calibri"/>
          <w:color w:val="3F3F3F"/>
          <w:sz w:val="21"/>
          <w:szCs w:val="21"/>
        </w:rPr>
        <w:t xml:space="preserve">Homepage hero (headline + subtext + dual CTA + visual)</w:t>
      </w:r>
    </w:p>
    <w:p>
      <w:pPr>
        <w:pStyle w:val="ListParagraph"/>
        <w:numPr>
          <w:ilvl w:val="0"/>
          <w:numId w:val="2"/>
        </w:numPr>
        <w:spacing w:after="90"/>
      </w:pPr>
      <w:r>
        <w:rPr>
          <w:rFonts w:ascii="Calibri" w:cs="Calibri" w:eastAsia="Calibri" w:hAnsi="Calibri"/>
          <w:color w:val="3F3F3F"/>
          <w:sz w:val="21"/>
          <w:szCs w:val="21"/>
        </w:rPr>
        <w:t xml:space="preserve">Practice/Industry page hero (narrower, with breadcrumb)</w:t>
      </w:r>
    </w:p>
    <w:p>
      <w:pPr>
        <w:pStyle w:val="ListParagraph"/>
        <w:numPr>
          <w:ilvl w:val="0"/>
          <w:numId w:val="2"/>
        </w:numPr>
        <w:spacing w:after="90"/>
      </w:pPr>
      <w:r>
        <w:rPr>
          <w:rFonts w:ascii="Calibri" w:cs="Calibri" w:eastAsia="Calibri" w:hAnsi="Calibri"/>
          <w:color w:val="3F3F3F"/>
          <w:sz w:val="21"/>
          <w:szCs w:val="21"/>
        </w:rPr>
        <w:t xml:space="preserve">Proof bar (stat tiles, 3–4 across)</w:t>
      </w:r>
    </w:p>
    <w:p>
      <w:pPr>
        <w:pStyle w:val="ListParagraph"/>
        <w:numPr>
          <w:ilvl w:val="0"/>
          <w:numId w:val="2"/>
        </w:numPr>
        <w:spacing w:after="90"/>
      </w:pPr>
      <w:r>
        <w:rPr>
          <w:rFonts w:ascii="Calibri" w:cs="Calibri" w:eastAsia="Calibri" w:hAnsi="Calibri"/>
          <w:color w:val="3F3F3F"/>
          <w:sz w:val="21"/>
          <w:szCs w:val="21"/>
        </w:rPr>
        <w:t xml:space="preserve">Split content block (image/text, alternating left-right)</w:t>
      </w:r>
    </w:p>
    <w:p>
      <w:pPr>
        <w:pStyle w:val="ListParagraph"/>
        <w:numPr>
          <w:ilvl w:val="0"/>
          <w:numId w:val="2"/>
        </w:numPr>
        <w:spacing w:after="90"/>
      </w:pPr>
      <w:r>
        <w:rPr>
          <w:rFonts w:ascii="Calibri" w:cs="Calibri" w:eastAsia="Calibri" w:hAnsi="Calibri"/>
          <w:color w:val="3F3F3F"/>
          <w:sz w:val="21"/>
          <w:szCs w:val="21"/>
        </w:rPr>
        <w:t xml:space="preserve">Full-width CTA band (dark navy background)</w:t>
      </w:r>
    </w:p>
    <w:p>
      <w:pPr>
        <w:pStyle w:val="ListParagraph"/>
        <w:numPr>
          <w:ilvl w:val="0"/>
          <w:numId w:val="2"/>
        </w:numPr>
        <w:spacing w:after="90"/>
      </w:pPr>
      <w:r>
        <w:rPr>
          <w:rFonts w:ascii="Calibri" w:cs="Calibri" w:eastAsia="Calibri" w:hAnsi="Calibri"/>
          <w:color w:val="3F3F3F"/>
          <w:sz w:val="21"/>
          <w:szCs w:val="21"/>
        </w:rPr>
        <w:t xml:space="preserve">Quote/testimonial block (single, large-format)</w:t>
      </w:r>
    </w:p>
    <w:p>
      <w:pPr>
        <w:pStyle w:val="ListParagraph"/>
        <w:numPr>
          <w:ilvl w:val="0"/>
          <w:numId w:val="2"/>
        </w:numPr>
        <w:spacing w:after="90"/>
      </w:pPr>
      <w:r>
        <w:rPr>
          <w:rFonts w:ascii="Calibri" w:cs="Calibri" w:eastAsia="Calibri" w:hAnsi="Calibri"/>
          <w:color w:val="3F3F3F"/>
          <w:sz w:val="21"/>
          <w:szCs w:val="21"/>
        </w:rPr>
        <w:t xml:space="preserve">Logo wall / marquee</w:t>
      </w:r>
    </w:p>
    <w:p>
      <w:pPr>
        <w:pStyle w:val="Heading2"/>
        <w:spacing w:after="160" w:before="320"/>
      </w:pPr>
      <w:r>
        <w:rPr>
          <w:rFonts w:ascii="Calibri" w:cs="Calibri" w:eastAsia="Calibri" w:hAnsi="Calibri"/>
          <w:b/>
          <w:bCs/>
          <w:color w:val="132B4F"/>
          <w:sz w:val="26"/>
          <w:szCs w:val="26"/>
        </w:rPr>
        <w:t xml:space="preserve">17.3 Card Components</w:t>
      </w:r>
    </w:p>
    <w:p>
      <w:pPr>
        <w:pStyle w:val="ListParagraph"/>
        <w:numPr>
          <w:ilvl w:val="0"/>
          <w:numId w:val="2"/>
        </w:numPr>
        <w:spacing w:after="90"/>
      </w:pPr>
      <w:r>
        <w:rPr>
          <w:rFonts w:ascii="Calibri" w:cs="Calibri" w:eastAsia="Calibri" w:hAnsi="Calibri"/>
          <w:color w:val="3F3F3F"/>
          <w:sz w:val="21"/>
          <w:szCs w:val="21"/>
        </w:rPr>
        <w:t xml:space="preserve">Practice card (icon, title, 1-line descriptor, link)</w:t>
      </w:r>
    </w:p>
    <w:p>
      <w:pPr>
        <w:pStyle w:val="ListParagraph"/>
        <w:numPr>
          <w:ilvl w:val="0"/>
          <w:numId w:val="2"/>
        </w:numPr>
        <w:spacing w:after="90"/>
      </w:pPr>
      <w:r>
        <w:rPr>
          <w:rFonts w:ascii="Calibri" w:cs="Calibri" w:eastAsia="Calibri" w:hAnsi="Calibri"/>
          <w:color w:val="3F3F3F"/>
          <w:sz w:val="21"/>
          <w:szCs w:val="21"/>
        </w:rPr>
        <w:t xml:space="preserve">Sub-service card</w:t>
      </w:r>
    </w:p>
    <w:p>
      <w:pPr>
        <w:pStyle w:val="ListParagraph"/>
        <w:numPr>
          <w:ilvl w:val="0"/>
          <w:numId w:val="2"/>
        </w:numPr>
        <w:spacing w:after="90"/>
      </w:pPr>
      <w:r>
        <w:rPr>
          <w:rFonts w:ascii="Calibri" w:cs="Calibri" w:eastAsia="Calibri" w:hAnsi="Calibri"/>
          <w:color w:val="3F3F3F"/>
          <w:sz w:val="21"/>
          <w:szCs w:val="21"/>
        </w:rPr>
        <w:t xml:space="preserve">Industry card (icon, stat, link)</w:t>
      </w:r>
    </w:p>
    <w:p>
      <w:pPr>
        <w:pStyle w:val="ListParagraph"/>
        <w:numPr>
          <w:ilvl w:val="0"/>
          <w:numId w:val="2"/>
        </w:numPr>
        <w:spacing w:after="90"/>
      </w:pPr>
      <w:r>
        <w:rPr>
          <w:rFonts w:ascii="Calibri" w:cs="Calibri" w:eastAsia="Calibri" w:hAnsi="Calibri"/>
          <w:color w:val="3F3F3F"/>
          <w:sz w:val="21"/>
          <w:szCs w:val="21"/>
        </w:rPr>
        <w:t xml:space="preserve">Case study card (client/industry tag, headline result, thumbnail)</w:t>
      </w:r>
    </w:p>
    <w:p>
      <w:pPr>
        <w:pStyle w:val="ListParagraph"/>
        <w:numPr>
          <w:ilvl w:val="0"/>
          <w:numId w:val="2"/>
        </w:numPr>
        <w:spacing w:after="90"/>
      </w:pPr>
      <w:r>
        <w:rPr>
          <w:rFonts w:ascii="Calibri" w:cs="Calibri" w:eastAsia="Calibri" w:hAnsi="Calibri"/>
          <w:color w:val="3F3F3F"/>
          <w:sz w:val="21"/>
          <w:szCs w:val="21"/>
        </w:rPr>
        <w:t xml:space="preserve">Blog/insight card (category tag, title, author, read time)</w:t>
      </w:r>
    </w:p>
    <w:p>
      <w:pPr>
        <w:pStyle w:val="ListParagraph"/>
        <w:numPr>
          <w:ilvl w:val="0"/>
          <w:numId w:val="2"/>
        </w:numPr>
        <w:spacing w:after="90"/>
      </w:pPr>
      <w:r>
        <w:rPr>
          <w:rFonts w:ascii="Calibri" w:cs="Calibri" w:eastAsia="Calibri" w:hAnsi="Calibri"/>
          <w:color w:val="3F3F3F"/>
          <w:sz w:val="21"/>
          <w:szCs w:val="21"/>
        </w:rPr>
        <w:t xml:space="preserve">Job listing card (title, location, practice tag, "Apply" button)</w:t>
      </w:r>
    </w:p>
    <w:p>
      <w:pPr>
        <w:pStyle w:val="ListParagraph"/>
        <w:numPr>
          <w:ilvl w:val="0"/>
          <w:numId w:val="2"/>
        </w:numPr>
        <w:spacing w:after="90"/>
      </w:pPr>
      <w:r>
        <w:rPr>
          <w:rFonts w:ascii="Calibri" w:cs="Calibri" w:eastAsia="Calibri" w:hAnsi="Calibri"/>
          <w:color w:val="3F3F3F"/>
          <w:sz w:val="21"/>
          <w:szCs w:val="21"/>
        </w:rPr>
        <w:t xml:space="preserve">Team/leadership bio card</w:t>
      </w:r>
    </w:p>
    <w:p>
      <w:pPr>
        <w:pStyle w:val="ListParagraph"/>
        <w:numPr>
          <w:ilvl w:val="0"/>
          <w:numId w:val="2"/>
        </w:numPr>
        <w:spacing w:after="90"/>
      </w:pPr>
      <w:r>
        <w:rPr>
          <w:rFonts w:ascii="Calibri" w:cs="Calibri" w:eastAsia="Calibri" w:hAnsi="Calibri"/>
          <w:color w:val="3F3F3F"/>
          <w:sz w:val="21"/>
          <w:szCs w:val="21"/>
        </w:rPr>
        <w:t xml:space="preserve">Resource/gated-content card (with lock icon for gated state)</w:t>
      </w:r>
    </w:p>
    <w:p>
      <w:pPr>
        <w:pStyle w:val="Heading2"/>
        <w:spacing w:after="160" w:before="320"/>
      </w:pPr>
      <w:r>
        <w:rPr>
          <w:rFonts w:ascii="Calibri" w:cs="Calibri" w:eastAsia="Calibri" w:hAnsi="Calibri"/>
          <w:b/>
          <w:bCs/>
          <w:color w:val="132B4F"/>
          <w:sz w:val="26"/>
          <w:szCs w:val="26"/>
        </w:rPr>
        <w:t xml:space="preserve">17.4 Form &amp; Conversion Components</w:t>
      </w:r>
    </w:p>
    <w:p>
      <w:pPr>
        <w:pStyle w:val="ListParagraph"/>
        <w:numPr>
          <w:ilvl w:val="0"/>
          <w:numId w:val="2"/>
        </w:numPr>
        <w:spacing w:after="90"/>
      </w:pPr>
      <w:r>
        <w:rPr>
          <w:rFonts w:ascii="Calibri" w:cs="Calibri" w:eastAsia="Calibri" w:hAnsi="Calibri"/>
          <w:color w:val="3F3F3F"/>
          <w:sz w:val="21"/>
          <w:szCs w:val="21"/>
        </w:rPr>
        <w:t xml:space="preserve">Multi-step form container (progress indicator)</w:t>
      </w:r>
    </w:p>
    <w:p>
      <w:pPr>
        <w:pStyle w:val="ListParagraph"/>
        <w:numPr>
          <w:ilvl w:val="0"/>
          <w:numId w:val="2"/>
        </w:numPr>
        <w:spacing w:after="90"/>
      </w:pPr>
      <w:r>
        <w:rPr>
          <w:rFonts w:ascii="Calibri" w:cs="Calibri" w:eastAsia="Calibri" w:hAnsi="Calibri"/>
          <w:color w:val="3F3F3F"/>
          <w:sz w:val="21"/>
          <w:szCs w:val="21"/>
        </w:rPr>
        <w:t xml:space="preserve">Text input / select / textarea (floating label pattern)</w:t>
      </w:r>
    </w:p>
    <w:p>
      <w:pPr>
        <w:pStyle w:val="ListParagraph"/>
        <w:numPr>
          <w:ilvl w:val="0"/>
          <w:numId w:val="2"/>
        </w:numPr>
        <w:spacing w:after="90"/>
      </w:pPr>
      <w:r>
        <w:rPr>
          <w:rFonts w:ascii="Calibri" w:cs="Calibri" w:eastAsia="Calibri" w:hAnsi="Calibri"/>
          <w:color w:val="3F3F3F"/>
          <w:sz w:val="21"/>
          <w:szCs w:val="21"/>
        </w:rPr>
        <w:t xml:space="preserve">File upload (resume) with drag-and-drop state</w:t>
      </w:r>
    </w:p>
    <w:p>
      <w:pPr>
        <w:pStyle w:val="ListParagraph"/>
        <w:numPr>
          <w:ilvl w:val="0"/>
          <w:numId w:val="2"/>
        </w:numPr>
        <w:spacing w:after="90"/>
      </w:pPr>
      <w:r>
        <w:rPr>
          <w:rFonts w:ascii="Calibri" w:cs="Calibri" w:eastAsia="Calibri" w:hAnsi="Calibri"/>
          <w:color w:val="3F3F3F"/>
          <w:sz w:val="21"/>
          <w:szCs w:val="21"/>
        </w:rPr>
        <w:t xml:space="preserve">Scheduling widget embed (Calendly-style)</w:t>
      </w:r>
    </w:p>
    <w:p>
      <w:pPr>
        <w:pStyle w:val="ListParagraph"/>
        <w:numPr>
          <w:ilvl w:val="0"/>
          <w:numId w:val="2"/>
        </w:numPr>
        <w:spacing w:after="90"/>
      </w:pPr>
      <w:r>
        <w:rPr>
          <w:rFonts w:ascii="Calibri" w:cs="Calibri" w:eastAsia="Calibri" w:hAnsi="Calibri"/>
          <w:color w:val="3F3F3F"/>
          <w:sz w:val="21"/>
          <w:szCs w:val="21"/>
        </w:rPr>
        <w:t xml:space="preserve">Newsletter signup (inline, 1-field)</w:t>
      </w:r>
    </w:p>
    <w:p>
      <w:pPr>
        <w:pStyle w:val="ListParagraph"/>
        <w:numPr>
          <w:ilvl w:val="0"/>
          <w:numId w:val="2"/>
        </w:numPr>
        <w:spacing w:after="90"/>
      </w:pPr>
      <w:r>
        <w:rPr>
          <w:rFonts w:ascii="Calibri" w:cs="Calibri" w:eastAsia="Calibri" w:hAnsi="Calibri"/>
          <w:color w:val="3F3F3F"/>
          <w:sz w:val="21"/>
          <w:szCs w:val="21"/>
        </w:rPr>
        <w:t xml:space="preserve">Exit-intent modal</w:t>
      </w:r>
    </w:p>
    <w:p>
      <w:pPr>
        <w:pStyle w:val="ListParagraph"/>
        <w:numPr>
          <w:ilvl w:val="0"/>
          <w:numId w:val="2"/>
        </w:numPr>
        <w:spacing w:after="90"/>
      </w:pPr>
      <w:r>
        <w:rPr>
          <w:rFonts w:ascii="Calibri" w:cs="Calibri" w:eastAsia="Calibri" w:hAnsi="Calibri"/>
          <w:color w:val="3F3F3F"/>
          <w:sz w:val="21"/>
          <w:szCs w:val="21"/>
        </w:rPr>
        <w:t xml:space="preserve">Success/confirmation state panel</w:t>
      </w:r>
    </w:p>
    <w:p>
      <w:pPr>
        <w:pStyle w:val="ListParagraph"/>
        <w:numPr>
          <w:ilvl w:val="0"/>
          <w:numId w:val="2"/>
        </w:numPr>
        <w:spacing w:after="90"/>
      </w:pPr>
      <w:r>
        <w:rPr>
          <w:rFonts w:ascii="Calibri" w:cs="Calibri" w:eastAsia="Calibri" w:hAnsi="Calibri"/>
          <w:color w:val="3F3F3F"/>
          <w:sz w:val="21"/>
          <w:szCs w:val="21"/>
        </w:rPr>
        <w:t xml:space="preserve">Inline validation error message</w:t>
      </w:r>
    </w:p>
    <w:p>
      <w:pPr>
        <w:pStyle w:val="Heading2"/>
        <w:spacing w:after="160" w:before="320"/>
      </w:pPr>
      <w:r>
        <w:rPr>
          <w:rFonts w:ascii="Calibri" w:cs="Calibri" w:eastAsia="Calibri" w:hAnsi="Calibri"/>
          <w:b/>
          <w:bCs/>
          <w:color w:val="132B4F"/>
          <w:sz w:val="26"/>
          <w:szCs w:val="26"/>
        </w:rPr>
        <w:t xml:space="preserve">17.5 Data &amp; Trust Components</w:t>
      </w:r>
    </w:p>
    <w:p>
      <w:pPr>
        <w:pStyle w:val="ListParagraph"/>
        <w:numPr>
          <w:ilvl w:val="0"/>
          <w:numId w:val="2"/>
        </w:numPr>
        <w:spacing w:after="90"/>
      </w:pPr>
      <w:r>
        <w:rPr>
          <w:rFonts w:ascii="Calibri" w:cs="Calibri" w:eastAsia="Calibri" w:hAnsi="Calibri"/>
          <w:color w:val="3F3F3F"/>
          <w:sz w:val="21"/>
          <w:szCs w:val="21"/>
        </w:rPr>
        <w:t xml:space="preserve">Stat counter tile</w:t>
      </w:r>
    </w:p>
    <w:p>
      <w:pPr>
        <w:pStyle w:val="ListParagraph"/>
        <w:numPr>
          <w:ilvl w:val="0"/>
          <w:numId w:val="2"/>
        </w:numPr>
        <w:spacing w:after="90"/>
      </w:pPr>
      <w:r>
        <w:rPr>
          <w:rFonts w:ascii="Calibri" w:cs="Calibri" w:eastAsia="Calibri" w:hAnsi="Calibri"/>
          <w:color w:val="3F3F3F"/>
          <w:sz w:val="21"/>
          <w:szCs w:val="21"/>
        </w:rPr>
        <w:t xml:space="preserve">Comparison table (practice/plan/competitor)</w:t>
      </w:r>
    </w:p>
    <w:p>
      <w:pPr>
        <w:pStyle w:val="ListParagraph"/>
        <w:numPr>
          <w:ilvl w:val="0"/>
          <w:numId w:val="2"/>
        </w:numPr>
        <w:spacing w:after="90"/>
      </w:pPr>
      <w:r>
        <w:rPr>
          <w:rFonts w:ascii="Calibri" w:cs="Calibri" w:eastAsia="Calibri" w:hAnsi="Calibri"/>
          <w:color w:val="3F3F3F"/>
          <w:sz w:val="21"/>
          <w:szCs w:val="21"/>
        </w:rPr>
        <w:t xml:space="preserve">Certification/badge row</w:t>
      </w:r>
    </w:p>
    <w:p>
      <w:pPr>
        <w:pStyle w:val="ListParagraph"/>
        <w:numPr>
          <w:ilvl w:val="0"/>
          <w:numId w:val="2"/>
        </w:numPr>
        <w:spacing w:after="90"/>
      </w:pPr>
      <w:r>
        <w:rPr>
          <w:rFonts w:ascii="Calibri" w:cs="Calibri" w:eastAsia="Calibri" w:hAnsi="Calibri"/>
          <w:color w:val="3F3F3F"/>
          <w:sz w:val="21"/>
          <w:szCs w:val="21"/>
        </w:rPr>
        <w:t xml:space="preserve">Timeline/roadmap component (used both for case-study "engagement timeline" and this document's own roadmap visuals)</w:t>
      </w:r>
    </w:p>
    <w:p>
      <w:pPr>
        <w:pStyle w:val="ListParagraph"/>
        <w:numPr>
          <w:ilvl w:val="0"/>
          <w:numId w:val="2"/>
        </w:numPr>
        <w:spacing w:after="90"/>
      </w:pPr>
      <w:r>
        <w:rPr>
          <w:rFonts w:ascii="Calibri" w:cs="Calibri" w:eastAsia="Calibri" w:hAnsi="Calibri"/>
          <w:color w:val="3F3F3F"/>
          <w:sz w:val="21"/>
          <w:szCs w:val="21"/>
        </w:rPr>
        <w:t xml:space="preserve">Filter/facet bar (case studies, blog, jobs)</w:t>
      </w:r>
    </w:p>
    <w:p>
      <w:pPr>
        <w:pStyle w:val="ListParagraph"/>
        <w:numPr>
          <w:ilvl w:val="0"/>
          <w:numId w:val="2"/>
        </w:numPr>
        <w:spacing w:after="90"/>
      </w:pPr>
      <w:r>
        <w:rPr>
          <w:rFonts w:ascii="Calibri" w:cs="Calibri" w:eastAsia="Calibri" w:hAnsi="Calibri"/>
          <w:color w:val="3F3F3F"/>
          <w:sz w:val="21"/>
          <w:szCs w:val="21"/>
        </w:rPr>
        <w:t xml:space="preserve">Tag/chip (practice, industry, technology labels)</w:t>
      </w:r>
    </w:p>
    <w:p>
      <w:pPr>
        <w:pStyle w:val="Heading2"/>
        <w:spacing w:after="160" w:before="320"/>
      </w:pPr>
      <w:r>
        <w:rPr>
          <w:rFonts w:ascii="Calibri" w:cs="Calibri" w:eastAsia="Calibri" w:hAnsi="Calibri"/>
          <w:b/>
          <w:bCs/>
          <w:color w:val="132B4F"/>
          <w:sz w:val="26"/>
          <w:szCs w:val="26"/>
        </w:rPr>
        <w:t xml:space="preserve">17.6 Chat &amp; Utility Components</w:t>
      </w:r>
    </w:p>
    <w:p>
      <w:pPr>
        <w:pStyle w:val="ListParagraph"/>
        <w:numPr>
          <w:ilvl w:val="0"/>
          <w:numId w:val="2"/>
        </w:numPr>
        <w:spacing w:after="90"/>
      </w:pPr>
      <w:r>
        <w:rPr>
          <w:rFonts w:ascii="Calibri" w:cs="Calibri" w:eastAsia="Calibri" w:hAnsi="Calibri"/>
          <w:color w:val="3F3F3F"/>
          <w:sz w:val="21"/>
          <w:szCs w:val="21"/>
        </w:rPr>
        <w:t xml:space="preserve">Chatbot launcher + panel (Section 29)</w:t>
      </w:r>
    </w:p>
    <w:p>
      <w:pPr>
        <w:pStyle w:val="ListParagraph"/>
        <w:numPr>
          <w:ilvl w:val="0"/>
          <w:numId w:val="2"/>
        </w:numPr>
        <w:spacing w:after="90"/>
      </w:pPr>
      <w:r>
        <w:rPr>
          <w:rFonts w:ascii="Calibri" w:cs="Calibri" w:eastAsia="Calibri" w:hAnsi="Calibri"/>
          <w:color w:val="3F3F3F"/>
          <w:sz w:val="21"/>
          <w:szCs w:val="21"/>
        </w:rPr>
        <w:t xml:space="preserve">Search overlay with live results (Section 30)</w:t>
      </w:r>
    </w:p>
    <w:p>
      <w:pPr>
        <w:pStyle w:val="ListParagraph"/>
        <w:numPr>
          <w:ilvl w:val="0"/>
          <w:numId w:val="2"/>
        </w:numPr>
        <w:spacing w:after="90"/>
      </w:pPr>
      <w:r>
        <w:rPr>
          <w:rFonts w:ascii="Calibri" w:cs="Calibri" w:eastAsia="Calibri" w:hAnsi="Calibri"/>
          <w:color w:val="3F3F3F"/>
          <w:sz w:val="21"/>
          <w:szCs w:val="21"/>
        </w:rPr>
        <w:t xml:space="preserve">Toast/notification banner (e.g., cookie consent, regional notice)</w:t>
      </w:r>
    </w:p>
    <w:p>
      <w:pPr>
        <w:pStyle w:val="ListParagraph"/>
        <w:numPr>
          <w:ilvl w:val="0"/>
          <w:numId w:val="2"/>
        </w:numPr>
        <w:spacing w:after="90"/>
      </w:pPr>
      <w:r>
        <w:rPr>
          <w:rFonts w:ascii="Calibri" w:cs="Calibri" w:eastAsia="Calibri" w:hAnsi="Calibri"/>
          <w:color w:val="3F3F3F"/>
          <w:sz w:val="21"/>
          <w:szCs w:val="21"/>
        </w:rPr>
        <w:t xml:space="preserve">Footer (mega-footer, Section 32)</w:t>
      </w:r>
    </w:p>
    <w:p>
      <w:pPr>
        <w:pStyle w:val="ListParagraph"/>
        <w:numPr>
          <w:ilvl w:val="0"/>
          <w:numId w:val="2"/>
        </w:numPr>
        <w:spacing w:after="90"/>
      </w:pPr>
      <w:r>
        <w:rPr>
          <w:rFonts w:ascii="Calibri" w:cs="Calibri" w:eastAsia="Calibri" w:hAnsi="Calibri"/>
          <w:color w:val="3F3F3F"/>
          <w:sz w:val="21"/>
          <w:szCs w:val="21"/>
        </w:rPr>
        <w:t xml:space="preserve">404 / empty-state panel</w:t>
      </w:r>
    </w:p>
    <w:p>
      <w:pPr>
        <w:pStyle w:val="ListParagraph"/>
        <w:numPr>
          <w:ilvl w:val="0"/>
          <w:numId w:val="2"/>
        </w:numPr>
        <w:spacing w:after="90"/>
      </w:pPr>
      <w:r>
        <w:rPr>
          <w:rFonts w:ascii="Calibri" w:cs="Calibri" w:eastAsia="Calibri" w:hAnsi="Calibri"/>
          <w:color w:val="3F3F3F"/>
          <w:sz w:val="21"/>
          <w:szCs w:val="21"/>
        </w:rPr>
        <w:t xml:space="preserve">Pagination control</w:t>
      </w:r>
    </w:p>
    <w:p>
      <w:pPr>
        <w:pStyle w:val="Heading2"/>
        <w:spacing w:after="160" w:before="320"/>
      </w:pPr>
      <w:r>
        <w:rPr>
          <w:rFonts w:ascii="Calibri" w:cs="Calibri" w:eastAsia="Calibri" w:hAnsi="Calibri"/>
          <w:b/>
          <w:bCs/>
          <w:color w:val="132B4F"/>
          <w:sz w:val="26"/>
          <w:szCs w:val="26"/>
        </w:rPr>
        <w:t xml:space="preserve">17.7 Component Governance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color="FFFFFF" w:sz="0"/>
              <w:left w:val="single" w:color="C6963A" w:sz="24"/>
              <w:bottom w:val="none" w:color="FFFFFF" w:sz="0"/>
              <w:right w:val="none" w:color="FFFFFF" w:sz="0"/>
            </w:tcBorders>
            <w:shd w:fill="FBF6EA" w:color="FBF6EA" w:val="clear"/>
            <w:tcMar>
              <w:top w:type="dxa" w:w="160"/>
              <w:left w:type="dxa" w:w="200"/>
              <w:bottom w:type="dxa" w:w="160"/>
              <w:right w:type="dxa" w:w="200"/>
            </w:tcMar>
          </w:tcPr>
          <w:p>
            <w:pPr>
              <w:spacing w:after="80"/>
            </w:pPr>
            <w:r>
              <w:rPr>
                <w:rFonts w:ascii="Calibri" w:cs="Calibri" w:eastAsia="Calibri" w:hAnsi="Calibri"/>
                <w:b/>
                <w:bCs/>
                <w:color w:val="0B1F3A"/>
                <w:sz w:val="21"/>
                <w:szCs w:val="21"/>
              </w:rPr>
              <w:t xml:space="preserve">Design Ops rule</w:t>
            </w:r>
          </w:p>
          <w:p>
            <w:r>
              <w:rPr>
                <w:rFonts w:ascii="Calibri" w:cs="Calibri" w:eastAsia="Calibri" w:hAnsi="Calibri"/>
                <w:color w:val="3F3F3F"/>
                <w:sz w:val="20"/>
                <w:szCs w:val="20"/>
              </w:rPr>
              <w:t xml:space="preserve">No new one-off visual pattern may be introduced on an individual page without being added to this library first and reviewed for reuse potential. This is the single biggest lever for keeping 300+ pages visually consistent and for keeping build velocity high as the site scales.</w:t>
            </w:r>
          </w:p>
        </w:tc>
      </w:tr>
    </w:tbl>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18  </w:t>
      </w:r>
      <w:r>
        <w:rPr>
          <w:rFonts w:ascii="Calibri" w:cs="Calibri" w:eastAsia="Calibri" w:hAnsi="Calibri"/>
          <w:b/>
          <w:bCs/>
          <w:color w:val="0B1F3A"/>
          <w:sz w:val="32"/>
          <w:szCs w:val="32"/>
        </w:rPr>
        <w:t xml:space="preserve">18. Responsive Design Guidelines</w:t>
      </w:r>
    </w:p>
    <w:p>
      <w:pPr>
        <w:pStyle w:val="Heading2"/>
        <w:spacing w:after="160" w:before="320"/>
      </w:pPr>
      <w:r>
        <w:rPr>
          <w:rFonts w:ascii="Calibri" w:cs="Calibri" w:eastAsia="Calibri" w:hAnsi="Calibri"/>
          <w:b/>
          <w:bCs/>
          <w:color w:val="132B4F"/>
          <w:sz w:val="26"/>
          <w:szCs w:val="26"/>
        </w:rPr>
        <w:t xml:space="preserve">18.1 Breakpoints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Breakpoint</w:t>
            </w:r>
          </w:p>
        </w:tc>
        <w:tc>
          <w:tcPr>
            <w:tcW w:type="dxa" w:w="2337"/>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Width</w:t>
            </w:r>
          </w:p>
        </w:tc>
        <w:tc>
          <w:tcPr>
            <w:tcW w:type="dxa" w:w="2337"/>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Grid</w:t>
            </w:r>
          </w:p>
        </w:tc>
        <w:tc>
          <w:tcPr>
            <w:tcW w:type="dxa" w:w="2337"/>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Mobile</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360–767px</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4-column, 16px gutter</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Single-column stacking for all multi-column sections</w:t>
            </w:r>
          </w:p>
        </w:tc>
      </w:tr>
      <w:tr>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Tablet</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768–1023px</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8-column, 20px gutter</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2-column card grids; mega-menus collapse to accordion below 900px</w:t>
            </w:r>
          </w:p>
        </w:tc>
      </w:tr>
      <w:tr>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Desktop</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1024–1439px</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12-column, 24px gutter</w:t>
            </w:r>
          </w:p>
        </w:tc>
        <w:tc>
          <w:tcPr>
            <w:tcW w:type="dxa" w:w="2337"/>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Standard 3–4 column card grids</w:t>
            </w:r>
          </w:p>
        </w:tc>
      </w:tr>
      <w:tr>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Large desktop</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1440px+</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12-column, max content width 1280px, centered</w:t>
            </w:r>
          </w:p>
        </w:tc>
        <w:tc>
          <w:tcPr>
            <w:tcW w:type="dxa" w:w="2337"/>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Prevents overly long line lengths and stretched components on large monitors</w:t>
            </w:r>
          </w:p>
        </w:tc>
      </w:tr>
    </w:tbl>
    <w:p>
      <w:pPr>
        <w:pStyle w:val="Heading2"/>
        <w:spacing w:after="160" w:before="320"/>
      </w:pPr>
      <w:r>
        <w:rPr>
          <w:rFonts w:ascii="Calibri" w:cs="Calibri" w:eastAsia="Calibri" w:hAnsi="Calibri"/>
          <w:b/>
          <w:bCs/>
          <w:color w:val="132B4F"/>
          <w:sz w:val="26"/>
          <w:szCs w:val="26"/>
        </w:rPr>
        <w:t xml:space="preserve">18.2 Responsive Principles</w:t>
      </w:r>
    </w:p>
    <w:p>
      <w:pPr>
        <w:pStyle w:val="ListParagraph"/>
        <w:numPr>
          <w:ilvl w:val="0"/>
          <w:numId w:val="2"/>
        </w:numPr>
        <w:spacing w:after="90"/>
      </w:pPr>
      <w:r>
        <w:rPr>
          <w:rFonts w:ascii="Calibri" w:cs="Calibri" w:eastAsia="Calibri" w:hAnsi="Calibri"/>
          <w:color w:val="3F3F3F"/>
          <w:sz w:val="21"/>
          <w:szCs w:val="21"/>
        </w:rPr>
        <w:t xml:space="preserve">Design mobile-first for content hierarchy (what appears first on a narrow screen is the true priority order) even though visual design may be authored desktop-first for this enterprise audience.</w:t>
      </w:r>
    </w:p>
    <w:p>
      <w:pPr>
        <w:pStyle w:val="ListParagraph"/>
        <w:numPr>
          <w:ilvl w:val="0"/>
          <w:numId w:val="2"/>
        </w:numPr>
        <w:spacing w:after="90"/>
      </w:pPr>
      <w:r>
        <w:rPr>
          <w:rFonts w:ascii="Calibri" w:cs="Calibri" w:eastAsia="Calibri" w:hAnsi="Calibri"/>
          <w:color w:val="3F3F3F"/>
          <w:sz w:val="21"/>
          <w:szCs w:val="21"/>
        </w:rPr>
        <w:t xml:space="preserve">Never simply shrink desktop layouts — mega-menus, multi-column proof bars, and side-by-side split-content blocks all require distinct mobile patterns (accordion, horizontal scroll-snap carousel, and stacked, respectively).</w:t>
      </w:r>
    </w:p>
    <w:p>
      <w:pPr>
        <w:pStyle w:val="ListParagraph"/>
        <w:numPr>
          <w:ilvl w:val="0"/>
          <w:numId w:val="2"/>
        </w:numPr>
        <w:spacing w:after="90"/>
      </w:pPr>
      <w:r>
        <w:rPr>
          <w:rFonts w:ascii="Calibri" w:cs="Calibri" w:eastAsia="Calibri" w:hAnsi="Calibri"/>
          <w:color w:val="3F3F3F"/>
          <w:sz w:val="21"/>
          <w:szCs w:val="21"/>
        </w:rPr>
        <w:t xml:space="preserve">Touch targets minimum 44×44px on mobile/tablet; adequate spacing between adjacent tappable elements (nav items, filter chips) to prevent mis-taps.</w:t>
      </w:r>
    </w:p>
    <w:p>
      <w:pPr>
        <w:pStyle w:val="ListParagraph"/>
        <w:numPr>
          <w:ilvl w:val="0"/>
          <w:numId w:val="2"/>
        </w:numPr>
        <w:spacing w:after="90"/>
      </w:pPr>
      <w:r>
        <w:rPr>
          <w:rFonts w:ascii="Calibri" w:cs="Calibri" w:eastAsia="Calibri" w:hAnsi="Calibri"/>
          <w:color w:val="3F3F3F"/>
          <w:sz w:val="21"/>
          <w:szCs w:val="21"/>
        </w:rPr>
        <w:t xml:space="preserve">Tables (comparison tables, data tables) convert to a stacked "card-per-row" pattern below tablet width rather than forcing horizontal scroll wherever feasible.</w:t>
      </w:r>
    </w:p>
    <w:p>
      <w:pPr>
        <w:pStyle w:val="Heading2"/>
        <w:spacing w:after="160" w:before="320"/>
      </w:pPr>
      <w:r>
        <w:rPr>
          <w:rFonts w:ascii="Calibri" w:cs="Calibri" w:eastAsia="Calibri" w:hAnsi="Calibri"/>
          <w:b/>
          <w:bCs/>
          <w:color w:val="132B4F"/>
          <w:sz w:val="26"/>
          <w:szCs w:val="26"/>
        </w:rPr>
        <w:t xml:space="preserve">18.3 Template-Specific Responsive Notes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Template</w:t>
            </w:r>
          </w:p>
        </w:tc>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Mobile adaptation</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Homepage</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Hero visual moves below headline/CTA text; proof bar becomes horizontal scroll-snap carousel</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Practice hub</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Left-rail sub-nav collapses into a horizontal scrollable chip row directly under the hero</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Case study library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Filter bar collapses into a single "Filter" button opening a full-screen filter sheet</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Forms</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Multi-step forms show one field group per screen with a persistent progress bar and sticky "Next" button</w:t>
            </w:r>
          </w:p>
        </w:tc>
      </w:tr>
    </w:tbl>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19  </w:t>
      </w:r>
      <w:r>
        <w:rPr>
          <w:rFonts w:ascii="Calibri" w:cs="Calibri" w:eastAsia="Calibri" w:hAnsi="Calibri"/>
          <w:b/>
          <w:bCs/>
          <w:color w:val="0B1F3A"/>
          <w:sz w:val="32"/>
          <w:szCs w:val="32"/>
        </w:rPr>
        <w:t xml:space="preserve">19. Accessibility Recommendations (WCAG 2.2 AA)</w:t>
      </w:r>
    </w:p>
    <w:p>
      <w:pPr>
        <w:pStyle w:val="Heading2"/>
        <w:spacing w:after="160" w:before="320"/>
      </w:pPr>
      <w:r>
        <w:rPr>
          <w:rFonts w:ascii="Calibri" w:cs="Calibri" w:eastAsia="Calibri" w:hAnsi="Calibri"/>
          <w:b/>
          <w:bCs/>
          <w:color w:val="132B4F"/>
          <w:sz w:val="26"/>
          <w:szCs w:val="26"/>
        </w:rPr>
        <w:t xml:space="preserve">19.1 Compliance Target</w:t>
      </w:r>
    </w:p>
    <w:p>
      <w:pPr>
        <w:spacing w:after="160" w:line="300"/>
      </w:pPr>
      <w:r>
        <w:rPr>
          <w:rFonts w:ascii="Calibri" w:cs="Calibri" w:eastAsia="Calibri" w:hAnsi="Calibri"/>
          <w:b w:val="false"/>
          <w:bCs w:val="false"/>
          <w:i w:val="false"/>
          <w:iCs w:val="false"/>
          <w:color w:val="3F3F3F"/>
          <w:sz w:val="21"/>
          <w:szCs w:val="21"/>
        </w:rPr>
        <w:t xml:space="preserve">WCAG 2.2 Level AA is the baseline standard for the entire site, not just an aspiration for key pages — this also reduces legal exposure across the UK, EU, and increasingly the US and Canada, where accessibility litigation and regulation (EN 301 549, ADA Title III precedent, AODA in Ontario) are active considerations for an enterprise B2B brand.</w:t>
      </w:r>
    </w:p>
    <w:p>
      <w:pPr>
        <w:pStyle w:val="Heading2"/>
        <w:spacing w:after="160" w:before="320"/>
      </w:pPr>
      <w:r>
        <w:rPr>
          <w:rFonts w:ascii="Calibri" w:cs="Calibri" w:eastAsia="Calibri" w:hAnsi="Calibri"/>
          <w:b/>
          <w:bCs/>
          <w:color w:val="132B4F"/>
          <w:sz w:val="26"/>
          <w:szCs w:val="26"/>
        </w:rPr>
        <w:t xml:space="preserve">19.2 Core Requirements Checklist</w:t>
      </w:r>
    </w:p>
    <w:p>
      <w:pPr>
        <w:pStyle w:val="ListParagraph"/>
        <w:numPr>
          <w:ilvl w:val="0"/>
          <w:numId w:val="2"/>
        </w:numPr>
        <w:spacing w:after="90"/>
      </w:pPr>
      <w:r>
        <w:rPr>
          <w:rFonts w:ascii="Calibri" w:cs="Calibri" w:eastAsia="Calibri" w:hAnsi="Calibri"/>
          <w:color w:val="3F3F3F"/>
          <w:sz w:val="21"/>
          <w:szCs w:val="21"/>
        </w:rPr>
        <w:t xml:space="preserve">Color contrast: minimum 4.5:1 for body text, 3:1 for large text and UI component boundaries (see Section 13.5 for palette-specific rules).</w:t>
      </w:r>
    </w:p>
    <w:p>
      <w:pPr>
        <w:pStyle w:val="ListParagraph"/>
        <w:numPr>
          <w:ilvl w:val="0"/>
          <w:numId w:val="2"/>
        </w:numPr>
        <w:spacing w:after="90"/>
      </w:pPr>
      <w:r>
        <w:rPr>
          <w:rFonts w:ascii="Calibri" w:cs="Calibri" w:eastAsia="Calibri" w:hAnsi="Calibri"/>
          <w:color w:val="3F3F3F"/>
          <w:sz w:val="21"/>
          <w:szCs w:val="21"/>
        </w:rPr>
        <w:t xml:space="preserve">Full keyboard operability: every interactive element (menu, form, chatbot, filter, modal) reachable and operable via keyboard alone, with a visible focus state using a Gold 2px outline.</w:t>
      </w:r>
    </w:p>
    <w:p>
      <w:pPr>
        <w:pStyle w:val="ListParagraph"/>
        <w:numPr>
          <w:ilvl w:val="0"/>
          <w:numId w:val="2"/>
        </w:numPr>
        <w:spacing w:after="90"/>
      </w:pPr>
      <w:r>
        <w:rPr>
          <w:rFonts w:ascii="Calibri" w:cs="Calibri" w:eastAsia="Calibri" w:hAnsi="Calibri"/>
          <w:color w:val="3F3F3F"/>
          <w:sz w:val="21"/>
          <w:szCs w:val="21"/>
        </w:rPr>
        <w:t xml:space="preserve">Semantic HTML and ARIA: proper heading hierarchy (no skipped levels), landmark regions (nav, main, footer), ARIA labels on icon-only buttons, and live-region announcements for dynamic content (form errors, chatbot responses, search results).</w:t>
      </w:r>
    </w:p>
    <w:p>
      <w:pPr>
        <w:pStyle w:val="ListParagraph"/>
        <w:numPr>
          <w:ilvl w:val="0"/>
          <w:numId w:val="2"/>
        </w:numPr>
        <w:spacing w:after="90"/>
      </w:pPr>
      <w:r>
        <w:rPr>
          <w:rFonts w:ascii="Calibri" w:cs="Calibri" w:eastAsia="Calibri" w:hAnsi="Calibri"/>
          <w:color w:val="3F3F3F"/>
          <w:sz w:val="21"/>
          <w:szCs w:val="21"/>
        </w:rPr>
        <w:t xml:space="preserve">Alt text on all meaningful images; decorative images marked with empty alt attributes so screen readers skip them.</w:t>
      </w:r>
    </w:p>
    <w:p>
      <w:pPr>
        <w:pStyle w:val="ListParagraph"/>
        <w:numPr>
          <w:ilvl w:val="0"/>
          <w:numId w:val="2"/>
        </w:numPr>
        <w:spacing w:after="90"/>
      </w:pPr>
      <w:r>
        <w:rPr>
          <w:rFonts w:ascii="Calibri" w:cs="Calibri" w:eastAsia="Calibri" w:hAnsi="Calibri"/>
          <w:color w:val="3F3F3F"/>
          <w:sz w:val="21"/>
          <w:szCs w:val="21"/>
        </w:rPr>
        <w:t xml:space="preserve">Forms: every input has a programmatically associated label (not placeholder-only), inline errors are announced to screen readers, and required fields are indicated both visually and in markup.</w:t>
      </w:r>
    </w:p>
    <w:p>
      <w:pPr>
        <w:pStyle w:val="ListParagraph"/>
        <w:numPr>
          <w:ilvl w:val="0"/>
          <w:numId w:val="2"/>
        </w:numPr>
        <w:spacing w:after="90"/>
      </w:pPr>
      <w:r>
        <w:rPr>
          <w:rFonts w:ascii="Calibri" w:cs="Calibri" w:eastAsia="Calibri" w:hAnsi="Calibri"/>
          <w:color w:val="3F3F3F"/>
          <w:sz w:val="21"/>
          <w:szCs w:val="21"/>
        </w:rPr>
        <w:t xml:space="preserve">Motion: prefers-reduced-motion respected sitewide (Section 16.1); no content that flashes more than 3 times per second.</w:t>
      </w:r>
    </w:p>
    <w:p>
      <w:pPr>
        <w:pStyle w:val="ListParagraph"/>
        <w:numPr>
          <w:ilvl w:val="0"/>
          <w:numId w:val="2"/>
        </w:numPr>
        <w:spacing w:after="90"/>
      </w:pPr>
      <w:r>
        <w:rPr>
          <w:rFonts w:ascii="Calibri" w:cs="Calibri" w:eastAsia="Calibri" w:hAnsi="Calibri"/>
          <w:color w:val="3F3F3F"/>
          <w:sz w:val="21"/>
          <w:szCs w:val="21"/>
        </w:rPr>
        <w:t xml:space="preserve">Resizable text: layout must not break when text is resized up to 200% in-browser.</w:t>
      </w:r>
    </w:p>
    <w:p>
      <w:pPr>
        <w:pStyle w:val="ListParagraph"/>
        <w:numPr>
          <w:ilvl w:val="0"/>
          <w:numId w:val="2"/>
        </w:numPr>
        <w:spacing w:after="90"/>
      </w:pPr>
      <w:r>
        <w:rPr>
          <w:rFonts w:ascii="Calibri" w:cs="Calibri" w:eastAsia="Calibri" w:hAnsi="Calibri"/>
          <w:color w:val="3F3F3F"/>
          <w:sz w:val="21"/>
          <w:szCs w:val="21"/>
        </w:rPr>
        <w:t xml:space="preserve">Captions/transcripts on all video content (testimonial videos, webinar recordings).</w:t>
      </w:r>
    </w:p>
    <w:p>
      <w:pPr>
        <w:pStyle w:val="Heading2"/>
        <w:spacing w:after="160" w:before="320"/>
      </w:pPr>
      <w:r>
        <w:rPr>
          <w:rFonts w:ascii="Calibri" w:cs="Calibri" w:eastAsia="Calibri" w:hAnsi="Calibri"/>
          <w:b/>
          <w:bCs/>
          <w:color w:val="132B4F"/>
          <w:sz w:val="26"/>
          <w:szCs w:val="26"/>
        </w:rPr>
        <w:t xml:space="preserve">19.3 Testing Cadence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Test type</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Cadence</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Tooling</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Automated scan</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Every deploy (CI pipeline)</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axe-core / Lighthouse accessibility audit</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Manual keyboard walkthrough</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Every new template, pre-launch</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Manual QA checklist</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Screen reader spot-check</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Quarterly, and on major template changes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VoiceOver (macOS/iOS) and NVDA (Windows)</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Full third-party audit</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Annually, or before major enterprise/government RFP responses</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External accessibility auditor</w:t>
            </w:r>
          </w:p>
        </w:tc>
      </w:tr>
    </w:tbl>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20  </w:t>
      </w:r>
      <w:r>
        <w:rPr>
          <w:rFonts w:ascii="Calibri" w:cs="Calibri" w:eastAsia="Calibri" w:hAnsi="Calibri"/>
          <w:b/>
          <w:bCs/>
          <w:color w:val="0B1F3A"/>
          <w:sz w:val="32"/>
          <w:szCs w:val="32"/>
        </w:rPr>
        <w:t xml:space="preserve">20. Visual Inspiration &amp; Mood Board</w:t>
      </w:r>
    </w:p>
    <w:p>
      <w:pPr>
        <w:pStyle w:val="Heading2"/>
        <w:spacing w:after="160" w:before="320"/>
      </w:pPr>
      <w:r>
        <w:rPr>
          <w:rFonts w:ascii="Calibri" w:cs="Calibri" w:eastAsia="Calibri" w:hAnsi="Calibri"/>
          <w:b/>
          <w:bCs/>
          <w:color w:val="132B4F"/>
          <w:sz w:val="26"/>
          <w:szCs w:val="26"/>
        </w:rPr>
        <w:t xml:space="preserve">20.1 Reference Sites — What to Borrow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Reference</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Borrow</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Avoid</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EPAM</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Editorial confidence, generous whitespace, restrained color use, strong photography direction</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Their occasional density on deep engineering pages can feel overwhelming for a mixed staffing+delivery audience</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Nagarro</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Distinctive, opinionated visual identity that doesn't look like generic "enterprise template"; bold use of a signature accent color</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Some pages lean heavily illustrative in a way that may undersell the staffing/talent side of TeamBees' story</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Cognizant</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Clear enterprise-trust signaling, structured mega-navigation, strong industry-page depth</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Visually conservative to the point of blending in; avoid pure blue-corporate sameness</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BairesDev</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Fast, benefit-led homepage messaging; clean talent-marketplace-style proof bars</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Their visual system skews more "tech startup" than TeamBees' enterprise-platform positioning (ServiceNow, Energy) warrants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Toptal</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Elegant simplicity in how they present talent quality and vetting; strong use of whitespace and restraint</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Their site is talent-only in narrative; TeamBees must visually balance talent AND delivery equally</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Accenture</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Scale and authority in trust-building (analyst mentions, global stats, leadership visibility)</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Extremely large marketing budget-driven production values (heavy custom video) that aren't the right Phase 1 investment</w:t>
            </w:r>
          </w:p>
        </w:tc>
      </w:tr>
    </w:tbl>
    <w:p>
      <w:pPr>
        <w:pStyle w:val="Heading2"/>
        <w:spacing w:after="160" w:before="320"/>
      </w:pPr>
      <w:r>
        <w:rPr>
          <w:rFonts w:ascii="Calibri" w:cs="Calibri" w:eastAsia="Calibri" w:hAnsi="Calibri"/>
          <w:b/>
          <w:bCs/>
          <w:color w:val="132B4F"/>
          <w:sz w:val="26"/>
          <w:szCs w:val="26"/>
        </w:rPr>
        <w:t xml:space="preserve">20.2 Mood Board Direction (descriptive)</w:t>
      </w:r>
    </w:p>
    <w:p>
      <w:pPr>
        <w:pStyle w:val="ListParagraph"/>
        <w:numPr>
          <w:ilvl w:val="0"/>
          <w:numId w:val="2"/>
        </w:numPr>
        <w:spacing w:after="90"/>
      </w:pPr>
      <w:r>
        <w:rPr>
          <w:rFonts w:ascii="Calibri" w:cs="Calibri" w:eastAsia="Calibri" w:hAnsi="Calibri"/>
          <w:color w:val="3F3F3F"/>
          <w:sz w:val="21"/>
          <w:szCs w:val="21"/>
        </w:rPr>
        <w:t xml:space="preserve">Palette mood: deep navy fields punctuated by warm gold accents and generous cream-white whitespace — evokes "private bank meets modern tech company," not "generic blue SaaS."</w:t>
      </w:r>
    </w:p>
    <w:p>
      <w:pPr>
        <w:pStyle w:val="ListParagraph"/>
        <w:numPr>
          <w:ilvl w:val="0"/>
          <w:numId w:val="2"/>
        </w:numPr>
        <w:spacing w:after="90"/>
      </w:pPr>
      <w:r>
        <w:rPr>
          <w:rFonts w:ascii="Calibri" w:cs="Calibri" w:eastAsia="Calibri" w:hAnsi="Calibri"/>
          <w:color w:val="3F3F3F"/>
          <w:sz w:val="21"/>
          <w:szCs w:val="21"/>
        </w:rPr>
        <w:t xml:space="preserve">Photography mood: natural light, real working environments (collaborative studio spaces, hybrid meeting rooms, on-site energy/industrial contexts for Energy Bees content specifically), diverse and international casting reflecting the six target regions.</w:t>
      </w:r>
    </w:p>
    <w:p>
      <w:pPr>
        <w:pStyle w:val="ListParagraph"/>
        <w:numPr>
          <w:ilvl w:val="0"/>
          <w:numId w:val="2"/>
        </w:numPr>
        <w:spacing w:after="90"/>
      </w:pPr>
      <w:r>
        <w:rPr>
          <w:rFonts w:ascii="Calibri" w:cs="Calibri" w:eastAsia="Calibri" w:hAnsi="Calibri"/>
          <w:color w:val="3F3F3F"/>
          <w:sz w:val="21"/>
          <w:szCs w:val="21"/>
        </w:rPr>
        <w:t xml:space="preserve">Layout mood: confident, editorial-magazine-like spacing rather than dense brochure-style stacking; type does the heavy lifting for hierarchy, imagery supports rather than decorates.</w:t>
      </w:r>
    </w:p>
    <w:p>
      <w:pPr>
        <w:pStyle w:val="ListParagraph"/>
        <w:numPr>
          <w:ilvl w:val="0"/>
          <w:numId w:val="2"/>
        </w:numPr>
        <w:spacing w:after="90"/>
      </w:pPr>
      <w:r>
        <w:rPr>
          <w:rFonts w:ascii="Calibri" w:cs="Calibri" w:eastAsia="Calibri" w:hAnsi="Calibri"/>
          <w:color w:val="3F3F3F"/>
          <w:sz w:val="21"/>
          <w:szCs w:val="21"/>
        </w:rPr>
        <w:t xml:space="preserve">Data/proof visualization mood: clean, minimal charts (Section 17.5 stat components) in navy/gold rather than default multi-color charting libraries — every data visualization should look native to the brand system.</w:t>
      </w:r>
    </w:p>
    <w:p>
      <w:pPr>
        <w:pStyle w:val="ListParagraph"/>
        <w:numPr>
          <w:ilvl w:val="0"/>
          <w:numId w:val="2"/>
        </w:numPr>
        <w:spacing w:after="90"/>
      </w:pPr>
      <w:r>
        <w:rPr>
          <w:rFonts w:ascii="Calibri" w:cs="Calibri" w:eastAsia="Calibri" w:hAnsi="Calibri"/>
          <w:color w:val="3F3F3F"/>
          <w:sz w:val="21"/>
          <w:szCs w:val="21"/>
        </w:rPr>
        <w:t xml:space="preserve">Micro-motif: a subtle hexagonal/honeycomb geometric pattern used sparingly as background texture on dark CTA bands and section dividers — an abstract, tasteful nod to "Bees" that a B2B enterprise buyer reads as "considered brand system," not "gimmick."</w:t>
      </w:r>
    </w:p>
    <w:p>
      <w:pPr>
        <w:pStyle w:val="Heading2"/>
        <w:spacing w:after="160" w:before="320"/>
      </w:pPr>
      <w:r>
        <w:rPr>
          <w:rFonts w:ascii="Calibri" w:cs="Calibri" w:eastAsia="Calibri" w:hAnsi="Calibri"/>
          <w:b/>
          <w:bCs/>
          <w:color w:val="132B4F"/>
          <w:sz w:val="26"/>
          <w:szCs w:val="26"/>
        </w:rPr>
        <w:t xml:space="preserve">20.3 What the Brand Should Never Look Like</w:t>
      </w:r>
    </w:p>
    <w:p>
      <w:pPr>
        <w:pStyle w:val="ListParagraph"/>
        <w:numPr>
          <w:ilvl w:val="0"/>
          <w:numId w:val="2"/>
        </w:numPr>
        <w:spacing w:after="90"/>
      </w:pPr>
      <w:r>
        <w:rPr>
          <w:rFonts w:ascii="Calibri" w:cs="Calibri" w:eastAsia="Calibri" w:hAnsi="Calibri"/>
          <w:color w:val="3F3F3F"/>
          <w:sz w:val="21"/>
          <w:szCs w:val="21"/>
        </w:rPr>
        <w:t xml:space="preserve">Generic stock-photo IT-services template (default Bootstrap-feeling layouts, cliché handshake photos, blue gradient backgrounds).</w:t>
      </w:r>
    </w:p>
    <w:p>
      <w:pPr>
        <w:pStyle w:val="ListParagraph"/>
        <w:numPr>
          <w:ilvl w:val="0"/>
          <w:numId w:val="2"/>
        </w:numPr>
        <w:spacing w:after="90"/>
      </w:pPr>
      <w:r>
        <w:rPr>
          <w:rFonts w:ascii="Calibri" w:cs="Calibri" w:eastAsia="Calibri" w:hAnsi="Calibri"/>
          <w:color w:val="3F3F3F"/>
          <w:sz w:val="21"/>
          <w:szCs w:val="21"/>
        </w:rPr>
        <w:t xml:space="preserve">Overly playful/startup-y treatment of the "Bees" naming (cartoon bee mascots, honey-yellow-heavy palettes) that undermines enterprise credibility with CIOs and banks.</w:t>
      </w:r>
    </w:p>
    <w:p>
      <w:pPr>
        <w:pStyle w:val="ListParagraph"/>
        <w:numPr>
          <w:ilvl w:val="0"/>
          <w:numId w:val="2"/>
        </w:numPr>
        <w:spacing w:after="90"/>
      </w:pPr>
      <w:r>
        <w:rPr>
          <w:rFonts w:ascii="Calibri" w:cs="Calibri" w:eastAsia="Calibri" w:hAnsi="Calibri"/>
          <w:color w:val="3F3F3F"/>
          <w:sz w:val="21"/>
          <w:szCs w:val="21"/>
        </w:rPr>
        <w:t xml:space="preserve">Cluttered mega-menus or homepages that try to say everything at once — restraint is a differentiator against denser legacy IT-services competitors.</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
      </w:r>
      <w:r>
        <w:rPr>
          <w:rFonts w:ascii="Calibri" w:cs="Calibri" w:eastAsia="Calibri" w:hAnsi="Calibri"/>
          <w:b/>
          <w:bCs/>
          <w:color w:val="0B1F3A"/>
          <w:sz w:val="32"/>
          <w:szCs w:val="32"/>
        </w:rPr>
        <w:t xml:space="preserve">PART III</w:t>
      </w:r>
    </w:p>
    <w:p>
      <w:pPr>
        <w:pStyle w:val="Heading2"/>
        <w:spacing w:after="160" w:before="320"/>
      </w:pPr>
      <w:r>
        <w:rPr>
          <w:rFonts w:ascii="Calibri" w:cs="Calibri" w:eastAsia="Calibri" w:hAnsi="Calibri"/>
          <w:b/>
          <w:bCs/>
          <w:color w:val="132B4F"/>
          <w:sz w:val="26"/>
          <w:szCs w:val="26"/>
        </w:rPr>
        <w:t xml:space="preserve">Page-Level Wireframes &amp; Templates</w:t>
      </w:r>
    </w:p>
    <w:p>
      <w:pPr>
        <w:spacing w:after="160" w:line="300"/>
      </w:pPr>
      <w:r>
        <w:rPr>
          <w:rFonts w:ascii="Calibri" w:cs="Calibri" w:eastAsia="Calibri" w:hAnsi="Calibri"/>
          <w:b w:val="false"/>
          <w:bCs w:val="false"/>
          <w:i w:val="false"/>
          <w:iCs w:val="false"/>
          <w:color w:val="3F3F3F"/>
          <w:sz w:val="21"/>
          <w:szCs w:val="21"/>
        </w:rPr>
        <w:t xml:space="preserve">Every wireframe below is described top-to-bottom in build order, using the component library from Section 17. Draft copy is included inline where it accelerates content production; full copy library is in Section 33.</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21  </w:t>
      </w:r>
      <w:r>
        <w:rPr>
          <w:rFonts w:ascii="Calibri" w:cs="Calibri" w:eastAsia="Calibri" w:hAnsi="Calibri"/>
          <w:b/>
          <w:bCs/>
          <w:color w:val="0B1F3A"/>
          <w:sz w:val="32"/>
          <w:szCs w:val="32"/>
        </w:rPr>
        <w:t xml:space="preserve">21. Homepage Wireframe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Section</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Content &amp; behavior</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Header</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Sticky nav (Section 3.1); transparent over hero, solid navy on scroll</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2</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Hero</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Display-size H1, one-sentence subhead, dual CTA (primary: "Book a Consultation"; secondary: "Explore Our Practices"), supporting visual (photography or abstract hex-motif graphic). Draft H1: "Talent and technology, from the same partner." Draft subhead: "Seven specialist practices. Six global regions. One team that can staff it, build it, test it, and run it."</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3</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Proof bar</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4 stat tiles, e.g., "6 regions," "7 specialist practices," "X,000+ professionals placed," "X% client retention" — exact figures to be sourced/validated by TeamBees leadership before launch</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4</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Persona fork</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3-way visual fork: "I need to hire" → Talent Bees / "I need to build" → Digital, AI, Quality, ServiceNow, Energy / "I'm a candidate" → Careers — directly serves the dual client/candidate mandate within the first screen</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5</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Practices grid</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7 practice cards (icon, name, 1-line descriptor, link) in a 3-4 column responsive grid, heading: "Seven practices. One accountable partner."</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6</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Featured case study</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Large-format single case study block: client/industry tag, headline outcome stat, 2-sentence summary, "Read the full story" link</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7</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Industry strip</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Horizontal scroll of industry cards (icon + name + link) — signals breadth without a full page-length section</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8</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AI Bees spotlight</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Dedicated split-content block highlighting AI Bees specifically, given its strategic differentiation importance: headline, 2–3 proof points, CTA to /practices/ai-bees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9</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Global presence</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Map or region-card row (6 regions) with a 1-line compliance/localization note per region, linking to Locations hub</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10</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Testimonial</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Single large-format client quote with name/title/company/region</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11</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Insights preview</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3 latest blog/insight cards + "View all Insights" link</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12</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Careers spotlight</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Split-content block: employee photo/quote, "Join a team building what's next" headline, "View Open Roles" CTA — reinforces candidate side of the mandate</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13</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Final CTA band</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Full-width dark navy band, headline ("Let's build your team"), primary CTA, secondary link to case studies</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14</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Footer</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Full mega-footer per Section 32</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color="FFFFFF" w:sz="0"/>
              <w:left w:val="single" w:color="C6963A" w:sz="24"/>
              <w:bottom w:val="none" w:color="FFFFFF" w:sz="0"/>
              <w:right w:val="none" w:color="FFFFFF" w:sz="0"/>
            </w:tcBorders>
            <w:shd w:fill="FBF6EA" w:color="FBF6EA" w:val="clear"/>
            <w:tcMar>
              <w:top w:type="dxa" w:w="160"/>
              <w:left w:type="dxa" w:w="200"/>
              <w:bottom w:type="dxa" w:w="160"/>
              <w:right w:type="dxa" w:w="200"/>
            </w:tcMar>
          </w:tcPr>
          <w:p>
            <w:pPr>
              <w:spacing w:after="80"/>
            </w:pPr>
            <w:r>
              <w:rPr>
                <w:rFonts w:ascii="Calibri" w:cs="Calibri" w:eastAsia="Calibri" w:hAnsi="Calibri"/>
                <w:b/>
                <w:bCs/>
                <w:color w:val="0B1F3A"/>
                <w:sz w:val="21"/>
                <w:szCs w:val="21"/>
              </w:rPr>
              <w:t xml:space="preserve">CRO note</w:t>
            </w:r>
          </w:p>
          <w:p>
            <w:r>
              <w:rPr>
                <w:rFonts w:ascii="Calibri" w:cs="Calibri" w:eastAsia="Calibri" w:hAnsi="Calibri"/>
                <w:color w:val="3F3F3F"/>
                <w:sz w:val="20"/>
                <w:szCs w:val="20"/>
              </w:rPr>
              <w:t xml:space="preserve">Sections 2–5 must render within the first 1.5 screens on both desktop and mobile — this is what delivers the 10-Second Trust Test from Section 4.1. If stakeholder review adds more homepage sections later, they must be inserted after Section 6, never before it.</w:t>
            </w:r>
          </w:p>
        </w:tc>
      </w:tr>
    </w:tbl>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22  </w:t>
      </w:r>
      <w:r>
        <w:rPr>
          <w:rFonts w:ascii="Calibri" w:cs="Calibri" w:eastAsia="Calibri" w:hAnsi="Calibri"/>
          <w:b/>
          <w:bCs/>
          <w:color w:val="0B1F3A"/>
          <w:sz w:val="32"/>
          <w:szCs w:val="32"/>
        </w:rPr>
        <w:t xml:space="preserve">22. Practice Pages (7 Bees) — Wireframe &amp; Copy</w:t>
      </w:r>
    </w:p>
    <w:p>
      <w:pPr>
        <w:pStyle w:val="Heading2"/>
        <w:spacing w:after="160" w:before="320"/>
      </w:pPr>
      <w:r>
        <w:rPr>
          <w:rFonts w:ascii="Calibri" w:cs="Calibri" w:eastAsia="Calibri" w:hAnsi="Calibri"/>
          <w:b/>
          <w:bCs/>
          <w:color w:val="132B4F"/>
          <w:sz w:val="26"/>
          <w:szCs w:val="26"/>
        </w:rPr>
        <w:t xml:space="preserve">22.1 Practice Hub Template (applies to all 7 practices)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Section</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Content &amp; behavior</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Breadcrumb + hero</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Home / Practices / {Practice Name}. H1 states the practice's outcome promise, not just its name (e.g., not "AI Bees" alone, but "AI Bees — Build and deploy production AI, fast")</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2</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Proof bar</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3 stats specific to this practice (e.g., for Quality Bees: defect-capture rate, test-cycle-time reduction, automation coverage achieved)</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3</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Sub-service grid</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Cards for each sub-service under this practice, linking to Level-3 sub-service pages</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4</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"How we work" split content</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2–3 short blocks describing engagement model (e.g., staff-augmented pod vs. managed service vs. project-based) with a simple visual/diagram</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5</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Case studies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2–3 filtered case-study cards tagged to this practice</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6</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Industry relevance</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Chip row: "See how {Practice} works for: Banking, Healthcare, Energy..." linking to Practice×Industry pages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7</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Testimonial</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Practice-specific quote where available; falls back to a company-wide quote if none exists yet</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8</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Related practices</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"Often paired with" — 2 related practice cards (e.g., AI Bees hub also surfaces Quality Bees "AI Testing" and Digital Bees "Data Engineering")</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9</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CTA band</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Practice-specific CTA (e.g., "Talk to an AI Delivery Lead")</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10</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Footer</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Standard mega-footer</w:t>
            </w:r>
          </w:p>
        </w:tc>
      </w:tr>
    </w:tbl>
    <w:p>
      <w:pPr>
        <w:pStyle w:val="Heading2"/>
        <w:spacing w:after="160" w:before="320"/>
      </w:pPr>
      <w:r>
        <w:rPr>
          <w:rFonts w:ascii="Calibri" w:cs="Calibri" w:eastAsia="Calibri" w:hAnsi="Calibri"/>
          <w:b/>
          <w:bCs/>
          <w:color w:val="132B4F"/>
          <w:sz w:val="26"/>
          <w:szCs w:val="26"/>
        </w:rPr>
        <w:t xml:space="preserve">22.2 Draft Copy — Practice Hero Headlines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Practice</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Draft H1</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Draft subhead</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Talent Bees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Talent Bees — Hire the specialists you need, on your timeline</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IT and non-IT staffing, executive search, contract staffing, staff augmentation, and RPO across six global regions.</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Digital Bees</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Digital Bees — Engineering that ships</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Software development, digital transformation, cloud, DevOps, product engineering, UI/UX, and data engineering, delivered by teams that integrate into how you already work.</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AI Bees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AI Bees — From AI strategy to production, faster</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AI agents, generative AI, LLM development, automation, consulting, and integration — built by teams who ship AI into real production systems, not just prototypes.</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Marketing Bees</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Marketing Bees — Marketing execution, on demand</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Staff-augmented marketing teams and full-service delivery across SEO, PPC, content, design, video, automation, HubSpot, and LinkedIn.</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Quality Bees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Quality Bees — Ship with confidence</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Manual, automation, performance, security, and AI testing that catches what matters before your customers do.</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ServiceNow Bees</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ServiceNow Bees — Certified ServiceNow delivery, end to end</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Consulting, development, implementation, support, and staffing across the ServiceNow platform.</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Energy Bees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Energy Bees — Specialist consulting for energy trading platforms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Deep, named expertise in Endur, Allegro, RightAngle, and TriplePoint, plus energy trading consulting from people who know the platforms and the market.</w:t>
            </w:r>
          </w:p>
        </w:tc>
      </w:tr>
    </w:tbl>
    <w:p>
      <w:pPr>
        <w:pStyle w:val="Heading2"/>
        <w:spacing w:after="160" w:before="320"/>
      </w:pPr>
      <w:r>
        <w:rPr>
          <w:rFonts w:ascii="Calibri" w:cs="Calibri" w:eastAsia="Calibri" w:hAnsi="Calibri"/>
          <w:b/>
          <w:bCs/>
          <w:color w:val="132B4F"/>
          <w:sz w:val="26"/>
          <w:szCs w:val="26"/>
        </w:rPr>
        <w:t xml:space="preserve">22.3 Sub-Service Page Template</w:t>
      </w:r>
    </w:p>
    <w:p>
      <w:pPr>
        <w:spacing w:after="160" w:line="300"/>
      </w:pPr>
      <w:r>
        <w:rPr>
          <w:rFonts w:ascii="Calibri" w:cs="Calibri" w:eastAsia="Calibri" w:hAnsi="Calibri"/>
          <w:b w:val="false"/>
          <w:bCs w:val="false"/>
          <w:i w:val="false"/>
          <w:iCs w:val="false"/>
          <w:color w:val="3F3F3F"/>
          <w:sz w:val="21"/>
          <w:szCs w:val="21"/>
        </w:rPr>
        <w:t xml:space="preserve">A lighter version of the hub template: breadcrumb (Home / Practices / {Practice} / {Sub-service}), a focused hero, 2 proof points instead of a full proof bar, a "what's included" bullet list, one relevant case study, and a CTA. Sub-service pages intentionally stay leaner than hub pages — they are typically arrived at via search, already knowing what they want, and should convert quickly rather than re-explain the whole practice.</w:t>
      </w:r>
    </w:p>
    <w:p>
      <w:pPr>
        <w:pStyle w:val="Heading2"/>
        <w:spacing w:after="160" w:before="320"/>
      </w:pPr>
      <w:r>
        <w:rPr>
          <w:rFonts w:ascii="Calibri" w:cs="Calibri" w:eastAsia="Calibri" w:hAnsi="Calibri"/>
          <w:b/>
          <w:bCs/>
          <w:color w:val="132B4F"/>
          <w:sz w:val="26"/>
          <w:szCs w:val="26"/>
        </w:rPr>
        <w:t xml:space="preserve">22.4 Example: AI Bees Sub-Service — "AI Agents" Page Outline</w:t>
      </w:r>
    </w:p>
    <w:p>
      <w:pPr>
        <w:pStyle w:val="ListParagraph"/>
        <w:numPr>
          <w:ilvl w:val="0"/>
          <w:numId w:val="2"/>
        </w:numPr>
        <w:spacing w:after="90"/>
      </w:pPr>
      <w:r>
        <w:rPr>
          <w:rFonts w:ascii="Calibri" w:cs="Calibri" w:eastAsia="Calibri" w:hAnsi="Calibri"/>
          <w:color w:val="3F3F3F"/>
          <w:sz w:val="21"/>
          <w:szCs w:val="21"/>
        </w:rPr>
        <w:t xml:space="preserve">H1: "AI Agent development that goes into production, not just a demo"</w:t>
      </w:r>
    </w:p>
    <w:p>
      <w:pPr>
        <w:pStyle w:val="ListParagraph"/>
        <w:numPr>
          <w:ilvl w:val="0"/>
          <w:numId w:val="2"/>
        </w:numPr>
        <w:spacing w:after="90"/>
      </w:pPr>
      <w:r>
        <w:rPr>
          <w:rFonts w:ascii="Calibri" w:cs="Calibri" w:eastAsia="Calibri" w:hAnsi="Calibri"/>
          <w:color w:val="3F3F3F"/>
          <w:sz w:val="21"/>
          <w:szCs w:val="21"/>
        </w:rPr>
        <w:t xml:space="preserve">"What's included": Use-case discovery &amp; feasibility scoping · Agent architecture &amp; orchestration design · LLM selection &amp; fine-tuning guidance · Integration with existing systems (CRM, ServiceNow, data platforms) · Evaluation, guardrails, and monitoring · Post-launch iteration</w:t>
      </w:r>
    </w:p>
    <w:p>
      <w:pPr>
        <w:pStyle w:val="ListParagraph"/>
        <w:numPr>
          <w:ilvl w:val="0"/>
          <w:numId w:val="2"/>
        </w:numPr>
        <w:spacing w:after="90"/>
      </w:pPr>
      <w:r>
        <w:rPr>
          <w:rFonts w:ascii="Calibri" w:cs="Calibri" w:eastAsia="Calibri" w:hAnsi="Calibri"/>
          <w:color w:val="3F3F3F"/>
          <w:sz w:val="21"/>
          <w:szCs w:val="21"/>
        </w:rPr>
        <w:t xml:space="preserve">Proof points: e.g., "Deployed X production AI agents across financial services and SaaS clients"</w:t>
      </w:r>
    </w:p>
    <w:p>
      <w:pPr>
        <w:pStyle w:val="ListParagraph"/>
        <w:numPr>
          <w:ilvl w:val="0"/>
          <w:numId w:val="2"/>
        </w:numPr>
        <w:spacing w:after="90"/>
      </w:pPr>
      <w:r>
        <w:rPr>
          <w:rFonts w:ascii="Calibri" w:cs="Calibri" w:eastAsia="Calibri" w:hAnsi="Calibri"/>
          <w:color w:val="3F3F3F"/>
          <w:sz w:val="21"/>
          <w:szCs w:val="21"/>
        </w:rPr>
        <w:t xml:space="preserve">Related case study: a specific AI agent deployment case study</w:t>
      </w:r>
    </w:p>
    <w:p>
      <w:pPr>
        <w:pStyle w:val="ListParagraph"/>
        <w:numPr>
          <w:ilvl w:val="0"/>
          <w:numId w:val="2"/>
        </w:numPr>
        <w:spacing w:after="90"/>
      </w:pPr>
      <w:r>
        <w:rPr>
          <w:rFonts w:ascii="Calibri" w:cs="Calibri" w:eastAsia="Calibri" w:hAnsi="Calibri"/>
          <w:color w:val="3F3F3F"/>
          <w:sz w:val="21"/>
          <w:szCs w:val="21"/>
        </w:rPr>
        <w:t xml:space="preserve">CTA: "Scope an AI Agent Use Case"</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23  </w:t>
      </w:r>
      <w:r>
        <w:rPr>
          <w:rFonts w:ascii="Calibri" w:cs="Calibri" w:eastAsia="Calibri" w:hAnsi="Calibri"/>
          <w:b/>
          <w:bCs/>
          <w:color w:val="0B1F3A"/>
          <w:sz w:val="32"/>
          <w:szCs w:val="32"/>
        </w:rPr>
        <w:t xml:space="preserve">23. Industry Pages — Wireframe &amp; Copy</w:t>
      </w:r>
    </w:p>
    <w:p>
      <w:pPr>
        <w:pStyle w:val="Heading2"/>
        <w:spacing w:after="160" w:before="320"/>
      </w:pPr>
      <w:r>
        <w:rPr>
          <w:rFonts w:ascii="Calibri" w:cs="Calibri" w:eastAsia="Calibri" w:hAnsi="Calibri"/>
          <w:b/>
          <w:bCs/>
          <w:color w:val="132B4F"/>
          <w:sz w:val="26"/>
          <w:szCs w:val="26"/>
        </w:rPr>
        <w:t xml:space="preserve">23.1 Industry Hub Template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Section</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Content &amp; behavior</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Breadcrumb + hero</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Home / Industries / {Industry}. H1 names the industry's core pressure point (e.g., "Banking &amp; Financial Services — Modernize without compromising compliance")</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2</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Proof bar</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3 industry-specific stats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3</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Relevant practices grid</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Which of the 7 practices are most relevant to this industry, with 1-line context each (e.g., on the Energy industry page: Energy Bees, Digital Bees, Quality Bees surfaced first; Talent Bees and Marketing Bees shown but de-prioritized)</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4</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Industry challenges block</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3–4 named challenges specific to the industry (e.g., for Healthcare: interoperability, HIPAA compliance, legacy system modernization, clinician-facing UX) each linked to the practice that addresses it</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5</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Case studies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Filtered to this industry tag</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6</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Compliance/regulatory note</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Where relevant (BFSI, Healthcare, Energy, Public Sector): a short, credible compliance-fluency block (e.g., "We build with HIPAA, SOC 2, and data-residency requirements as defaults, not afterthoughts")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7</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Testimonial</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Industry-specific quote</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8</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CTA band</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"Talk to a {Industry} Specialist"</w:t>
            </w:r>
          </w:p>
        </w:tc>
      </w:tr>
    </w:tbl>
    <w:p>
      <w:pPr>
        <w:pStyle w:val="Heading2"/>
        <w:spacing w:after="160" w:before="320"/>
      </w:pPr>
      <w:r>
        <w:rPr>
          <w:rFonts w:ascii="Calibri" w:cs="Calibri" w:eastAsia="Calibri" w:hAnsi="Calibri"/>
          <w:b/>
          <w:bCs/>
          <w:color w:val="132B4F"/>
          <w:sz w:val="26"/>
          <w:szCs w:val="26"/>
        </w:rPr>
        <w:t xml:space="preserve">23.2 Practice × Industry Page Template</w:t>
      </w:r>
    </w:p>
    <w:p>
      <w:pPr>
        <w:spacing w:after="160" w:line="300"/>
      </w:pPr>
      <w:r>
        <w:rPr>
          <w:rFonts w:ascii="Calibri" w:cs="Calibri" w:eastAsia="Calibri" w:hAnsi="Calibri"/>
          <w:b w:val="false"/>
          <w:bCs w:val="false"/>
          <w:i w:val="false"/>
          <w:iCs w:val="false"/>
          <w:color w:val="3F3F3F"/>
          <w:sz w:val="21"/>
          <w:szCs w:val="21"/>
        </w:rPr>
        <w:t xml:space="preserve">A narrower combination page (e.g., "AI Testing for Healthcare") used to capture long-tail search intent. Structure: hero naming both the practice and industry explicitly, 1 proof point, a short "why this combination matters" paragraph (unique per page, per the anti-thin-content rule in Section 7.2), 1 relevant case study, and a CTA. These pages are the highest-volume template in the 300+ page matrix and are the most important to keep genuinely differentiated rather than templated boilerplate.</w:t>
      </w:r>
    </w:p>
    <w:p>
      <w:pPr>
        <w:pStyle w:val="Heading2"/>
        <w:spacing w:after="160" w:before="320"/>
      </w:pPr>
      <w:r>
        <w:rPr>
          <w:rFonts w:ascii="Calibri" w:cs="Calibri" w:eastAsia="Calibri" w:hAnsi="Calibri"/>
          <w:b/>
          <w:bCs/>
          <w:color w:val="132B4F"/>
          <w:sz w:val="26"/>
          <w:szCs w:val="26"/>
        </w:rPr>
        <w:t xml:space="preserve">23.3 Draft Copy Examples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Industry</w:t>
            </w:r>
          </w:p>
        </w:tc>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Draft challenge framing</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Banking &amp; Financial Services</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Legacy core systems, strict compliance (SOX, PCI-DSS, regional banking regulation), and the need to modernize customer experience without introducing risk</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Healthcare &amp; Life Sciences</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Interoperability across fragmented systems, HIPAA/GDPR data handling, and clinician-facing UX that can't afford friction</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Energy &amp; Utilities</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Trading-platform depth (Endur, Allegro, RightAngle, TriplePoint), regulatory reporting accuracy, and modernization of control-room and back-office systems</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SaaS &amp; Technology</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Speed to ship, scaling engineering headcount without diluting product quality, and integrating AI features competitively</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Retail &amp; eCommerce</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Peak-season scalability, omnichannel data consistency, and marketing execution velocity</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Public Sector &amp; Government</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Procurement complexity, security/compliance rigor, and legacy modernization on fixed budgets</w:t>
            </w:r>
          </w:p>
        </w:tc>
      </w:tr>
    </w:tbl>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24  </w:t>
      </w:r>
      <w:r>
        <w:rPr>
          <w:rFonts w:ascii="Calibri" w:cs="Calibri" w:eastAsia="Calibri" w:hAnsi="Calibri"/>
          <w:b/>
          <w:bCs/>
          <w:color w:val="0B1F3A"/>
          <w:sz w:val="32"/>
          <w:szCs w:val="32"/>
        </w:rPr>
        <w:t xml:space="preserve">24. Technology Pages — Wireframe &amp; Copy</w:t>
      </w:r>
    </w:p>
    <w:p>
      <w:pPr>
        <w:pStyle w:val="Heading2"/>
        <w:spacing w:after="160" w:before="320"/>
      </w:pPr>
      <w:r>
        <w:rPr>
          <w:rFonts w:ascii="Calibri" w:cs="Calibri" w:eastAsia="Calibri" w:hAnsi="Calibri"/>
          <w:b/>
          <w:bCs/>
          <w:color w:val="132B4F"/>
          <w:sz w:val="26"/>
          <w:szCs w:val="26"/>
        </w:rPr>
        <w:t xml:space="preserve">24.1 Purpose</w:t>
      </w:r>
    </w:p>
    <w:p>
      <w:pPr>
        <w:spacing w:after="160" w:line="300"/>
      </w:pPr>
      <w:r>
        <w:rPr>
          <w:rFonts w:ascii="Calibri" w:cs="Calibri" w:eastAsia="Calibri" w:hAnsi="Calibri"/>
          <w:b w:val="false"/>
          <w:bCs w:val="false"/>
          <w:i w:val="false"/>
          <w:iCs w:val="false"/>
          <w:color w:val="3F3F3F"/>
          <w:sz w:val="21"/>
          <w:szCs w:val="21"/>
        </w:rPr>
        <w:t xml:space="preserve">Technology pages capture buyers who are searching by platform/tool name rather than by practice or industry ("ServiceNow implementation partner," "Endur consultants") — a distinct and often more bottom-funnel search intent than practice pages, since naming a specific platform usually signals an active, scoped project.</w:t>
      </w:r>
    </w:p>
    <w:p>
      <w:pPr>
        <w:pStyle w:val="Heading2"/>
        <w:spacing w:after="160" w:before="320"/>
      </w:pPr>
      <w:r>
        <w:rPr>
          <w:rFonts w:ascii="Calibri" w:cs="Calibri" w:eastAsia="Calibri" w:hAnsi="Calibri"/>
          <w:b/>
          <w:bCs/>
          <w:color w:val="132B4F"/>
          <w:sz w:val="26"/>
          <w:szCs w:val="26"/>
        </w:rPr>
        <w:t xml:space="preserve">24.2 Technology Page Template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Section</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Content &amp; behavior</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Hero</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Platform name + TeamBees' relationship to it (partner tier/certification if applicable), e.g., "ServiceNow — Certified implementation, development, and staffing partner"</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2</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Proof bar</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Certifications/partner tier, number of certified consultants, relevant deployment stats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3</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Capability breakdown</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What TeamBees does on this platform specifically (maps to ServiceNow Bees or Energy Bees sub-services)</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4</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Modules/use cases</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For ServiceNow: ITSM, CSM, HR Service Delivery, ITOM, etc. For Energy platforms: risk management, trading &amp; scheduling, settlements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5</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Case studies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Filtered to this technology tag</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6</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Talent availability note</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Bridges to Talent Bees: "Need certified {platform} talent on your team? See our staffing model."</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7</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CTA band</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"Talk to a {Platform} Specialist"</w:t>
            </w:r>
          </w:p>
        </w:tc>
      </w:tr>
    </w:tbl>
    <w:p>
      <w:pPr>
        <w:pStyle w:val="Heading2"/>
        <w:spacing w:after="160" w:before="320"/>
      </w:pPr>
      <w:r>
        <w:rPr>
          <w:rFonts w:ascii="Calibri" w:cs="Calibri" w:eastAsia="Calibri" w:hAnsi="Calibri"/>
          <w:b/>
          <w:bCs/>
          <w:color w:val="132B4F"/>
          <w:sz w:val="26"/>
          <w:szCs w:val="26"/>
        </w:rPr>
        <w:t xml:space="preserve">24.3 Technology Page Roadmap (initial 20)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Category</w:t>
            </w:r>
          </w:p>
        </w:tc>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Pages</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ServiceNow modules</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ServiceNow (hub), ITSM, CSM, ITOM, HR Service Delivery, App Engine</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Energy trading platforms</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Endur, Allegro, RightAngle, TriplePoint</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AI/data stack</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LLM platforms (OpenAI/Anthropic/Azure OpenAI integration), Vector databases &amp; RAG architecture, MLOps tooling</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Digital/cloud stack</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AWS, Azure, GCP, Kubernetes/DevOps toolchain, React/modern frontend, Salesforce (if relevant to Digital Bees delivery)</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QA tooling</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Test automation frameworks (Selenium/Playwright/Cypress class), performance testing tools, security testing tooling</w:t>
            </w:r>
          </w:p>
        </w:tc>
      </w:tr>
    </w:tbl>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25  </w:t>
      </w:r>
      <w:r>
        <w:rPr>
          <w:rFonts w:ascii="Calibri" w:cs="Calibri" w:eastAsia="Calibri" w:hAnsi="Calibri"/>
          <w:b/>
          <w:bCs/>
          <w:color w:val="0B1F3A"/>
          <w:sz w:val="32"/>
          <w:szCs w:val="32"/>
        </w:rPr>
        <w:t xml:space="preserve">25. Case Study Template</w:t>
      </w:r>
    </w:p>
    <w:p>
      <w:pPr>
        <w:pStyle w:val="Heading2"/>
        <w:spacing w:after="160" w:before="320"/>
      </w:pPr>
      <w:r>
        <w:rPr>
          <w:rFonts w:ascii="Calibri" w:cs="Calibri" w:eastAsia="Calibri" w:hAnsi="Calibri"/>
          <w:b/>
          <w:bCs/>
          <w:color w:val="132B4F"/>
          <w:sz w:val="26"/>
          <w:szCs w:val="26"/>
        </w:rPr>
        <w:t xml:space="preserve">25.1 Fixed Structure (every case study, no exceptions)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Section</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Content</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Header block</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Client name (or anonymized descriptor per Section 10.3), industry tag, region tag, practice tag(s), engagement duration</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2</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Headline result</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One quantified outcome stated as the page's H1-adjacent hero stat (e.g., "40% reduction in time-to-hire")</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3</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Challenge</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2–3 paragraphs: the client's situation and specific pressure point — written from the client's perspective, not a TeamBees capability pitch</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4</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Approach</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What TeamBees actually did: team composition, methodology/framework used, timeline, key decisions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5</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Results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3–5 quantified results in a stat-tile row, plus 1–2 qualitative outcomes</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6</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Testimonial</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Named quote where permitted; anonymized attribution otherwise</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7</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Related</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2–3 related case studies (same industry or practice) + CTA to the relevant practice page</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8</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CTA band</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"Get results like this" → Book a Consultation</w:t>
            </w:r>
          </w:p>
        </w:tc>
      </w:tr>
    </w:tbl>
    <w:p>
      <w:pPr>
        <w:pStyle w:val="Heading2"/>
        <w:spacing w:after="160" w:before="320"/>
      </w:pPr>
      <w:r>
        <w:rPr>
          <w:rFonts w:ascii="Calibri" w:cs="Calibri" w:eastAsia="Calibri" w:hAnsi="Calibri"/>
          <w:b/>
          <w:bCs/>
          <w:color w:val="132B4F"/>
          <w:sz w:val="26"/>
          <w:szCs w:val="26"/>
        </w:rPr>
        <w:t xml:space="preserve">25.2 Metadata &amp; Taxonomy (required for every case study, powers filtering and internal linking)</w:t>
      </w:r>
    </w:p>
    <w:p>
      <w:pPr>
        <w:pStyle w:val="ListParagraph"/>
        <w:numPr>
          <w:ilvl w:val="0"/>
          <w:numId w:val="2"/>
        </w:numPr>
        <w:spacing w:after="90"/>
      </w:pPr>
      <w:r>
        <w:rPr>
          <w:rFonts w:ascii="Calibri" w:cs="Calibri" w:eastAsia="Calibri" w:hAnsi="Calibri"/>
          <w:color w:val="3F3F3F"/>
          <w:sz w:val="21"/>
          <w:szCs w:val="21"/>
        </w:rPr>
        <w:t xml:space="preserve">Practice(s) involved (can be multiple, e.g., AI Bees + Quality Bees)</w:t>
      </w:r>
    </w:p>
    <w:p>
      <w:pPr>
        <w:pStyle w:val="ListParagraph"/>
        <w:numPr>
          <w:ilvl w:val="0"/>
          <w:numId w:val="2"/>
        </w:numPr>
        <w:spacing w:after="90"/>
      </w:pPr>
      <w:r>
        <w:rPr>
          <w:rFonts w:ascii="Calibri" w:cs="Calibri" w:eastAsia="Calibri" w:hAnsi="Calibri"/>
          <w:color w:val="3F3F3F"/>
          <w:sz w:val="21"/>
          <w:szCs w:val="21"/>
        </w:rPr>
        <w:t xml:space="preserve">Industry</w:t>
      </w:r>
    </w:p>
    <w:p>
      <w:pPr>
        <w:pStyle w:val="ListParagraph"/>
        <w:numPr>
          <w:ilvl w:val="0"/>
          <w:numId w:val="2"/>
        </w:numPr>
        <w:spacing w:after="90"/>
      </w:pPr>
      <w:r>
        <w:rPr>
          <w:rFonts w:ascii="Calibri" w:cs="Calibri" w:eastAsia="Calibri" w:hAnsi="Calibri"/>
          <w:color w:val="3F3F3F"/>
          <w:sz w:val="21"/>
          <w:szCs w:val="21"/>
        </w:rPr>
        <w:t xml:space="preserve">Region</w:t>
      </w:r>
    </w:p>
    <w:p>
      <w:pPr>
        <w:pStyle w:val="ListParagraph"/>
        <w:numPr>
          <w:ilvl w:val="0"/>
          <w:numId w:val="2"/>
        </w:numPr>
        <w:spacing w:after="90"/>
      </w:pPr>
      <w:r>
        <w:rPr>
          <w:rFonts w:ascii="Calibri" w:cs="Calibri" w:eastAsia="Calibri" w:hAnsi="Calibri"/>
          <w:color w:val="3F3F3F"/>
          <w:sz w:val="21"/>
          <w:szCs w:val="21"/>
        </w:rPr>
        <w:t xml:space="preserve">Technology/platform (if applicable)</w:t>
      </w:r>
    </w:p>
    <w:p>
      <w:pPr>
        <w:pStyle w:val="ListParagraph"/>
        <w:numPr>
          <w:ilvl w:val="0"/>
          <w:numId w:val="2"/>
        </w:numPr>
        <w:spacing w:after="90"/>
      </w:pPr>
      <w:r>
        <w:rPr>
          <w:rFonts w:ascii="Calibri" w:cs="Calibri" w:eastAsia="Calibri" w:hAnsi="Calibri"/>
          <w:color w:val="3F3F3F"/>
          <w:sz w:val="21"/>
          <w:szCs w:val="21"/>
        </w:rPr>
        <w:t xml:space="preserve">Company size band (SMB / mid-market / enterprise) — useful for buyer self-identification</w:t>
      </w:r>
    </w:p>
    <w:p>
      <w:pPr>
        <w:pStyle w:val="ListParagraph"/>
        <w:numPr>
          <w:ilvl w:val="0"/>
          <w:numId w:val="2"/>
        </w:numPr>
        <w:spacing w:after="90"/>
      </w:pPr>
      <w:r>
        <w:rPr>
          <w:rFonts w:ascii="Calibri" w:cs="Calibri" w:eastAsia="Calibri" w:hAnsi="Calibri"/>
          <w:color w:val="3F3F3F"/>
          <w:sz w:val="21"/>
          <w:szCs w:val="21"/>
        </w:rPr>
        <w:t xml:space="preserve">Content type flag for repurposing: full case study, one-pager (PDF), sales-deck slide version</w:t>
      </w:r>
    </w:p>
    <w:p>
      <w:pPr>
        <w:pStyle w:val="Heading2"/>
        <w:spacing w:after="160" w:before="320"/>
      </w:pPr>
      <w:r>
        <w:rPr>
          <w:rFonts w:ascii="Calibri" w:cs="Calibri" w:eastAsia="Calibri" w:hAnsi="Calibri"/>
          <w:b/>
          <w:bCs/>
          <w:color w:val="132B4F"/>
          <w:sz w:val="26"/>
          <w:szCs w:val="26"/>
        </w:rPr>
        <w:t xml:space="preserve">25.3 Production Workflow</w:t>
      </w:r>
    </w:p>
    <w:p>
      <w:pPr>
        <w:pStyle w:val="ListParagraph"/>
        <w:numPr>
          <w:ilvl w:val="0"/>
          <w:numId w:val="2"/>
        </w:numPr>
        <w:spacing w:after="90"/>
      </w:pPr>
      <w:r>
        <w:rPr>
          <w:rFonts w:ascii="Calibri" w:cs="Calibri" w:eastAsia="Calibri" w:hAnsi="Calibri"/>
          <w:color w:val="3F3F3F"/>
          <w:sz w:val="21"/>
          <w:szCs w:val="21"/>
        </w:rPr>
        <w:t xml:space="preserve">Every case study requires client sign-off before publish; a lightweight approval workflow (draft → client review → legal check on quantified claims → publish) should be built into the CMS process, not handled over email ad hoc.</w:t>
      </w:r>
    </w:p>
    <w:p>
      <w:pPr>
        <w:pStyle w:val="ListParagraph"/>
        <w:numPr>
          <w:ilvl w:val="0"/>
          <w:numId w:val="2"/>
        </w:numPr>
        <w:spacing w:after="90"/>
      </w:pPr>
      <w:r>
        <w:rPr>
          <w:rFonts w:ascii="Calibri" w:cs="Calibri" w:eastAsia="Calibri" w:hAnsi="Calibri"/>
          <w:color w:val="3F3F3F"/>
          <w:sz w:val="21"/>
          <w:szCs w:val="21"/>
        </w:rPr>
        <w:t xml:space="preserve">Each case study should be produced once and syndicated three ways: full web page, one-page PDF (for sales use), and a short-form version for LinkedIn/social — this matches the volume needed to keep the 300+ page matrix populated with genuine proof, not just capability copy.</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26  </w:t>
      </w:r>
      <w:r>
        <w:rPr>
          <w:rFonts w:ascii="Calibri" w:cs="Calibri" w:eastAsia="Calibri" w:hAnsi="Calibri"/>
          <w:b/>
          <w:bCs/>
          <w:color w:val="0B1F3A"/>
          <w:sz w:val="32"/>
          <w:szCs w:val="32"/>
        </w:rPr>
        <w:t xml:space="preserve">26. Company, Careers, Locations &amp; Contact Pages</w:t>
      </w:r>
    </w:p>
    <w:p>
      <w:pPr>
        <w:pStyle w:val="Heading2"/>
        <w:spacing w:after="160" w:before="320"/>
      </w:pPr>
      <w:r>
        <w:rPr>
          <w:rFonts w:ascii="Calibri" w:cs="Calibri" w:eastAsia="Calibri" w:hAnsi="Calibri"/>
          <w:b/>
          <w:bCs/>
          <w:color w:val="132B4F"/>
          <w:sz w:val="26"/>
          <w:szCs w:val="26"/>
        </w:rPr>
        <w:t xml:space="preserve">26.1 About / Company Pages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Page</w:t>
            </w:r>
          </w:p>
        </w:tc>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 sections</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Our Story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Founding narrative, mission statement, timeline/milestones, the "seven Bees" model explained plainly for a first-time visitor</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Leadership</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Photo + bio + LinkedIn link for each executive; organized by function (not just a flat grid) so a buyer can find the relevant regional or practice leader</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Partnerships &amp; Certifications</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ServiceNow partner tier, energy-platform partnerships, ISO/security certifications, staffing-industry association memberships — this page directly supports the Trust-Building strategy in Section 10</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Newsroom</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Press releases, media mentions, award announcements; each with a downloadable press kit link</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ESG &amp; Community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Diversity commitments, community/CSR initiatives, environmental considerations relevant to Energy Bees clients specifically</w:t>
            </w:r>
          </w:p>
        </w:tc>
      </w:tr>
    </w:tbl>
    <w:p>
      <w:pPr>
        <w:pStyle w:val="Heading2"/>
        <w:spacing w:after="160" w:before="320"/>
      </w:pPr>
      <w:r>
        <w:rPr>
          <w:rFonts w:ascii="Calibri" w:cs="Calibri" w:eastAsia="Calibri" w:hAnsi="Calibri"/>
          <w:b/>
          <w:bCs/>
          <w:color w:val="132B4F"/>
          <w:sz w:val="26"/>
          <w:szCs w:val="26"/>
        </w:rPr>
        <w:t xml:space="preserve">26.2 Careers Section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Page</w:t>
            </w:r>
          </w:p>
        </w:tc>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Wireframe notes</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Life at TeamBees (hub)</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Hero with employee photography (real, diverse, per Section 15.3), values grid, employee story cards, D&amp;I stats/commitments, learning &amp; development highlights (esp. AI upskilling — a strong candidate-side differentiator), "View Open Roles" primary CTA</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Open Roles (job board)</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Faceted filter (Practice, Region, Seniority, Employment type), job cards with JobPosting schema, search bar, "Join Talent Community" secondary CTA for visitors who don't see a fit today</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Job Detail page</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Role summary, responsibilities, requirements, practice/team context, benefits summary, region-specific compliance note (e.g., visa sponsorship availability where relevant), Apply form (Section 28)</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Candidate Resources</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Interview prep content, "what to expect" process explainer, FAQ — reduces drop-off anxiety in the application funnel</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Diversity &amp; Inclusion</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Concrete commitments and programs, not just a values statement — enterprise candidates and increasingly enterprise clients (via supplier-diversity requirements) scrutinize this page specifically</w:t>
            </w:r>
          </w:p>
        </w:tc>
      </w:tr>
    </w:tbl>
    <w:p>
      <w:pPr>
        <w:pStyle w:val="Heading2"/>
        <w:spacing w:after="160" w:before="320"/>
      </w:pPr>
      <w:r>
        <w:rPr>
          <w:rFonts w:ascii="Calibri" w:cs="Calibri" w:eastAsia="Calibri" w:hAnsi="Calibri"/>
          <w:b/>
          <w:bCs/>
          <w:color w:val="132B4F"/>
          <w:sz w:val="26"/>
          <w:szCs w:val="26"/>
        </w:rPr>
        <w:t xml:space="preserve">26.3 Locations Pages</w:t>
      </w:r>
    </w:p>
    <w:p>
      <w:pPr>
        <w:spacing w:after="160" w:line="300"/>
      </w:pPr>
      <w:r>
        <w:rPr>
          <w:rFonts w:ascii="Calibri" w:cs="Calibri" w:eastAsia="Calibri" w:hAnsi="Calibri"/>
          <w:b w:val="false"/>
          <w:bCs w:val="false"/>
          <w:i w:val="false"/>
          <w:iCs w:val="false"/>
          <w:color w:val="3F3F3F"/>
          <w:sz w:val="21"/>
          <w:szCs w:val="21"/>
        </w:rPr>
        <w:t xml:space="preserve">Each of the 6 region hub pages (USA, UK, Europe, Canada, Australia, UAE) follows a consistent structure: hero with region name and a locally-resonant headline, office/presence details, regional compliance snapshot (IR35 for UK, Emiratization for UAE, GDPR for Europe, W-2/1099/EOR options for USA, provincial notes for Canada, Fair Work Act notes for Australia), regional case studies, regional testimonials, and a region-specific contact CTA routing to the correct local team (Section 8.3).</w:t>
      </w:r>
    </w:p>
    <w:p>
      <w:pPr>
        <w:pStyle w:val="Heading2"/>
        <w:spacing w:after="160" w:before="320"/>
      </w:pPr>
      <w:r>
        <w:rPr>
          <w:rFonts w:ascii="Calibri" w:cs="Calibri" w:eastAsia="Calibri" w:hAnsi="Calibri"/>
          <w:b/>
          <w:bCs/>
          <w:color w:val="132B4F"/>
          <w:sz w:val="26"/>
          <w:szCs w:val="26"/>
        </w:rPr>
        <w:t xml:space="preserve">26.4 Contact Page</w:t>
      </w:r>
    </w:p>
    <w:p>
      <w:pPr>
        <w:pStyle w:val="ListParagraph"/>
        <w:numPr>
          <w:ilvl w:val="0"/>
          <w:numId w:val="2"/>
        </w:numPr>
        <w:spacing w:after="90"/>
      </w:pPr>
      <w:r>
        <w:rPr>
          <w:rFonts w:ascii="Calibri" w:cs="Calibri" w:eastAsia="Calibri" w:hAnsi="Calibri"/>
          <w:color w:val="3F3F3F"/>
          <w:sz w:val="21"/>
          <w:szCs w:val="21"/>
        </w:rPr>
        <w:t xml:space="preserve">Not a single generic form — a persona-routed contact experience: "I'm looking to hire talent," "I need a delivery partner," "I'm a candidate," "I'm a vendor/partner," "Press inquiry" — each routing to the right form fields and the right internal owner.</w:t>
      </w:r>
    </w:p>
    <w:p>
      <w:pPr>
        <w:pStyle w:val="ListParagraph"/>
        <w:numPr>
          <w:ilvl w:val="0"/>
          <w:numId w:val="2"/>
        </w:numPr>
        <w:spacing w:after="90"/>
      </w:pPr>
      <w:r>
        <w:rPr>
          <w:rFonts w:ascii="Calibri" w:cs="Calibri" w:eastAsia="Calibri" w:hAnsi="Calibri"/>
          <w:color w:val="3F3F3F"/>
          <w:sz w:val="21"/>
          <w:szCs w:val="21"/>
        </w:rPr>
        <w:t xml:space="preserve">Office locations listed with map, but de-emphasized relative to the direct-contact paths — for this buyer type, the form/scheduling widget converts far better than a static address block.</w:t>
      </w:r>
    </w:p>
    <w:p>
      <w:pPr>
        <w:pStyle w:val="ListParagraph"/>
        <w:numPr>
          <w:ilvl w:val="0"/>
          <w:numId w:val="2"/>
        </w:numPr>
        <w:spacing w:after="90"/>
      </w:pPr>
      <w:r>
        <w:rPr>
          <w:rFonts w:ascii="Calibri" w:cs="Calibri" w:eastAsia="Calibri" w:hAnsi="Calibri"/>
          <w:color w:val="3F3F3F"/>
          <w:sz w:val="21"/>
          <w:szCs w:val="21"/>
        </w:rPr>
        <w:t xml:space="preserve">Direct phone/email available for existing clients specifically (a lower-friction path for renewal/expansion conversations, distinct from new-business inquiry).</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27  </w:t>
      </w:r>
      <w:r>
        <w:rPr>
          <w:rFonts w:ascii="Calibri" w:cs="Calibri" w:eastAsia="Calibri" w:hAnsi="Calibri"/>
          <w:b/>
          <w:bCs/>
          <w:color w:val="0B1F3A"/>
          <w:sz w:val="32"/>
          <w:szCs w:val="32"/>
        </w:rPr>
        <w:t xml:space="preserve">27. Blog &amp; Resource Center Strategy</w:t>
      </w:r>
    </w:p>
    <w:p>
      <w:pPr>
        <w:pStyle w:val="Heading2"/>
        <w:spacing w:after="160" w:before="320"/>
      </w:pPr>
      <w:r>
        <w:rPr>
          <w:rFonts w:ascii="Calibri" w:cs="Calibri" w:eastAsia="Calibri" w:hAnsi="Calibri"/>
          <w:b/>
          <w:bCs/>
          <w:color w:val="132B4F"/>
          <w:sz w:val="26"/>
          <w:szCs w:val="26"/>
        </w:rPr>
        <w:t xml:space="preserve">27.1 Structure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Section</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Purpose</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Template notes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Blog / Insights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Timely, SEO-driven articles (Section 5.1)</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Standard article template: hero, author byline with bio/credibility, body, related-articles rail, inline CTA after ~40% scroll depth</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Guides &amp; Whitepapers</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Gated, longer-form authority content</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Landing page previews title/TOC/excerpt before gating (Section 11.4); post-submission delivers PDF + adds to nurture sequence</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Webinars &amp; Events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Live and on-demand thought leadership</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Registration page (upcoming) or on-demand viewing page (past), both gated; speaker bios link to Leadership page where relevant</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Research Reports</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Flagship quarterly original research (Section 5.3)</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Highest-production-value template; includes a shareable data-highlight graphic for digital PR/backlink purposes</w:t>
            </w:r>
          </w:p>
        </w:tc>
      </w:tr>
    </w:tbl>
    <w:p>
      <w:pPr>
        <w:pStyle w:val="Heading2"/>
        <w:spacing w:after="160" w:before="320"/>
      </w:pPr>
      <w:r>
        <w:rPr>
          <w:rFonts w:ascii="Calibri" w:cs="Calibri" w:eastAsia="Calibri" w:hAnsi="Calibri"/>
          <w:b/>
          <w:bCs/>
          <w:color w:val="132B4F"/>
          <w:sz w:val="26"/>
          <w:szCs w:val="26"/>
        </w:rPr>
        <w:t xml:space="preserve">27.2 Content Filtering &amp; Discovery</w:t>
      </w:r>
    </w:p>
    <w:p>
      <w:pPr>
        <w:pStyle w:val="ListParagraph"/>
        <w:numPr>
          <w:ilvl w:val="0"/>
          <w:numId w:val="2"/>
        </w:numPr>
        <w:spacing w:after="90"/>
      </w:pPr>
      <w:r>
        <w:rPr>
          <w:rFonts w:ascii="Calibri" w:cs="Calibri" w:eastAsia="Calibri" w:hAnsi="Calibri"/>
          <w:color w:val="3F3F3F"/>
          <w:sz w:val="21"/>
          <w:szCs w:val="21"/>
        </w:rPr>
        <w:t xml:space="preserve">All content types share one underlying filter system: Practice, Industry, Region, Content Type — consistent with the case study taxonomy in Section 25.2, allowing a single "Insights" search/filter experience across all content types rather than fragmented mini-blogs per practice.</w:t>
      </w:r>
    </w:p>
    <w:p>
      <w:pPr>
        <w:pStyle w:val="ListParagraph"/>
        <w:numPr>
          <w:ilvl w:val="0"/>
          <w:numId w:val="2"/>
        </w:numPr>
        <w:spacing w:after="90"/>
      </w:pPr>
      <w:r>
        <w:rPr>
          <w:rFonts w:ascii="Calibri" w:cs="Calibri" w:eastAsia="Calibri" w:hAnsi="Calibri"/>
          <w:color w:val="3F3F3F"/>
          <w:sz w:val="21"/>
          <w:szCs w:val="21"/>
        </w:rPr>
        <w:t xml:space="preserve">A persistent "Recommended for you" rail on article pages uses the same taxonomy match as the internal linking rules in Section 31.</w:t>
      </w:r>
    </w:p>
    <w:p>
      <w:pPr>
        <w:pStyle w:val="Heading2"/>
        <w:spacing w:after="160" w:before="320"/>
      </w:pPr>
      <w:r>
        <w:rPr>
          <w:rFonts w:ascii="Calibri" w:cs="Calibri" w:eastAsia="Calibri" w:hAnsi="Calibri"/>
          <w:b/>
          <w:bCs/>
          <w:color w:val="132B4F"/>
          <w:sz w:val="26"/>
          <w:szCs w:val="26"/>
        </w:rPr>
        <w:t xml:space="preserve">27.3 Editorial Standards</w:t>
      </w:r>
    </w:p>
    <w:p>
      <w:pPr>
        <w:pStyle w:val="ListParagraph"/>
        <w:numPr>
          <w:ilvl w:val="0"/>
          <w:numId w:val="2"/>
        </w:numPr>
        <w:spacing w:after="90"/>
      </w:pPr>
      <w:r>
        <w:rPr>
          <w:rFonts w:ascii="Calibri" w:cs="Calibri" w:eastAsia="Calibri" w:hAnsi="Calibri"/>
          <w:color w:val="3F3F3F"/>
          <w:sz w:val="21"/>
          <w:szCs w:val="21"/>
        </w:rPr>
        <w:t xml:space="preserve">Every article has a named, credentialed author (a practice lead, delivery lead, or subject-matter specialist) with a linked bio — this materially supports both trust (Section 10) and SEO author-authority signals (E-E-A-T).</w:t>
      </w:r>
    </w:p>
    <w:p>
      <w:pPr>
        <w:pStyle w:val="ListParagraph"/>
        <w:numPr>
          <w:ilvl w:val="0"/>
          <w:numId w:val="2"/>
        </w:numPr>
        <w:spacing w:after="90"/>
      </w:pPr>
      <w:r>
        <w:rPr>
          <w:rFonts w:ascii="Calibri" w:cs="Calibri" w:eastAsia="Calibri" w:hAnsi="Calibri"/>
          <w:color w:val="3F3F3F"/>
          <w:sz w:val="21"/>
          <w:szCs w:val="21"/>
        </w:rPr>
        <w:t xml:space="preserve">Articles referencing external data or claims cite a credible source, consistent with the copyright and factual-accuracy standards used to produce this document itself.</w:t>
      </w:r>
    </w:p>
    <w:p>
      <w:pPr>
        <w:pStyle w:val="ListParagraph"/>
        <w:numPr>
          <w:ilvl w:val="0"/>
          <w:numId w:val="2"/>
        </w:numPr>
        <w:spacing w:after="90"/>
      </w:pPr>
      <w:r>
        <w:rPr>
          <w:rFonts w:ascii="Calibri" w:cs="Calibri" w:eastAsia="Calibri" w:hAnsi="Calibri"/>
          <w:color w:val="3F3F3F"/>
          <w:sz w:val="21"/>
          <w:szCs w:val="21"/>
        </w:rPr>
        <w:t xml:space="preserve">No article publishes without a clear primary keyword/intent target and at least one internal link back to a relevant practice or industry page.</w:t>
      </w:r>
    </w:p>
    <w:p>
      <w:pPr>
        <w:pStyle w:val="Heading2"/>
        <w:spacing w:after="160" w:before="320"/>
      </w:pPr>
      <w:r>
        <w:rPr>
          <w:rFonts w:ascii="Calibri" w:cs="Calibri" w:eastAsia="Calibri" w:hAnsi="Calibri"/>
          <w:b/>
          <w:bCs/>
          <w:color w:val="132B4F"/>
          <w:sz w:val="26"/>
          <w:szCs w:val="26"/>
        </w:rPr>
        <w:t xml:space="preserve">27.4 Content Repurposing Loop</w:t>
      </w:r>
    </w:p>
    <w:p>
      <w:pPr>
        <w:spacing w:after="160" w:line="300"/>
      </w:pPr>
      <w:r>
        <w:rPr>
          <w:rFonts w:ascii="Calibri" w:cs="Calibri" w:eastAsia="Calibri" w:hAnsi="Calibri"/>
          <w:b w:val="false"/>
          <w:bCs w:val="false"/>
          <w:i w:val="false"/>
          <w:iCs w:val="false"/>
          <w:color w:val="3F3F3F"/>
          <w:sz w:val="21"/>
          <w:szCs w:val="21"/>
        </w:rPr>
        <w:t xml:space="preserve">Quarterly research reports feed 4–6 derivative blog posts; each major case study feeds a LinkedIn post and a sales one-pager; each webinar feeds an on-demand page plus a summary article. This loop is what makes the weekly/bi-weekly cadence in Section 5.3 sustainable without a proportionally large content team.</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
      </w:r>
      <w:r>
        <w:rPr>
          <w:rFonts w:ascii="Calibri" w:cs="Calibri" w:eastAsia="Calibri" w:hAnsi="Calibri"/>
          <w:b/>
          <w:bCs/>
          <w:color w:val="0B1F3A"/>
          <w:sz w:val="32"/>
          <w:szCs w:val="32"/>
        </w:rPr>
        <w:t xml:space="preserve">PART IV</w:t>
      </w:r>
    </w:p>
    <w:p>
      <w:pPr>
        <w:pStyle w:val="Heading2"/>
        <w:spacing w:after="160" w:before="320"/>
      </w:pPr>
      <w:r>
        <w:rPr>
          <w:rFonts w:ascii="Calibri" w:cs="Calibri" w:eastAsia="Calibri" w:hAnsi="Calibri"/>
          <w:b/>
          <w:bCs/>
          <w:color w:val="132B4F"/>
          <w:sz w:val="26"/>
          <w:szCs w:val="26"/>
        </w:rPr>
        <w:t xml:space="preserve">Engagement, Conversion &amp; Findability Systems</w:t>
      </w:r>
    </w:p>
    <w:p>
      <w:pPr>
        <w:spacing w:after="160" w:line="300"/>
      </w:pPr>
      <w:r>
        <w:rPr>
          <w:rFonts w:ascii="Calibri" w:cs="Calibri" w:eastAsia="Calibri" w:hAnsi="Calibri"/>
          <w:b w:val="false"/>
          <w:bCs w:val="false"/>
          <w:i w:val="false"/>
          <w:iCs w:val="false"/>
          <w:color w:val="3F3F3F"/>
          <w:sz w:val="21"/>
          <w:szCs w:val="21"/>
        </w:rPr>
        <w:t xml:space="preserve">This part covers the systems that turn traffic into pipeline: forms, conversational AI, search, internal linking, and the footer — the connective tissue that makes a 300+ page site feel navigable rather than overwhelming.</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28  </w:t>
      </w:r>
      <w:r>
        <w:rPr>
          <w:rFonts w:ascii="Calibri" w:cs="Calibri" w:eastAsia="Calibri" w:hAnsi="Calibri"/>
          <w:b/>
          <w:bCs/>
          <w:color w:val="0B1F3A"/>
          <w:sz w:val="32"/>
          <w:szCs w:val="32"/>
        </w:rPr>
        <w:t xml:space="preserve">28. Forms &amp; Conversion Flows</w:t>
      </w:r>
    </w:p>
    <w:p>
      <w:pPr>
        <w:pStyle w:val="Heading2"/>
        <w:spacing w:after="160" w:before="320"/>
      </w:pPr>
      <w:r>
        <w:rPr>
          <w:rFonts w:ascii="Calibri" w:cs="Calibri" w:eastAsia="Calibri" w:hAnsi="Calibri"/>
          <w:b/>
          <w:bCs/>
          <w:color w:val="132B4F"/>
          <w:sz w:val="26"/>
          <w:szCs w:val="26"/>
        </w:rPr>
        <w:t xml:space="preserve">28.1 Form Design Principles</w:t>
      </w:r>
    </w:p>
    <w:p>
      <w:pPr>
        <w:pStyle w:val="ListParagraph"/>
        <w:numPr>
          <w:ilvl w:val="0"/>
          <w:numId w:val="2"/>
        </w:numPr>
        <w:spacing w:after="90"/>
      </w:pPr>
      <w:r>
        <w:rPr>
          <w:rFonts w:ascii="Calibri" w:cs="Calibri" w:eastAsia="Calibri" w:hAnsi="Calibri"/>
          <w:color w:val="3F3F3F"/>
          <w:sz w:val="21"/>
          <w:szCs w:val="21"/>
        </w:rPr>
        <w:t xml:space="preserve">Match field count to funnel stage (Section 8.1) — never ask for budget or timeline on a top-of-funnel newsletter signup.</w:t>
      </w:r>
    </w:p>
    <w:p>
      <w:pPr>
        <w:pStyle w:val="ListParagraph"/>
        <w:numPr>
          <w:ilvl w:val="0"/>
          <w:numId w:val="2"/>
        </w:numPr>
        <w:spacing w:after="90"/>
      </w:pPr>
      <w:r>
        <w:rPr>
          <w:rFonts w:ascii="Calibri" w:cs="Calibri" w:eastAsia="Calibri" w:hAnsi="Calibri"/>
          <w:color w:val="3F3F3F"/>
          <w:sz w:val="21"/>
          <w:szCs w:val="21"/>
        </w:rPr>
        <w:t xml:space="preserve">Use progressive profiling: a returning, cookied visitor who already submitted name/email on a prior form is not asked for it again; subsequent forms only request new information.</w:t>
      </w:r>
    </w:p>
    <w:p>
      <w:pPr>
        <w:pStyle w:val="ListParagraph"/>
        <w:numPr>
          <w:ilvl w:val="0"/>
          <w:numId w:val="2"/>
        </w:numPr>
        <w:spacing w:after="90"/>
      </w:pPr>
      <w:r>
        <w:rPr>
          <w:rFonts w:ascii="Calibri" w:cs="Calibri" w:eastAsia="Calibri" w:hAnsi="Calibri"/>
          <w:color w:val="3F3F3F"/>
          <w:sz w:val="21"/>
          <w:szCs w:val="21"/>
        </w:rPr>
        <w:t xml:space="preserve">Floating-label inputs (Section 16.2), inline validation on blur (not only on submit), and a persistent, disabled-until-valid submit button to reduce failed-submission frustration.</w:t>
      </w:r>
    </w:p>
    <w:p>
      <w:pPr>
        <w:pStyle w:val="ListParagraph"/>
        <w:numPr>
          <w:ilvl w:val="0"/>
          <w:numId w:val="2"/>
        </w:numPr>
        <w:spacing w:after="90"/>
      </w:pPr>
      <w:r>
        <w:rPr>
          <w:rFonts w:ascii="Calibri" w:cs="Calibri" w:eastAsia="Calibri" w:hAnsi="Calibri"/>
          <w:color w:val="3F3F3F"/>
          <w:sz w:val="21"/>
          <w:szCs w:val="21"/>
        </w:rPr>
        <w:t xml:space="preserve">Every form has a clear privacy micro-copy line and link to the privacy policy directly beneath the submit button — important both for trust and for UK/EU GDPR and California/other US privacy-law compliance.</w:t>
      </w:r>
    </w:p>
    <w:p>
      <w:pPr>
        <w:pStyle w:val="Heading2"/>
        <w:spacing w:after="160" w:before="320"/>
      </w:pPr>
      <w:r>
        <w:rPr>
          <w:rFonts w:ascii="Calibri" w:cs="Calibri" w:eastAsia="Calibri" w:hAnsi="Calibri"/>
          <w:b/>
          <w:bCs/>
          <w:color w:val="132B4F"/>
          <w:sz w:val="26"/>
          <w:szCs w:val="26"/>
        </w:rPr>
        <w:t xml:space="preserve">28.2 Key Conversion Flows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Flow</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Steps</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Book a Consultation</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 Select practice/interest area 2) Name, email, company, role 3) Preferred date/time via embedded scheduler 4) Confirmation + calendar invite</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Highest-intent flow; route per Section 8.3 lead routing logic immediately on submit</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Resource Download</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 Preview (title/TOC) 2) Name + email only 3) Instant PDF delivery + email copy 4) Added to nurture track</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Kept intentionally frictionless; this is a top-of-funnel trust-building exchange, not a sales gate</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Talent Bench Request</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 Skill/role needed + region 2) Company + contact details 3) Timeline 4) Confirmation, SLA-committed follow-up time shown on screen</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Setting an explicit follow-up SLA on the confirmation screen (e.g., "We'll send a shortlist overview within 1 business day") measurably reduces perceived risk of submitting</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Job Application</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 Resume upload (parses to prefill fields) 2) Confirm/complete details 3) Optional cover note 4) Confirmation with what-to-expect timeline</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Resume-parse-to-prefill is a significant mobile completion-rate lever; never require re-typing data already in the uploaded resume</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Newsletter / Talent Community signup</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1 field (email) + 1 click</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Zero-friction by design; segmentation questions (if any) asked after signup, not before</w:t>
            </w:r>
          </w:p>
        </w:tc>
      </w:tr>
    </w:tbl>
    <w:p>
      <w:pPr>
        <w:pStyle w:val="Heading2"/>
        <w:spacing w:after="160" w:before="320"/>
      </w:pPr>
      <w:r>
        <w:rPr>
          <w:rFonts w:ascii="Calibri" w:cs="Calibri" w:eastAsia="Calibri" w:hAnsi="Calibri"/>
          <w:b/>
          <w:bCs/>
          <w:color w:val="132B4F"/>
          <w:sz w:val="26"/>
          <w:szCs w:val="26"/>
        </w:rPr>
        <w:t xml:space="preserve">28.3 Post-Submission Experience</w:t>
      </w:r>
    </w:p>
    <w:p>
      <w:pPr>
        <w:pStyle w:val="ListParagraph"/>
        <w:numPr>
          <w:ilvl w:val="0"/>
          <w:numId w:val="2"/>
        </w:numPr>
        <w:spacing w:after="90"/>
      </w:pPr>
      <w:r>
        <w:rPr>
          <w:rFonts w:ascii="Calibri" w:cs="Calibri" w:eastAsia="Calibri" w:hAnsi="Calibri"/>
          <w:color w:val="3F3F3F"/>
          <w:sz w:val="21"/>
          <w:szCs w:val="21"/>
        </w:rPr>
        <w:t xml:space="preserve">Every form submission shows an on-screen confirmation state (never just a silent redirect) confirming what happens next and by when.</w:t>
      </w:r>
    </w:p>
    <w:p>
      <w:pPr>
        <w:pStyle w:val="ListParagraph"/>
        <w:numPr>
          <w:ilvl w:val="0"/>
          <w:numId w:val="2"/>
        </w:numPr>
        <w:spacing w:after="90"/>
      </w:pPr>
      <w:r>
        <w:rPr>
          <w:rFonts w:ascii="Calibri" w:cs="Calibri" w:eastAsia="Calibri" w:hAnsi="Calibri"/>
          <w:color w:val="3F3F3F"/>
          <w:sz w:val="21"/>
          <w:szCs w:val="21"/>
        </w:rPr>
        <w:t xml:space="preserve">Transactional confirmation emails are sent within 1 minute and mirror the on-screen confirmation copy exactly, reinforcing trust rather than introducing new/conflicting messaging.</w:t>
      </w:r>
    </w:p>
    <w:p>
      <w:pPr>
        <w:pStyle w:val="ListParagraph"/>
        <w:numPr>
          <w:ilvl w:val="0"/>
          <w:numId w:val="2"/>
        </w:numPr>
        <w:spacing w:after="90"/>
      </w:pPr>
      <w:r>
        <w:rPr>
          <w:rFonts w:ascii="Calibri" w:cs="Calibri" w:eastAsia="Calibri" w:hAnsi="Calibri"/>
          <w:color w:val="3F3F3F"/>
          <w:sz w:val="21"/>
          <w:szCs w:val="21"/>
        </w:rPr>
        <w:t xml:space="preserve">Bottom-funnel form submissions trigger an internal Slack/CRM alert per the lead-routing SLA in Section 8.2/8.3.</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29  </w:t>
      </w:r>
      <w:r>
        <w:rPr>
          <w:rFonts w:ascii="Calibri" w:cs="Calibri" w:eastAsia="Calibri" w:hAnsi="Calibri"/>
          <w:b/>
          <w:bCs/>
          <w:color w:val="0B1F3A"/>
          <w:sz w:val="32"/>
          <w:szCs w:val="32"/>
        </w:rPr>
        <w:t xml:space="preserve">29. AI Chatbot Experience ("Bee Assistant")</w:t>
      </w:r>
    </w:p>
    <w:p>
      <w:pPr>
        <w:pStyle w:val="Heading2"/>
        <w:spacing w:after="160" w:before="320"/>
      </w:pPr>
      <w:r>
        <w:rPr>
          <w:rFonts w:ascii="Calibri" w:cs="Calibri" w:eastAsia="Calibri" w:hAnsi="Calibri"/>
          <w:b/>
          <w:bCs/>
          <w:color w:val="132B4F"/>
          <w:sz w:val="26"/>
          <w:szCs w:val="26"/>
        </w:rPr>
        <w:t xml:space="preserve">29.1 Purpose &amp; Positioning</w:t>
      </w:r>
    </w:p>
    <w:p>
      <w:pPr>
        <w:spacing w:after="160" w:line="300"/>
      </w:pPr>
      <w:r>
        <w:rPr>
          <w:rFonts w:ascii="Calibri" w:cs="Calibri" w:eastAsia="Calibri" w:hAnsi="Calibri"/>
          <w:b w:val="false"/>
          <w:bCs w:val="false"/>
          <w:i w:val="false"/>
          <w:iCs w:val="false"/>
          <w:color w:val="3F3F3F"/>
          <w:sz w:val="21"/>
          <w:szCs w:val="21"/>
        </w:rPr>
        <w:t xml:space="preserve">Given TeamBees' own AI Bees practice, the site's chatbot is also a credibility demonstration, not just a support tool — it should feel like a well-built, production-grade AI agent, reflecting the quality of what AI Bees actually delivers for clients. It is named distinctly ("Bee Assistant" or similar, to be finalized) rather than a generic "Chat with us" widget.</w:t>
      </w:r>
    </w:p>
    <w:p>
      <w:pPr>
        <w:pStyle w:val="Heading2"/>
        <w:spacing w:after="160" w:before="320"/>
      </w:pPr>
      <w:r>
        <w:rPr>
          <w:rFonts w:ascii="Calibri" w:cs="Calibri" w:eastAsia="Calibri" w:hAnsi="Calibri"/>
          <w:b/>
          <w:bCs/>
          <w:color w:val="132B4F"/>
          <w:sz w:val="26"/>
          <w:szCs w:val="26"/>
        </w:rPr>
        <w:t xml:space="preserve">29.2 Core Use Cases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Use case</w:t>
            </w:r>
          </w:p>
        </w:tc>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Behavior</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Practice/service navigation</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Answers "Do you do X?" questions and deep-links directly to the relevant practice/sub-service page rather than only describing it in chat</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Case study discovery</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"Show me examples in healthcare" surfaces relevant, filtered case study cards inline in the chat panel</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Lead qualification</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For a visitor showing buying intent, asks 2–3 light qualifying questions (practice interest, region, timeline) and offers to book a consultation directly within the chat, handing off to the scheduling widget (Section 28.2) without leaving the page</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Candidate FAQ</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Answers process/application questions and links directly to relevant open roles</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Human handoff</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For complex or sensitive queries, offers a clear, low-friction path to a human (scheduled call or routed email), never a dead-end "I don't understand"</w:t>
            </w:r>
          </w:p>
        </w:tc>
      </w:tr>
    </w:tbl>
    <w:p>
      <w:pPr>
        <w:pStyle w:val="Heading2"/>
        <w:spacing w:after="160" w:before="320"/>
      </w:pPr>
      <w:r>
        <w:rPr>
          <w:rFonts w:ascii="Calibri" w:cs="Calibri" w:eastAsia="Calibri" w:hAnsi="Calibri"/>
          <w:b/>
          <w:bCs/>
          <w:color w:val="132B4F"/>
          <w:sz w:val="26"/>
          <w:szCs w:val="26"/>
        </w:rPr>
        <w:t xml:space="preserve">29.3 Design &amp; Interaction</w:t>
      </w:r>
    </w:p>
    <w:p>
      <w:pPr>
        <w:pStyle w:val="ListParagraph"/>
        <w:numPr>
          <w:ilvl w:val="0"/>
          <w:numId w:val="2"/>
        </w:numPr>
        <w:spacing w:after="90"/>
      </w:pPr>
      <w:r>
        <w:rPr>
          <w:rFonts w:ascii="Calibri" w:cs="Calibri" w:eastAsia="Calibri" w:hAnsi="Calibri"/>
          <w:color w:val="3F3F3F"/>
          <w:sz w:val="21"/>
          <w:szCs w:val="21"/>
        </w:rPr>
        <w:t xml:space="preserve">Launcher: a small, non-intrusive icon bottom-right, using the practice-tint or gold accent, not a jarring animated mascot.</w:t>
      </w:r>
    </w:p>
    <w:p>
      <w:pPr>
        <w:pStyle w:val="ListParagraph"/>
        <w:numPr>
          <w:ilvl w:val="0"/>
          <w:numId w:val="2"/>
        </w:numPr>
        <w:spacing w:after="90"/>
      </w:pPr>
      <w:r>
        <w:rPr>
          <w:rFonts w:ascii="Calibri" w:cs="Calibri" w:eastAsia="Calibri" w:hAnsi="Calibri"/>
          <w:color w:val="3F3F3F"/>
          <w:sz w:val="21"/>
          <w:szCs w:val="21"/>
        </w:rPr>
        <w:t xml:space="preserve">Proactive trigger: after ~15 seconds dwell time on a practice or industry page (per the CRO test in Section 9.2), a single subtle prompt bubble appears once per session — never repeatedly interrupting.</w:t>
      </w:r>
    </w:p>
    <w:p>
      <w:pPr>
        <w:pStyle w:val="ListParagraph"/>
        <w:numPr>
          <w:ilvl w:val="0"/>
          <w:numId w:val="2"/>
        </w:numPr>
        <w:spacing w:after="90"/>
      </w:pPr>
      <w:r>
        <w:rPr>
          <w:rFonts w:ascii="Calibri" w:cs="Calibri" w:eastAsia="Calibri" w:hAnsi="Calibri"/>
          <w:color w:val="3F3F3F"/>
          <w:sz w:val="21"/>
          <w:szCs w:val="21"/>
        </w:rPr>
        <w:t xml:space="preserve">Panel: navy header bar, clean message bubbles (gold for the assistant, light-gray for the user), suggested-question chips to reduce blank-input friction for first-time users.</w:t>
      </w:r>
    </w:p>
    <w:p>
      <w:pPr>
        <w:pStyle w:val="ListParagraph"/>
        <w:numPr>
          <w:ilvl w:val="0"/>
          <w:numId w:val="2"/>
        </w:numPr>
        <w:spacing w:after="90"/>
      </w:pPr>
      <w:r>
        <w:rPr>
          <w:rFonts w:ascii="Calibri" w:cs="Calibri" w:eastAsia="Calibri" w:hAnsi="Calibri"/>
          <w:color w:val="3F3F3F"/>
          <w:sz w:val="21"/>
          <w:szCs w:val="21"/>
        </w:rPr>
        <w:t xml:space="preserve">Every AI response that makes a factual claim about TeamBees' capabilities should be grounded in the actual site content (via retrieval over the CMS content, not free-generation) to avoid the assistant overstating capability or inventing case studies.</w:t>
      </w:r>
    </w:p>
    <w:p>
      <w:pPr>
        <w:pStyle w:val="Heading2"/>
        <w:spacing w:after="160" w:before="320"/>
      </w:pPr>
      <w:r>
        <w:rPr>
          <w:rFonts w:ascii="Calibri" w:cs="Calibri" w:eastAsia="Calibri" w:hAnsi="Calibri"/>
          <w:b/>
          <w:bCs/>
          <w:color w:val="132B4F"/>
          <w:sz w:val="26"/>
          <w:szCs w:val="26"/>
        </w:rPr>
        <w:t xml:space="preserve">29.4 Guardrails</w:t>
      </w:r>
    </w:p>
    <w:p>
      <w:pPr>
        <w:pStyle w:val="ListParagraph"/>
        <w:numPr>
          <w:ilvl w:val="0"/>
          <w:numId w:val="2"/>
        </w:numPr>
        <w:spacing w:after="90"/>
      </w:pPr>
      <w:r>
        <w:rPr>
          <w:rFonts w:ascii="Calibri" w:cs="Calibri" w:eastAsia="Calibri" w:hAnsi="Calibri"/>
          <w:color w:val="3F3F3F"/>
          <w:sz w:val="21"/>
          <w:szCs w:val="21"/>
        </w:rPr>
        <w:t xml:space="preserve">The assistant never quotes a specific price, contractual term, or guaranteed timeline — those route to a human via the Book a Consultation flow.</w:t>
      </w:r>
    </w:p>
    <w:p>
      <w:pPr>
        <w:pStyle w:val="ListParagraph"/>
        <w:numPr>
          <w:ilvl w:val="0"/>
          <w:numId w:val="2"/>
        </w:numPr>
        <w:spacing w:after="90"/>
      </w:pPr>
      <w:r>
        <w:rPr>
          <w:rFonts w:ascii="Calibri" w:cs="Calibri" w:eastAsia="Calibri" w:hAnsi="Calibri"/>
          <w:color w:val="3F3F3F"/>
          <w:sz w:val="21"/>
          <w:szCs w:val="21"/>
        </w:rPr>
        <w:t xml:space="preserve">The assistant discloses it is an AI assistant at the start of every new conversation.</w:t>
      </w:r>
    </w:p>
    <w:p>
      <w:pPr>
        <w:pStyle w:val="ListParagraph"/>
        <w:numPr>
          <w:ilvl w:val="0"/>
          <w:numId w:val="2"/>
        </w:numPr>
        <w:spacing w:after="90"/>
      </w:pPr>
      <w:r>
        <w:rPr>
          <w:rFonts w:ascii="Calibri" w:cs="Calibri" w:eastAsia="Calibri" w:hAnsi="Calibri"/>
          <w:color w:val="3F3F3F"/>
          <w:sz w:val="21"/>
          <w:szCs w:val="21"/>
        </w:rPr>
        <w:t xml:space="preserve">All conversations are logged (with appropriate privacy disclosure) both for lead-quality analysis and for continuously improving the retrieval content.</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30  </w:t>
      </w:r>
      <w:r>
        <w:rPr>
          <w:rFonts w:ascii="Calibri" w:cs="Calibri" w:eastAsia="Calibri" w:hAnsi="Calibri"/>
          <w:b/>
          <w:bCs/>
          <w:color w:val="0B1F3A"/>
          <w:sz w:val="32"/>
          <w:szCs w:val="32"/>
        </w:rPr>
        <w:t xml:space="preserve">30. Global Search Strategy</w:t>
      </w:r>
    </w:p>
    <w:p>
      <w:pPr>
        <w:pStyle w:val="Heading2"/>
        <w:spacing w:after="160" w:before="320"/>
      </w:pPr>
      <w:r>
        <w:rPr>
          <w:rFonts w:ascii="Calibri" w:cs="Calibri" w:eastAsia="Calibri" w:hAnsi="Calibri"/>
          <w:b/>
          <w:bCs/>
          <w:color w:val="132B4F"/>
          <w:sz w:val="26"/>
          <w:szCs w:val="26"/>
        </w:rPr>
        <w:t xml:space="preserve">30.1 Search Experience</w:t>
      </w:r>
    </w:p>
    <w:p>
      <w:pPr>
        <w:pStyle w:val="ListParagraph"/>
        <w:numPr>
          <w:ilvl w:val="0"/>
          <w:numId w:val="2"/>
        </w:numPr>
        <w:spacing w:after="90"/>
      </w:pPr>
      <w:r>
        <w:rPr>
          <w:rFonts w:ascii="Calibri" w:cs="Calibri" w:eastAsia="Calibri" w:hAnsi="Calibri"/>
          <w:color w:val="3F3F3F"/>
          <w:sz w:val="21"/>
          <w:szCs w:val="21"/>
        </w:rPr>
        <w:t xml:space="preserve">A persistent search icon in the header (Section 3.1) opens a full-screen overlay (not a dropdown) with live-as-you-type results grouped by content type: Practices, Industries, Case Studies, Insights, Jobs.</w:t>
      </w:r>
    </w:p>
    <w:p>
      <w:pPr>
        <w:pStyle w:val="ListParagraph"/>
        <w:numPr>
          <w:ilvl w:val="0"/>
          <w:numId w:val="2"/>
        </w:numPr>
        <w:spacing w:after="90"/>
      </w:pPr>
      <w:r>
        <w:rPr>
          <w:rFonts w:ascii="Calibri" w:cs="Calibri" w:eastAsia="Calibri" w:hAnsi="Calibri"/>
          <w:color w:val="3F3F3F"/>
          <w:sz w:val="21"/>
          <w:szCs w:val="21"/>
        </w:rPr>
        <w:t xml:space="preserve">Search results show a short excerpt and the relevant taxonomy tags (practice/industry/region) so a visitor can judge relevance before clicking.</w:t>
      </w:r>
    </w:p>
    <w:p>
      <w:pPr>
        <w:pStyle w:val="ListParagraph"/>
        <w:numPr>
          <w:ilvl w:val="0"/>
          <w:numId w:val="2"/>
        </w:numPr>
        <w:spacing w:after="90"/>
      </w:pPr>
      <w:r>
        <w:rPr>
          <w:rFonts w:ascii="Calibri" w:cs="Calibri" w:eastAsia="Calibri" w:hAnsi="Calibri"/>
          <w:color w:val="3F3F3F"/>
          <w:sz w:val="21"/>
          <w:szCs w:val="21"/>
        </w:rPr>
        <w:t xml:space="preserve">Zero-results state offers the chatbot as a fallback ("Can't find it? Ask Bee Assistant") rather than a dead end.</w:t>
      </w:r>
    </w:p>
    <w:p>
      <w:pPr>
        <w:pStyle w:val="Heading2"/>
        <w:spacing w:after="160" w:before="320"/>
      </w:pPr>
      <w:r>
        <w:rPr>
          <w:rFonts w:ascii="Calibri" w:cs="Calibri" w:eastAsia="Calibri" w:hAnsi="Calibri"/>
          <w:b/>
          <w:bCs/>
          <w:color w:val="132B4F"/>
          <w:sz w:val="26"/>
          <w:szCs w:val="26"/>
        </w:rPr>
        <w:t xml:space="preserve">30.2 Technical Approach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Layer</w:t>
            </w:r>
          </w:p>
        </w:tc>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Recommendation</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Search index</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 dedicated search service (e.g., Algolia or a self-hosted Meilisearch/Typesense instance) rather than relying on default CMS or database LIKE-query search, given the 300+ page scale and need for typo-tolerance and instant results</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Ranking</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Weighted toward page type (Practice/Industry hubs rank above blog mentions of the same term) and recency for time-sensitive content (blog, jobs)</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Synonyms</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 maintained synonym list (e.g., "ServiceNow" ↔ "SNOW," "generative AI" ↔ "GenAI") so internal jargon and common industry shorthand both resolve correctly</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Job search</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Jobs get a separate, more structured faceted search (location, practice, seniority) within Careers, distinct from the lighter global site search</w:t>
            </w:r>
          </w:p>
        </w:tc>
      </w:tr>
    </w:tbl>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31  </w:t>
      </w:r>
      <w:r>
        <w:rPr>
          <w:rFonts w:ascii="Calibri" w:cs="Calibri" w:eastAsia="Calibri" w:hAnsi="Calibri"/>
          <w:b/>
          <w:bCs/>
          <w:color w:val="0B1F3A"/>
          <w:sz w:val="32"/>
          <w:szCs w:val="32"/>
        </w:rPr>
        <w:t xml:space="preserve">31. Internal Linking Strategy</w:t>
      </w:r>
    </w:p>
    <w:p>
      <w:pPr>
        <w:pStyle w:val="Heading2"/>
        <w:spacing w:after="160" w:before="320"/>
      </w:pPr>
      <w:r>
        <w:rPr>
          <w:rFonts w:ascii="Calibri" w:cs="Calibri" w:eastAsia="Calibri" w:hAnsi="Calibri"/>
          <w:b/>
          <w:bCs/>
          <w:color w:val="132B4F"/>
          <w:sz w:val="26"/>
          <w:szCs w:val="26"/>
        </w:rPr>
        <w:t xml:space="preserve">31.1 Why This Matters at This Scale</w:t>
      </w:r>
    </w:p>
    <w:p>
      <w:pPr>
        <w:spacing w:after="160" w:line="300"/>
      </w:pPr>
      <w:r>
        <w:rPr>
          <w:rFonts w:ascii="Calibri" w:cs="Calibri" w:eastAsia="Calibri" w:hAnsi="Calibri"/>
          <w:b w:val="false"/>
          <w:bCs w:val="false"/>
          <w:i w:val="false"/>
          <w:iCs w:val="false"/>
          <w:color w:val="3F3F3F"/>
          <w:sz w:val="21"/>
          <w:szCs w:val="21"/>
        </w:rPr>
        <w:t xml:space="preserve">With 300+ pages generated from a combinatorial taxonomy (Section 2), internal linking is the mechanism that both distributes SEO authority to deep long-tail pages and prevents the orphan-page problem flagged in Section 2.3. Internal linking at this scale must be systematized in the CMS, not manually curated per page.</w:t>
      </w:r>
    </w:p>
    <w:p>
      <w:pPr>
        <w:pStyle w:val="Heading2"/>
        <w:spacing w:after="160" w:before="320"/>
      </w:pPr>
      <w:r>
        <w:rPr>
          <w:rFonts w:ascii="Calibri" w:cs="Calibri" w:eastAsia="Calibri" w:hAnsi="Calibri"/>
          <w:b/>
          <w:bCs/>
          <w:color w:val="132B4F"/>
          <w:sz w:val="26"/>
          <w:szCs w:val="26"/>
        </w:rPr>
        <w:t xml:space="preserve">31.2 Automated Linking Rules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Rule</w:t>
            </w:r>
          </w:p>
        </w:tc>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Logic</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Parent-to-child</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Every hub page (Practice, Industry, Region) automatically lists and links all of its child pages (sub-services, or relevant combination pages)</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Same-taxonomy cross-links</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Every page automatically surfaces 2–3 "related pages" that share at least one taxonomy tag (same Practice or same Industry), ranked by shared-tag count</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Case-study-to-page</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Every case study automatically links to the Practice, Industry, and Region hub pages matching its tags; every hub page in turn surfaces its 2–3 top-tagged case studies</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Blog-to-commercial</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Every blog/insight article requires (enforced at publish, not optional) at least one contextual in-body link to a relevant practice, industry, or technology page — this is the primary mechanism connecting top-of-funnel content traffic to commercial pages</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Breadcrumb</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Every page links upward through its full hierarchy (Section 3.4), providing a consistent baseline link path regardless of taxonomy tagging completeness</w:t>
            </w:r>
          </w:p>
        </w:tc>
      </w:tr>
    </w:tbl>
    <w:p>
      <w:pPr>
        <w:pStyle w:val="Heading2"/>
        <w:spacing w:after="160" w:before="320"/>
      </w:pPr>
      <w:r>
        <w:rPr>
          <w:rFonts w:ascii="Calibri" w:cs="Calibri" w:eastAsia="Calibri" w:hAnsi="Calibri"/>
          <w:b/>
          <w:bCs/>
          <w:color w:val="132B4F"/>
          <w:sz w:val="26"/>
          <w:szCs w:val="26"/>
        </w:rPr>
        <w:t xml:space="preserve">31.3 Anchor Text Standards</w:t>
      </w:r>
    </w:p>
    <w:p>
      <w:pPr>
        <w:spacing w:after="160" w:line="300"/>
      </w:pPr>
      <w:r>
        <w:rPr>
          <w:rFonts w:ascii="Calibri" w:cs="Calibri" w:eastAsia="Calibri" w:hAnsi="Calibri"/>
          <w:b w:val="false"/>
          <w:bCs w:val="false"/>
          <w:i w:val="false"/>
          <w:iCs w:val="false"/>
          <w:color w:val="3F3F3F"/>
          <w:sz w:val="21"/>
          <w:szCs w:val="21"/>
        </w:rPr>
        <w:t xml:space="preserve">Automated and manual internal links alike use descriptive, keyword-relevant anchor text ("see our ServiceNow implementation approach") rather than generic anchors ("click here," "learn more") — this is enforced via a CMS component that requires a text label input whenever a link component is used, rather than allowing raw URL pasting into body copy.</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32  </w:t>
      </w:r>
      <w:r>
        <w:rPr>
          <w:rFonts w:ascii="Calibri" w:cs="Calibri" w:eastAsia="Calibri" w:hAnsi="Calibri"/>
          <w:b/>
          <w:bCs/>
          <w:color w:val="0B1F3A"/>
          <w:sz w:val="32"/>
          <w:szCs w:val="32"/>
        </w:rPr>
        <w:t xml:space="preserve">32. Footer Architecture</w:t>
      </w:r>
    </w:p>
    <w:p>
      <w:pPr>
        <w:pStyle w:val="Heading2"/>
        <w:spacing w:after="160" w:before="320"/>
      </w:pPr>
      <w:r>
        <w:rPr>
          <w:rFonts w:ascii="Calibri" w:cs="Calibri" w:eastAsia="Calibri" w:hAnsi="Calibri"/>
          <w:b/>
          <w:bCs/>
          <w:color w:val="132B4F"/>
          <w:sz w:val="26"/>
          <w:szCs w:val="26"/>
        </w:rPr>
        <w:t xml:space="preserve">32.1 Footer Structure</w:t>
      </w:r>
    </w:p>
    <w:p>
      <w:pPr>
        <w:spacing w:after="160" w:line="300"/>
      </w:pPr>
      <w:r>
        <w:rPr>
          <w:rFonts w:ascii="Calibri" w:cs="Calibri" w:eastAsia="Calibri" w:hAnsi="Calibri"/>
          <w:b w:val="false"/>
          <w:bCs w:val="false"/>
          <w:i w:val="false"/>
          <w:iCs w:val="false"/>
          <w:color w:val="3F3F3F"/>
          <w:sz w:val="21"/>
          <w:szCs w:val="21"/>
        </w:rPr>
        <w:t xml:space="preserve">The footer is the site's secondary, exhaustive IA layer (Section 3.5) — organized in columns, dark navy background, gold section-header labels, light-gray body links.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Contents</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Practices</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All 7 practices listed by name, each linking to its hub</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Industries</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All 10 industries listed, each linking to its hub</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Locations</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All 6 regions listed, each linking to its hub</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Company</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Our Story, Leadership, Partnerships &amp; Certifications, Newsroom, ESG &amp; Community, Contact</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Careers</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Life at TeamBees, Open Roles, Candidate Resources, D&amp;I</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Resources</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Blog/Insights, Guides &amp; Whitepapers, Webinars &amp; Events, Research Reports, Case Studies</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Legal (bottom bar)</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Privacy Policy, Cookie Policy, Terms of Use, Accessibility Statement, Modern Slavery Statement (relevant for UK/EU/AU), Sitemap</w:t>
            </w:r>
          </w:p>
        </w:tc>
      </w:tr>
    </w:tbl>
    <w:p>
      <w:pPr>
        <w:pStyle w:val="Heading2"/>
        <w:spacing w:after="160" w:before="320"/>
      </w:pPr>
      <w:r>
        <w:rPr>
          <w:rFonts w:ascii="Calibri" w:cs="Calibri" w:eastAsia="Calibri" w:hAnsi="Calibri"/>
          <w:b/>
          <w:bCs/>
          <w:color w:val="132B4F"/>
          <w:sz w:val="26"/>
          <w:szCs w:val="26"/>
        </w:rPr>
        <w:t xml:space="preserve">32.2 Additional Footer Elements</w:t>
      </w:r>
    </w:p>
    <w:p>
      <w:pPr>
        <w:pStyle w:val="ListParagraph"/>
        <w:numPr>
          <w:ilvl w:val="0"/>
          <w:numId w:val="2"/>
        </w:numPr>
        <w:spacing w:after="90"/>
      </w:pPr>
      <w:r>
        <w:rPr>
          <w:rFonts w:ascii="Calibri" w:cs="Calibri" w:eastAsia="Calibri" w:hAnsi="Calibri"/>
          <w:color w:val="3F3F3F"/>
          <w:sz w:val="21"/>
          <w:szCs w:val="21"/>
        </w:rPr>
        <w:t xml:space="preserve">Newsletter signup (single email field) placed prominently in the footer as a low-friction, always-available conversion point on every single page.</w:t>
      </w:r>
    </w:p>
    <w:p>
      <w:pPr>
        <w:pStyle w:val="ListParagraph"/>
        <w:numPr>
          <w:ilvl w:val="0"/>
          <w:numId w:val="2"/>
        </w:numPr>
        <w:spacing w:after="90"/>
      </w:pPr>
      <w:r>
        <w:rPr>
          <w:rFonts w:ascii="Calibri" w:cs="Calibri" w:eastAsia="Calibri" w:hAnsi="Calibri"/>
          <w:color w:val="3F3F3F"/>
          <w:sz w:val="21"/>
          <w:szCs w:val="21"/>
        </w:rPr>
        <w:t xml:space="preserve">Social links (LinkedIn primary, given B2B audience; secondary platforms as relevant) with accessible icon labels.</w:t>
      </w:r>
    </w:p>
    <w:p>
      <w:pPr>
        <w:pStyle w:val="ListParagraph"/>
        <w:numPr>
          <w:ilvl w:val="0"/>
          <w:numId w:val="2"/>
        </w:numPr>
        <w:spacing w:after="90"/>
      </w:pPr>
      <w:r>
        <w:rPr>
          <w:rFonts w:ascii="Calibri" w:cs="Calibri" w:eastAsia="Calibri" w:hAnsi="Calibri"/>
          <w:color w:val="3F3F3F"/>
          <w:sz w:val="21"/>
          <w:szCs w:val="21"/>
        </w:rPr>
        <w:t xml:space="preserve">Certification/partner badges (ServiceNow, ISO, etc.) displayed as a logo row directly above the legal bottom bar — reinforces trust signals from Section 10 on every page, not just dedicated trust pages.</w:t>
      </w:r>
    </w:p>
    <w:p>
      <w:pPr>
        <w:pStyle w:val="ListParagraph"/>
        <w:numPr>
          <w:ilvl w:val="0"/>
          <w:numId w:val="2"/>
        </w:numPr>
        <w:spacing w:after="90"/>
      </w:pPr>
      <w:r>
        <w:rPr>
          <w:rFonts w:ascii="Calibri" w:cs="Calibri" w:eastAsia="Calibri" w:hAnsi="Calibri"/>
          <w:color w:val="3F3F3F"/>
          <w:sz w:val="21"/>
          <w:szCs w:val="21"/>
        </w:rPr>
        <w:t xml:space="preserve">Region/language selector repeated in the footer for users who scroll past the header.</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
      </w:r>
      <w:r>
        <w:rPr>
          <w:rFonts w:ascii="Calibri" w:cs="Calibri" w:eastAsia="Calibri" w:hAnsi="Calibri"/>
          <w:b/>
          <w:bCs/>
          <w:color w:val="0B1F3A"/>
          <w:sz w:val="32"/>
          <w:szCs w:val="32"/>
        </w:rPr>
        <w:t xml:space="preserve">PART V</w:t>
      </w:r>
    </w:p>
    <w:p>
      <w:pPr>
        <w:pStyle w:val="Heading2"/>
        <w:spacing w:after="160" w:before="320"/>
      </w:pPr>
      <w:r>
        <w:rPr>
          <w:rFonts w:ascii="Calibri" w:cs="Calibri" w:eastAsia="Calibri" w:hAnsi="Calibri"/>
          <w:b/>
          <w:bCs/>
          <w:color w:val="132B4F"/>
          <w:sz w:val="26"/>
          <w:szCs w:val="26"/>
        </w:rPr>
        <w:t xml:space="preserve">Content &amp; Copy Library</w:t>
      </w:r>
    </w:p>
    <w:p>
      <w:pPr>
        <w:spacing w:after="160" w:line="300"/>
      </w:pPr>
      <w:r>
        <w:rPr>
          <w:rFonts w:ascii="Calibri" w:cs="Calibri" w:eastAsia="Calibri" w:hAnsi="Calibri"/>
          <w:b w:val="false"/>
          <w:bCs w:val="false"/>
          <w:i w:val="false"/>
          <w:iCs w:val="false"/>
          <w:color w:val="3F3F3F"/>
          <w:sz w:val="21"/>
          <w:szCs w:val="21"/>
        </w:rPr>
        <w:t xml:space="preserve">Section-level draft copy for Homepage and Practice pages already appears inline in Sections 21–22. This part consolidates the remaining reusable copy blocks — CTA microcopy, proof-bar stat framing, form microcopy, and error/empty states — that recur across every template.</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33  </w:t>
      </w:r>
      <w:r>
        <w:rPr>
          <w:rFonts w:ascii="Calibri" w:cs="Calibri" w:eastAsia="Calibri" w:hAnsi="Calibri"/>
          <w:b/>
          <w:bCs/>
          <w:color w:val="0B1F3A"/>
          <w:sz w:val="32"/>
          <w:szCs w:val="32"/>
        </w:rPr>
        <w:t xml:space="preserve">33. Detailed Copy Recommendations, Section by Section</w:t>
      </w:r>
    </w:p>
    <w:p>
      <w:pPr>
        <w:pStyle w:val="Heading2"/>
        <w:spacing w:after="160" w:before="320"/>
      </w:pPr>
      <w:r>
        <w:rPr>
          <w:rFonts w:ascii="Calibri" w:cs="Calibri" w:eastAsia="Calibri" w:hAnsi="Calibri"/>
          <w:b/>
          <w:bCs/>
          <w:color w:val="132B4F"/>
          <w:sz w:val="26"/>
          <w:szCs w:val="26"/>
        </w:rPr>
        <w:t xml:space="preserve">33.1 Global CTA Microcopy Library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Context</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Primary CTA</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Secondary CTA</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Homepage</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Book a Consultation</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Explore Our Practices</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Practice hub (generic pattern)</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Talk to a {Practice} Specialist</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See Case Studies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Industry hub</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Talk to a {Industry} Specialist</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See {Industry} Case Studies</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Technology page</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Talk to a {Platform} Specialist</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See Certifications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Case study</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Get Results Like This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See More Case Studies</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Blog / Insight article</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Talk to Our Team</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Subscribe for More Insights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Gated guide/report</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Download the Full Guide</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Careers hub</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View Open Roles</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Join Our Talent Community</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Job detail page</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Apply Now</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Share This Role</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Contact page</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Send Your Message</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Book a Call Instead</w:t>
            </w:r>
          </w:p>
        </w:tc>
      </w:tr>
    </w:tbl>
    <w:p>
      <w:pPr>
        <w:pStyle w:val="Heading2"/>
        <w:spacing w:after="160" w:before="320"/>
      </w:pPr>
      <w:r>
        <w:rPr>
          <w:rFonts w:ascii="Calibri" w:cs="Calibri" w:eastAsia="Calibri" w:hAnsi="Calibri"/>
          <w:b/>
          <w:bCs/>
          <w:color w:val="132B4F"/>
          <w:sz w:val="26"/>
          <w:szCs w:val="26"/>
        </w:rPr>
        <w:t xml:space="preserve">33.2 Proof Bar Copy Framing</w:t>
      </w:r>
    </w:p>
    <w:p>
      <w:pPr>
        <w:spacing w:after="160" w:line="300"/>
      </w:pPr>
      <w:r>
        <w:rPr>
          <w:rFonts w:ascii="Calibri" w:cs="Calibri" w:eastAsia="Calibri" w:hAnsi="Calibri"/>
          <w:b w:val="false"/>
          <w:bCs w:val="false"/>
          <w:i w:val="false"/>
          <w:iCs w:val="false"/>
          <w:color w:val="3F3F3F"/>
          <w:sz w:val="21"/>
          <w:szCs w:val="21"/>
        </w:rPr>
        <w:t xml:space="preserve">Proof-bar stats should always pair a number with a short, specific context phrase — never a bare number. Draft patterns (figures to be validated with real data before launch):</w:t>
      </w:r>
    </w:p>
    <w:p>
      <w:pPr>
        <w:pStyle w:val="ListParagraph"/>
        <w:numPr>
          <w:ilvl w:val="0"/>
          <w:numId w:val="2"/>
        </w:numPr>
        <w:spacing w:after="90"/>
      </w:pPr>
      <w:r>
        <w:rPr>
          <w:rFonts w:ascii="Calibri" w:cs="Calibri" w:eastAsia="Calibri" w:hAnsi="Calibri"/>
          <w:color w:val="3F3F3F"/>
          <w:sz w:val="21"/>
          <w:szCs w:val="21"/>
        </w:rPr>
        <w:t xml:space="preserve">"{X}+ specialists placed across six regions"</w:t>
      </w:r>
    </w:p>
    <w:p>
      <w:pPr>
        <w:pStyle w:val="ListParagraph"/>
        <w:numPr>
          <w:ilvl w:val="0"/>
          <w:numId w:val="2"/>
        </w:numPr>
        <w:spacing w:after="90"/>
      </w:pPr>
      <w:r>
        <w:rPr>
          <w:rFonts w:ascii="Calibri" w:cs="Calibri" w:eastAsia="Calibri" w:hAnsi="Calibri"/>
          <w:color w:val="3F3F3F"/>
          <w:sz w:val="21"/>
          <w:szCs w:val="21"/>
        </w:rPr>
        <w:t xml:space="preserve">"{X}% average reduction in time-to-hire"</w:t>
      </w:r>
    </w:p>
    <w:p>
      <w:pPr>
        <w:pStyle w:val="ListParagraph"/>
        <w:numPr>
          <w:ilvl w:val="0"/>
          <w:numId w:val="2"/>
        </w:numPr>
        <w:spacing w:after="90"/>
      </w:pPr>
      <w:r>
        <w:rPr>
          <w:rFonts w:ascii="Calibri" w:cs="Calibri" w:eastAsia="Calibri" w:hAnsi="Calibri"/>
          <w:color w:val="3F3F3F"/>
          <w:sz w:val="21"/>
          <w:szCs w:val="21"/>
        </w:rPr>
        <w:t xml:space="preserve">"{X} ServiceNow-certified consultants on staff"</w:t>
      </w:r>
    </w:p>
    <w:p>
      <w:pPr>
        <w:pStyle w:val="ListParagraph"/>
        <w:numPr>
          <w:ilvl w:val="0"/>
          <w:numId w:val="2"/>
        </w:numPr>
        <w:spacing w:after="90"/>
      </w:pPr>
      <w:r>
        <w:rPr>
          <w:rFonts w:ascii="Calibri" w:cs="Calibri" w:eastAsia="Calibri" w:hAnsi="Calibri"/>
          <w:color w:val="3F3F3F"/>
          <w:sz w:val="21"/>
          <w:szCs w:val="21"/>
        </w:rPr>
        <w:t xml:space="preserve">"{X} production AI agents deployed for clients"</w:t>
      </w:r>
    </w:p>
    <w:p>
      <w:pPr>
        <w:pStyle w:val="ListParagraph"/>
        <w:numPr>
          <w:ilvl w:val="0"/>
          <w:numId w:val="2"/>
        </w:numPr>
        <w:spacing w:after="90"/>
      </w:pPr>
      <w:r>
        <w:rPr>
          <w:rFonts w:ascii="Calibri" w:cs="Calibri" w:eastAsia="Calibri" w:hAnsi="Calibri"/>
          <w:color w:val="3F3F3F"/>
          <w:sz w:val="21"/>
          <w:szCs w:val="21"/>
        </w:rPr>
        <w:t xml:space="preserve">"{X}% client retention rate over the past three years"</w:t>
      </w:r>
    </w:p>
    <w:p>
      <w:pPr>
        <w:pStyle w:val="Heading2"/>
        <w:spacing w:after="160" w:before="320"/>
      </w:pPr>
      <w:r>
        <w:rPr>
          <w:rFonts w:ascii="Calibri" w:cs="Calibri" w:eastAsia="Calibri" w:hAnsi="Calibri"/>
          <w:b/>
          <w:bCs/>
          <w:color w:val="132B4F"/>
          <w:sz w:val="26"/>
          <w:szCs w:val="26"/>
        </w:rPr>
        <w:t xml:space="preserve">33.3 Form Microcopy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Element</w:t>
            </w:r>
          </w:p>
        </w:tc>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Draft copy</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Book a Consultation form intro</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"Tell us a bit about what you need — we'll route you to the right specialist within one business day."</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Privacy micro-copy under submit</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"We'll only use your details to respond to this request. See our Privacy Policy."</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Resource download intro</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"Enter your email and we'll send the guide straight away — no sales call required."</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Form success state (consultation)</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"Thanks — you're booked in. Check your inbox for a confirmation and calendar invite."</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Form success state (resource)</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"On its way. Check your inbox — and your spam folder, just in case."</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Job application success state</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"Application received. Our talent team typically responds within 5 business days — here's what happens next."</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Inline validation error (generic)</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"This doesn't look quite right — please check and try again."</w:t>
            </w:r>
          </w:p>
        </w:tc>
      </w:tr>
    </w:tbl>
    <w:p>
      <w:pPr>
        <w:pStyle w:val="Heading2"/>
        <w:spacing w:after="160" w:before="320"/>
      </w:pPr>
      <w:r>
        <w:rPr>
          <w:rFonts w:ascii="Calibri" w:cs="Calibri" w:eastAsia="Calibri" w:hAnsi="Calibri"/>
          <w:b/>
          <w:bCs/>
          <w:color w:val="132B4F"/>
          <w:sz w:val="26"/>
          <w:szCs w:val="26"/>
        </w:rPr>
        <w:t xml:space="preserve">33.4 Empty &amp; Error State Copy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State</w:t>
            </w:r>
          </w:p>
        </w:tc>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Draft copy</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404 page</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"This page took a different career path. Let's get you back on track." + search bar + links to Homepage, Practices, Careers</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No search results</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"We couldn't find a match for that. Try a different term, or ask Bee Assistant."</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No jobs match filter</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"No open roles match those filters right now. Join our Talent Community and we'll reach out when one does."</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No case studies match filter</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"No case studies match that combination yet — here are some closely related stories instead." (falls back to nearest-taxonomy-match results rather than a true blank state)</w:t>
            </w:r>
          </w:p>
        </w:tc>
      </w:tr>
    </w:tbl>
    <w:p>
      <w:pPr>
        <w:pStyle w:val="Heading2"/>
        <w:spacing w:after="160" w:before="320"/>
      </w:pPr>
      <w:r>
        <w:rPr>
          <w:rFonts w:ascii="Calibri" w:cs="Calibri" w:eastAsia="Calibri" w:hAnsi="Calibri"/>
          <w:b/>
          <w:bCs/>
          <w:color w:val="132B4F"/>
          <w:sz w:val="26"/>
          <w:szCs w:val="26"/>
        </w:rPr>
        <w:t xml:space="preserve">33.5 Voice Consistency Checklist for Any New Copy</w:t>
      </w:r>
    </w:p>
    <w:p>
      <w:pPr>
        <w:pStyle w:val="ListParagraph"/>
        <w:numPr>
          <w:ilvl w:val="0"/>
          <w:numId w:val="2"/>
        </w:numPr>
        <w:spacing w:after="90"/>
      </w:pPr>
      <w:r>
        <w:rPr>
          <w:rFonts w:ascii="Calibri" w:cs="Calibri" w:eastAsia="Calibri" w:hAnsi="Calibri"/>
          <w:color w:val="3F3F3F"/>
          <w:sz w:val="21"/>
          <w:szCs w:val="21"/>
        </w:rPr>
        <w:t xml:space="preserve">Does it lead with an outcome, not a feature? (Section 1.6 / 4.2)</w:t>
      </w:r>
    </w:p>
    <w:p>
      <w:pPr>
        <w:pStyle w:val="ListParagraph"/>
        <w:numPr>
          <w:ilvl w:val="0"/>
          <w:numId w:val="2"/>
        </w:numPr>
        <w:spacing w:after="90"/>
      </w:pPr>
      <w:r>
        <w:rPr>
          <w:rFonts w:ascii="Calibri" w:cs="Calibri" w:eastAsia="Calibri" w:hAnsi="Calibri"/>
          <w:color w:val="3F3F3F"/>
          <w:sz w:val="21"/>
          <w:szCs w:val="21"/>
        </w:rPr>
        <w:t xml:space="preserve">Does it avoid unqualified superlatives without a citable source? (Section 1.6)</w:t>
      </w:r>
    </w:p>
    <w:p>
      <w:pPr>
        <w:pStyle w:val="ListParagraph"/>
        <w:numPr>
          <w:ilvl w:val="0"/>
          <w:numId w:val="2"/>
        </w:numPr>
        <w:spacing w:after="90"/>
      </w:pPr>
      <w:r>
        <w:rPr>
          <w:rFonts w:ascii="Calibri" w:cs="Calibri" w:eastAsia="Calibri" w:hAnsi="Calibri"/>
          <w:color w:val="3F3F3F"/>
          <w:sz w:val="21"/>
          <w:szCs w:val="21"/>
        </w:rPr>
        <w:t xml:space="preserve">Is the CTA a specific action verb, not a generic "Submit" or "Learn More"? (Section 11.2)</w:t>
      </w:r>
    </w:p>
    <w:p>
      <w:pPr>
        <w:pStyle w:val="ListParagraph"/>
        <w:numPr>
          <w:ilvl w:val="0"/>
          <w:numId w:val="2"/>
        </w:numPr>
        <w:spacing w:after="90"/>
      </w:pPr>
      <w:r>
        <w:rPr>
          <w:rFonts w:ascii="Calibri" w:cs="Calibri" w:eastAsia="Calibri" w:hAnsi="Calibri"/>
          <w:color w:val="3F3F3F"/>
          <w:sz w:val="21"/>
          <w:szCs w:val="21"/>
        </w:rPr>
        <w:t xml:space="preserve">If candidate-facing, is the tone warmer/more personal than client-facing copy on the same topic? (Section 1.7)</w:t>
      </w:r>
    </w:p>
    <w:p>
      <w:pPr>
        <w:pStyle w:val="ListParagraph"/>
        <w:numPr>
          <w:ilvl w:val="0"/>
          <w:numId w:val="2"/>
        </w:numPr>
        <w:spacing w:after="90"/>
      </w:pPr>
      <w:r>
        <w:rPr>
          <w:rFonts w:ascii="Calibri" w:cs="Calibri" w:eastAsia="Calibri" w:hAnsi="Calibri"/>
          <w:color w:val="3F3F3F"/>
          <w:sz w:val="21"/>
          <w:szCs w:val="21"/>
        </w:rPr>
        <w:t xml:space="preserve">Does every claim about scale, certification, or outcome trace to a real, sourced figure?</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
      </w:r>
      <w:r>
        <w:rPr>
          <w:rFonts w:ascii="Calibri" w:cs="Calibri" w:eastAsia="Calibri" w:hAnsi="Calibri"/>
          <w:b/>
          <w:bCs/>
          <w:color w:val="0B1F3A"/>
          <w:sz w:val="32"/>
          <w:szCs w:val="32"/>
        </w:rPr>
        <w:t xml:space="preserve">PART VI</w:t>
      </w:r>
    </w:p>
    <w:p>
      <w:pPr>
        <w:pStyle w:val="Heading2"/>
        <w:spacing w:after="160" w:before="320"/>
      </w:pPr>
      <w:r>
        <w:rPr>
          <w:rFonts w:ascii="Calibri" w:cs="Calibri" w:eastAsia="Calibri" w:hAnsi="Calibri"/>
          <w:b/>
          <w:bCs/>
          <w:color w:val="132B4F"/>
          <w:sz w:val="26"/>
          <w:szCs w:val="26"/>
        </w:rPr>
        <w:t xml:space="preserve">Technology, Operations &amp; Governance</w:t>
      </w:r>
    </w:p>
    <w:p>
      <w:pPr>
        <w:spacing w:after="160" w:line="300"/>
      </w:pPr>
      <w:r>
        <w:rPr>
          <w:rFonts w:ascii="Calibri" w:cs="Calibri" w:eastAsia="Calibri" w:hAnsi="Calibri"/>
          <w:b w:val="false"/>
          <w:bCs w:val="false"/>
          <w:i w:val="false"/>
          <w:iCs w:val="false"/>
          <w:color w:val="3F3F3F"/>
          <w:sz w:val="21"/>
          <w:szCs w:val="21"/>
        </w:rPr>
        <w:t xml:space="preserve">This part specifies the infrastructure decisions — CRM, analytics, performance, security, and the development stack — needed to operate the site reliably at scale, and to prove the marketing and recruiting ROI back to leadership.</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34  </w:t>
      </w:r>
      <w:r>
        <w:rPr>
          <w:rFonts w:ascii="Calibri" w:cs="Calibri" w:eastAsia="Calibri" w:hAnsi="Calibri"/>
          <w:b/>
          <w:bCs/>
          <w:color w:val="0B1F3A"/>
          <w:sz w:val="32"/>
          <w:szCs w:val="32"/>
        </w:rPr>
        <w:t xml:space="preserve">34. CRM Integration Recommendations</w:t>
      </w:r>
    </w:p>
    <w:p>
      <w:pPr>
        <w:pStyle w:val="Heading2"/>
        <w:spacing w:after="160" w:before="320"/>
      </w:pPr>
      <w:r>
        <w:rPr>
          <w:rFonts w:ascii="Calibri" w:cs="Calibri" w:eastAsia="Calibri" w:hAnsi="Calibri"/>
          <w:b/>
          <w:bCs/>
          <w:color w:val="132B4F"/>
          <w:sz w:val="26"/>
          <w:szCs w:val="26"/>
        </w:rPr>
        <w:t xml:space="preserve">34.1 Recommended Architecture</w:t>
      </w:r>
    </w:p>
    <w:p>
      <w:pPr>
        <w:spacing w:after="160" w:line="300"/>
      </w:pPr>
      <w:r>
        <w:rPr>
          <w:rFonts w:ascii="Calibri" w:cs="Calibri" w:eastAsia="Calibri" w:hAnsi="Calibri"/>
          <w:b w:val="false"/>
          <w:bCs w:val="false"/>
          <w:i w:val="false"/>
          <w:iCs w:val="false"/>
          <w:color w:val="3F3F3F"/>
          <w:sz w:val="21"/>
          <w:szCs w:val="21"/>
        </w:rPr>
        <w:t xml:space="preserve">The website's forms, chatbot, and lead-scoring logic (Section 8) should write directly into TeamBees' CRM (e.g., HubSpot, Salesforce, or Zoho depending on current TeamBees stack — decision needed, see below) via API/webhook rather than through manual export, so sales follow-up SLAs (Section 8.2) are enforceable in near-real time.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color="FFFFFF" w:sz="0"/>
              <w:left w:val="single" w:color="C6963A" w:sz="24"/>
              <w:bottom w:val="none" w:color="FFFFFF" w:sz="0"/>
              <w:right w:val="none" w:color="FFFFFF" w:sz="0"/>
            </w:tcBorders>
            <w:shd w:fill="FBF6EA" w:color="FBF6EA" w:val="clear"/>
            <w:tcMar>
              <w:top w:type="dxa" w:w="160"/>
              <w:left w:type="dxa" w:w="200"/>
              <w:bottom w:type="dxa" w:w="160"/>
              <w:right w:type="dxa" w:w="200"/>
            </w:tcMar>
          </w:tcPr>
          <w:p>
            <w:pPr>
              <w:spacing w:after="80"/>
            </w:pPr>
            <w:r>
              <w:rPr>
                <w:rFonts w:ascii="Calibri" w:cs="Calibri" w:eastAsia="Calibri" w:hAnsi="Calibri"/>
                <w:b/>
                <w:bCs/>
                <w:color w:val="0B1F3A"/>
                <w:sz w:val="21"/>
                <w:szCs w:val="21"/>
              </w:rPr>
              <w:t xml:space="preserve">Decision needed</w:t>
            </w:r>
          </w:p>
          <w:p>
            <w:r>
              <w:rPr>
                <w:rFonts w:ascii="Calibri" w:cs="Calibri" w:eastAsia="Calibri" w:hAnsi="Calibri"/>
                <w:color w:val="3F3F3F"/>
                <w:sz w:val="20"/>
                <w:szCs w:val="20"/>
              </w:rPr>
              <w:t xml:space="preserve">Confirm TeamBees' current CRM of record. Given Marketing Bees' existing HubSpot expertise (noted in TeamBees' own service list), HubSpot is the natural default recommendation if no CRM is already deeply embedded — it also natively supports the marketing-automation and lead-scoring needs in Section 8 without a separate marketing automation platform.</w:t>
            </w:r>
          </w:p>
        </w:tc>
      </w:tr>
    </w:tbl>
    <w:p>
      <w:pPr>
        <w:pStyle w:val="Heading2"/>
        <w:spacing w:after="160" w:before="320"/>
      </w:pPr>
      <w:r>
        <w:rPr>
          <w:rFonts w:ascii="Calibri" w:cs="Calibri" w:eastAsia="Calibri" w:hAnsi="Calibri"/>
          <w:b/>
          <w:bCs/>
          <w:color w:val="132B4F"/>
          <w:sz w:val="26"/>
          <w:szCs w:val="26"/>
        </w:rPr>
        <w:t xml:space="preserve">34.2 Data Flow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Trigger</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sent to CRM</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CRM action</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Any form submission</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All form fields + UTM/source data + page URL + taxonomy tags of the page (Practice/Industry/Region)</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Create/update contact record, log activity, apply lead score (Section 8.2)</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Chatbot conversation with qualification</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Conversation summary + qualification answers</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Create/update contact record, flag for sales review if score threshold met</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Job application</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Application data + resume file</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Create candidate record in ATS (may be a separate system from CRM, e.g., Greenhouse/Bullhorn — integration needed both ways)</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High-intent behavioral signal (3+ page visits in session, per Section 8.2)</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Session/page-view data via analytics-to-CRM sync</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Increment lead score without requiring a form submission</w:t>
            </w:r>
          </w:p>
        </w:tc>
      </w:tr>
    </w:tbl>
    <w:p>
      <w:pPr>
        <w:pStyle w:val="Heading2"/>
        <w:spacing w:after="160" w:before="320"/>
      </w:pPr>
      <w:r>
        <w:rPr>
          <w:rFonts w:ascii="Calibri" w:cs="Calibri" w:eastAsia="Calibri" w:hAnsi="Calibri"/>
          <w:b/>
          <w:bCs/>
          <w:color w:val="132B4F"/>
          <w:sz w:val="26"/>
          <w:szCs w:val="26"/>
        </w:rPr>
        <w:t xml:space="preserve">34.3 Governance</w:t>
      </w:r>
    </w:p>
    <w:p>
      <w:pPr>
        <w:pStyle w:val="ListParagraph"/>
        <w:numPr>
          <w:ilvl w:val="0"/>
          <w:numId w:val="2"/>
        </w:numPr>
        <w:spacing w:after="90"/>
      </w:pPr>
      <w:r>
        <w:rPr>
          <w:rFonts w:ascii="Calibri" w:cs="Calibri" w:eastAsia="Calibri" w:hAnsi="Calibri"/>
          <w:color w:val="3F3F3F"/>
          <w:sz w:val="21"/>
          <w:szCs w:val="21"/>
        </w:rPr>
        <w:t xml:space="preserve">A single, documented field-mapping spec between website forms and CRM fields, version-controlled, so new landing pages/forms don't silently create mismatched or duplicate fields as the site scales to 300+ pages.</w:t>
      </w:r>
    </w:p>
    <w:p>
      <w:pPr>
        <w:pStyle w:val="ListParagraph"/>
        <w:numPr>
          <w:ilvl w:val="0"/>
          <w:numId w:val="2"/>
        </w:numPr>
        <w:spacing w:after="90"/>
      </w:pPr>
      <w:r>
        <w:rPr>
          <w:rFonts w:ascii="Calibri" w:cs="Calibri" w:eastAsia="Calibri" w:hAnsi="Calibri"/>
          <w:color w:val="3F3F3F"/>
          <w:sz w:val="21"/>
          <w:szCs w:val="21"/>
        </w:rPr>
        <w:t xml:space="preserve">Deduplication logic (by email domain + name) to prevent the same enterprise account from creating fragmented contact records across multiple regional or practice-specific form submissions.</w:t>
      </w:r>
    </w:p>
    <w:p>
      <w:pPr>
        <w:pStyle w:val="ListParagraph"/>
        <w:numPr>
          <w:ilvl w:val="0"/>
          <w:numId w:val="2"/>
        </w:numPr>
        <w:spacing w:after="90"/>
      </w:pPr>
      <w:r>
        <w:rPr>
          <w:rFonts w:ascii="Calibri" w:cs="Calibri" w:eastAsia="Calibri" w:hAnsi="Calibri"/>
          <w:color w:val="3F3F3F"/>
          <w:sz w:val="21"/>
          <w:szCs w:val="21"/>
        </w:rPr>
        <w:t xml:space="preserve">Clear data-retention and consent logic matching GDPR (UK/EU) and applicable US state privacy law requirements for how long form data is retained and how opt-outs propagate.</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35  </w:t>
      </w:r>
      <w:r>
        <w:rPr>
          <w:rFonts w:ascii="Calibri" w:cs="Calibri" w:eastAsia="Calibri" w:hAnsi="Calibri"/>
          <w:b/>
          <w:bCs/>
          <w:color w:val="0B1F3A"/>
          <w:sz w:val="32"/>
          <w:szCs w:val="32"/>
        </w:rPr>
        <w:t xml:space="preserve">35. Analytics &amp; KPI Dashboard</w:t>
      </w:r>
    </w:p>
    <w:p>
      <w:pPr>
        <w:pStyle w:val="Heading2"/>
        <w:spacing w:after="160" w:before="320"/>
      </w:pPr>
      <w:r>
        <w:rPr>
          <w:rFonts w:ascii="Calibri" w:cs="Calibri" w:eastAsia="Calibri" w:hAnsi="Calibri"/>
          <w:b/>
          <w:bCs/>
          <w:color w:val="132B4F"/>
          <w:sz w:val="26"/>
          <w:szCs w:val="26"/>
        </w:rPr>
        <w:t xml:space="preserve">35.1 Analytics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Layer</w:t>
            </w:r>
          </w:p>
        </w:tc>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Recommendation</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Web analytics</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GA4 (or a privacy-focused alternative if required by policy) for traffic, engagement, and funnel analysis</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Product/behavior analytics</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An event-based tool (e.g., an analytics layer capturing scroll depth, CTA clicks, chatbot engagement) feeding the CRO test program in Section 9</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Search performance</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Google Search Console, tracked against the keyword-tier structure in Section 6.2</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CRM/revenue reporting</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Dashboards built on top of the CRM (Section 34) to close the loop from traffic → lead → SQL → won deal</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Uptime/performance monitoring</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Synthetic + real-user monitoring (RUM) tied to the Core Web Vitals budget in Section 36</w:t>
            </w:r>
          </w:p>
        </w:tc>
      </w:tr>
    </w:tbl>
    <w:p>
      <w:pPr>
        <w:pStyle w:val="Heading2"/>
        <w:spacing w:after="160" w:before="320"/>
      </w:pPr>
      <w:r>
        <w:rPr>
          <w:rFonts w:ascii="Calibri" w:cs="Calibri" w:eastAsia="Calibri" w:hAnsi="Calibri"/>
          <w:b/>
          <w:bCs/>
          <w:color w:val="132B4F"/>
          <w:sz w:val="26"/>
          <w:szCs w:val="26"/>
        </w:rPr>
        <w:t xml:space="preserve">35.2 Executive KPI Dashboard — Recommended Layout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Dashboard section</w:t>
            </w:r>
          </w:p>
        </w:tc>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Metrics shown</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Top-line traffic &amp; demand</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Sessions (total, organic, paid), sessions by region, indexed-page count vs. 300-page target</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Funnel performance</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Session-to-lead rate, lead-to-SQL rate, SQL-to-won rate, by practice and region</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Content performance</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Top-performing pages by conversion (not just traffic), organic keyword rank distribution by tier (Section 6.2)</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Candidate funnel</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Job page views, applications started vs. completed, applications by practice/region</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Site health</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Core Web Vitals pass rate, accessibility audit status, uptime</w:t>
            </w:r>
          </w:p>
        </w:tc>
      </w:tr>
    </w:tbl>
    <w:p>
      <w:pPr>
        <w:pStyle w:val="Heading2"/>
        <w:spacing w:after="160" w:before="320"/>
      </w:pPr>
      <w:r>
        <w:rPr>
          <w:rFonts w:ascii="Calibri" w:cs="Calibri" w:eastAsia="Calibri" w:hAnsi="Calibri"/>
          <w:b/>
          <w:bCs/>
          <w:color w:val="132B4F"/>
          <w:sz w:val="26"/>
          <w:szCs w:val="26"/>
        </w:rPr>
        <w:t xml:space="preserve">35.3 Reporting Cadence</w:t>
      </w:r>
    </w:p>
    <w:p>
      <w:pPr>
        <w:pStyle w:val="ListParagraph"/>
        <w:numPr>
          <w:ilvl w:val="0"/>
          <w:numId w:val="2"/>
        </w:numPr>
        <w:spacing w:after="90"/>
      </w:pPr>
      <w:r>
        <w:rPr>
          <w:rFonts w:ascii="Calibri" w:cs="Calibri" w:eastAsia="Calibri" w:hAnsi="Calibri"/>
          <w:color w:val="3F3F3F"/>
          <w:sz w:val="21"/>
          <w:szCs w:val="21"/>
        </w:rPr>
        <w:t xml:space="preserve">Weekly: operational dashboard review (traffic, lead volume, SLA adherence) by marketing ops.</w:t>
      </w:r>
    </w:p>
    <w:p>
      <w:pPr>
        <w:pStyle w:val="ListParagraph"/>
        <w:numPr>
          <w:ilvl w:val="0"/>
          <w:numId w:val="2"/>
        </w:numPr>
        <w:spacing w:after="90"/>
      </w:pPr>
      <w:r>
        <w:rPr>
          <w:rFonts w:ascii="Calibri" w:cs="Calibri" w:eastAsia="Calibri" w:hAnsi="Calibri"/>
          <w:color w:val="3F3F3F"/>
          <w:sz w:val="21"/>
          <w:szCs w:val="21"/>
        </w:rPr>
        <w:t xml:space="preserve">Monthly: full KPI review against the targets set in the Executive Summary (Section 0), including CRO test results (Section 9) and SEO progress (Section 6.6).</w:t>
      </w:r>
    </w:p>
    <w:p>
      <w:pPr>
        <w:pStyle w:val="ListParagraph"/>
        <w:numPr>
          <w:ilvl w:val="0"/>
          <w:numId w:val="2"/>
        </w:numPr>
        <w:spacing w:after="90"/>
      </w:pPr>
      <w:r>
        <w:rPr>
          <w:rFonts w:ascii="Calibri" w:cs="Calibri" w:eastAsia="Calibri" w:hAnsi="Calibri"/>
          <w:color w:val="3F3F3F"/>
          <w:sz w:val="21"/>
          <w:szCs w:val="21"/>
        </w:rPr>
        <w:t xml:space="preserve">Quarterly: leadership review tying site performance to pipeline/revenue and to the phased roadmap in Section 39.</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36  </w:t>
      </w:r>
      <w:r>
        <w:rPr>
          <w:rFonts w:ascii="Calibri" w:cs="Calibri" w:eastAsia="Calibri" w:hAnsi="Calibri"/>
          <w:b/>
          <w:bCs/>
          <w:color w:val="0B1F3A"/>
          <w:sz w:val="32"/>
          <w:szCs w:val="32"/>
        </w:rPr>
        <w:t xml:space="preserve">36. Performance Optimization Checklist</w:t>
      </w:r>
    </w:p>
    <w:p>
      <w:pPr>
        <w:pStyle w:val="Heading2"/>
        <w:spacing w:after="160" w:before="320"/>
      </w:pPr>
      <w:r>
        <w:rPr>
          <w:rFonts w:ascii="Calibri" w:cs="Calibri" w:eastAsia="Calibri" w:hAnsi="Calibri"/>
          <w:b/>
          <w:bCs/>
          <w:color w:val="132B4F"/>
          <w:sz w:val="26"/>
          <w:szCs w:val="26"/>
        </w:rPr>
        <w:t xml:space="preserve">36.1 Core Web Vitals Budget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Target</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Primary levers</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Largest Contentful Paint (LCP)</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&lt; 2.5s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Optimized hero images (next-gen formats, responsive sizes), font-loading strategy (font-display: swap), server-side rendering of above-the-fold content</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Interaction to Next Paint (INP)</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&lt; 200ms</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Minimize main-thread-blocking JS, code-split by route, defer non-critical third-party scripts (chat widget, analytics) until after interaction-ready</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Cumulative Layout Shift (CLS)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&lt; 0.1</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Explicit width/height (or aspect-ratio) on all images and embeds; reserved space for dynamically loaded components (chatbot launcher, cookie banner)</w:t>
            </w:r>
          </w:p>
        </w:tc>
      </w:tr>
    </w:tbl>
    <w:p>
      <w:pPr>
        <w:pStyle w:val="Heading2"/>
        <w:spacing w:after="160" w:before="320"/>
      </w:pPr>
      <w:r>
        <w:rPr>
          <w:rFonts w:ascii="Calibri" w:cs="Calibri" w:eastAsia="Calibri" w:hAnsi="Calibri"/>
          <w:b/>
          <w:bCs/>
          <w:color w:val="132B4F"/>
          <w:sz w:val="26"/>
          <w:szCs w:val="26"/>
        </w:rPr>
        <w:t xml:space="preserve">36.2 Build &amp; Delivery Checklist</w:t>
      </w:r>
    </w:p>
    <w:p>
      <w:pPr>
        <w:pStyle w:val="ListParagraph"/>
        <w:numPr>
          <w:ilvl w:val="0"/>
          <w:numId w:val="2"/>
        </w:numPr>
        <w:spacing w:after="90"/>
      </w:pPr>
      <w:r>
        <w:rPr>
          <w:rFonts w:ascii="Calibri" w:cs="Calibri" w:eastAsia="Calibri" w:hAnsi="Calibri"/>
          <w:color w:val="3F3F3F"/>
          <w:sz w:val="21"/>
          <w:szCs w:val="21"/>
        </w:rPr>
        <w:t xml:space="preserve">Server-side render or statically generate all marketing pages (practice, industry, technology, case study) via Next.js (Section 38) rather than pure client-side rendering, both for performance and for SEO crawlability.</w:t>
      </w:r>
    </w:p>
    <w:p>
      <w:pPr>
        <w:pStyle w:val="ListParagraph"/>
        <w:numPr>
          <w:ilvl w:val="0"/>
          <w:numId w:val="2"/>
        </w:numPr>
        <w:spacing w:after="90"/>
      </w:pPr>
      <w:r>
        <w:rPr>
          <w:rFonts w:ascii="Calibri" w:cs="Calibri" w:eastAsia="Calibri" w:hAnsi="Calibri"/>
          <w:color w:val="3F3F3F"/>
          <w:sz w:val="21"/>
          <w:szCs w:val="21"/>
        </w:rPr>
        <w:t xml:space="preserve">Serve all images via a CDN-backed image optimization pipeline (WebP/AVIF with fallback, responsive srcset).</w:t>
      </w:r>
    </w:p>
    <w:p>
      <w:pPr>
        <w:pStyle w:val="ListParagraph"/>
        <w:numPr>
          <w:ilvl w:val="0"/>
          <w:numId w:val="2"/>
        </w:numPr>
        <w:spacing w:after="90"/>
      </w:pPr>
      <w:r>
        <w:rPr>
          <w:rFonts w:ascii="Calibri" w:cs="Calibri" w:eastAsia="Calibri" w:hAnsi="Calibri"/>
          <w:color w:val="3F3F3F"/>
          <w:sz w:val="21"/>
          <w:szCs w:val="21"/>
        </w:rPr>
        <w:t xml:space="preserve">Lazy-load below-the-fold images and non-critical components (e.g., embedded videos, the chatbot panel body) without lazy-loading anything above the fold.</w:t>
      </w:r>
    </w:p>
    <w:p>
      <w:pPr>
        <w:pStyle w:val="ListParagraph"/>
        <w:numPr>
          <w:ilvl w:val="0"/>
          <w:numId w:val="2"/>
        </w:numPr>
        <w:spacing w:after="90"/>
      </w:pPr>
      <w:r>
        <w:rPr>
          <w:rFonts w:ascii="Calibri" w:cs="Calibri" w:eastAsia="Calibri" w:hAnsi="Calibri"/>
          <w:color w:val="3F3F3F"/>
          <w:sz w:val="21"/>
          <w:szCs w:val="21"/>
        </w:rPr>
        <w:t xml:space="preserve">Bundle-size budget per route enforced in CI (e.g., fail build if a page's JS bundle exceeds an agreed threshold) to prevent gradual performance regression as the component library (Section 17) grows.</w:t>
      </w:r>
    </w:p>
    <w:p>
      <w:pPr>
        <w:pStyle w:val="ListParagraph"/>
        <w:numPr>
          <w:ilvl w:val="0"/>
          <w:numId w:val="2"/>
        </w:numPr>
        <w:spacing w:after="90"/>
      </w:pPr>
      <w:r>
        <w:rPr>
          <w:rFonts w:ascii="Calibri" w:cs="Calibri" w:eastAsia="Calibri" w:hAnsi="Calibri"/>
          <w:color w:val="3F3F3F"/>
          <w:sz w:val="21"/>
          <w:szCs w:val="21"/>
        </w:rPr>
        <w:t xml:space="preserve">Third-party script governance: every third-party script (chat, analytics, marketing pixels) is inventoried, and only loaded on the pages/interactions that need it, not globally on every page load by default.</w:t>
      </w:r>
    </w:p>
    <w:p>
      <w:pPr>
        <w:pStyle w:val="Heading2"/>
        <w:spacing w:after="160" w:before="320"/>
      </w:pPr>
      <w:r>
        <w:rPr>
          <w:rFonts w:ascii="Calibri" w:cs="Calibri" w:eastAsia="Calibri" w:hAnsi="Calibri"/>
          <w:b/>
          <w:bCs/>
          <w:color w:val="132B4F"/>
          <w:sz w:val="26"/>
          <w:szCs w:val="26"/>
        </w:rPr>
        <w:t xml:space="preserve">36.3 Ongoing Performance Governance</w:t>
      </w:r>
    </w:p>
    <w:p>
      <w:pPr>
        <w:pStyle w:val="ListParagraph"/>
        <w:numPr>
          <w:ilvl w:val="0"/>
          <w:numId w:val="2"/>
        </w:numPr>
        <w:spacing w:after="90"/>
      </w:pPr>
      <w:r>
        <w:rPr>
          <w:rFonts w:ascii="Calibri" w:cs="Calibri" w:eastAsia="Calibri" w:hAnsi="Calibri"/>
          <w:color w:val="3F3F3F"/>
          <w:sz w:val="21"/>
          <w:szCs w:val="21"/>
        </w:rPr>
        <w:t xml:space="preserve">Automated Lighthouse/Core Web Vitals checks in the CI pipeline, blocking merge on regression past the budget.</w:t>
      </w:r>
    </w:p>
    <w:p>
      <w:pPr>
        <w:pStyle w:val="ListParagraph"/>
        <w:numPr>
          <w:ilvl w:val="0"/>
          <w:numId w:val="2"/>
        </w:numPr>
        <w:spacing w:after="90"/>
      </w:pPr>
      <w:r>
        <w:rPr>
          <w:rFonts w:ascii="Calibri" w:cs="Calibri" w:eastAsia="Calibri" w:hAnsi="Calibri"/>
          <w:color w:val="3F3F3F"/>
          <w:sz w:val="21"/>
          <w:szCs w:val="21"/>
        </w:rPr>
        <w:t xml:space="preserve">Real User Monitoring dashboard (Section 35.1) reviewed monthly, segmented by region and device — mobile performance in markets with more variable network conditions (parts of the UAE, regional Australia) should be monitored specifically, not just averaged globally.</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37  </w:t>
      </w:r>
      <w:r>
        <w:rPr>
          <w:rFonts w:ascii="Calibri" w:cs="Calibri" w:eastAsia="Calibri" w:hAnsi="Calibri"/>
          <w:b/>
          <w:bCs/>
          <w:color w:val="0B1F3A"/>
          <w:sz w:val="32"/>
          <w:szCs w:val="32"/>
        </w:rPr>
        <w:t xml:space="preserve">37. Security &amp; Compliance Considerations</w:t>
      </w:r>
    </w:p>
    <w:p>
      <w:pPr>
        <w:pStyle w:val="Heading2"/>
        <w:spacing w:after="160" w:before="320"/>
      </w:pPr>
      <w:r>
        <w:rPr>
          <w:rFonts w:ascii="Calibri" w:cs="Calibri" w:eastAsia="Calibri" w:hAnsi="Calibri"/>
          <w:b/>
          <w:bCs/>
          <w:color w:val="132B4F"/>
          <w:sz w:val="26"/>
          <w:szCs w:val="26"/>
        </w:rPr>
        <w:t xml:space="preserve">37.1 Application Security Baseline</w:t>
      </w:r>
    </w:p>
    <w:p>
      <w:pPr>
        <w:pStyle w:val="ListParagraph"/>
        <w:numPr>
          <w:ilvl w:val="0"/>
          <w:numId w:val="2"/>
        </w:numPr>
        <w:spacing w:after="90"/>
      </w:pPr>
      <w:r>
        <w:rPr>
          <w:rFonts w:ascii="Calibri" w:cs="Calibri" w:eastAsia="Calibri" w:hAnsi="Calibri"/>
          <w:color w:val="3F3F3F"/>
          <w:sz w:val="21"/>
          <w:szCs w:val="21"/>
        </w:rPr>
        <w:t xml:space="preserve">HTTPS enforced sitewide with HSTS; modern TLS configuration.</w:t>
      </w:r>
    </w:p>
    <w:p>
      <w:pPr>
        <w:pStyle w:val="ListParagraph"/>
        <w:numPr>
          <w:ilvl w:val="0"/>
          <w:numId w:val="2"/>
        </w:numPr>
        <w:spacing w:after="90"/>
      </w:pPr>
      <w:r>
        <w:rPr>
          <w:rFonts w:ascii="Calibri" w:cs="Calibri" w:eastAsia="Calibri" w:hAnsi="Calibri"/>
          <w:color w:val="3F3F3F"/>
          <w:sz w:val="21"/>
          <w:szCs w:val="21"/>
        </w:rPr>
        <w:t xml:space="preserve">Standard security headers (Content-Security-Policy, X-Frame-Options, X-Content-Type-Options) configured and tested, particularly given the embedded chatbot and scheduling widget third-party integrations.</w:t>
      </w:r>
    </w:p>
    <w:p>
      <w:pPr>
        <w:pStyle w:val="ListParagraph"/>
        <w:numPr>
          <w:ilvl w:val="0"/>
          <w:numId w:val="2"/>
        </w:numPr>
        <w:spacing w:after="90"/>
      </w:pPr>
      <w:r>
        <w:rPr>
          <w:rFonts w:ascii="Calibri" w:cs="Calibri" w:eastAsia="Calibri" w:hAnsi="Calibri"/>
          <w:color w:val="3F3F3F"/>
          <w:sz w:val="21"/>
          <w:szCs w:val="21"/>
        </w:rPr>
        <w:t xml:space="preserve">Form inputs sanitized and validated server-side (never trusting client-side validation alone), with rate-limiting and bot protection (e.g., invisible CAPTCHA) on public forms to prevent spam and credential-stuffing-style abuse of the job application and contact flows.</w:t>
      </w:r>
    </w:p>
    <w:p>
      <w:pPr>
        <w:pStyle w:val="ListParagraph"/>
        <w:numPr>
          <w:ilvl w:val="0"/>
          <w:numId w:val="2"/>
        </w:numPr>
        <w:spacing w:after="90"/>
      </w:pPr>
      <w:r>
        <w:rPr>
          <w:rFonts w:ascii="Calibri" w:cs="Calibri" w:eastAsia="Calibri" w:hAnsi="Calibri"/>
          <w:color w:val="3F3F3F"/>
          <w:sz w:val="21"/>
          <w:szCs w:val="21"/>
        </w:rPr>
        <w:t xml:space="preserve">Regular dependency and vulnerability scanning as part of the CI/CD pipeline (Section 38).</w:t>
      </w:r>
    </w:p>
    <w:p>
      <w:pPr>
        <w:pStyle w:val="Heading2"/>
        <w:spacing w:after="160" w:before="320"/>
      </w:pPr>
      <w:r>
        <w:rPr>
          <w:rFonts w:ascii="Calibri" w:cs="Calibri" w:eastAsia="Calibri" w:hAnsi="Calibri"/>
          <w:b/>
          <w:bCs/>
          <w:color w:val="132B4F"/>
          <w:sz w:val="26"/>
          <w:szCs w:val="26"/>
        </w:rPr>
        <w:t xml:space="preserve">37.2 Data Privacy &amp; Regulatory Considerations by Region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Region</w:t>
            </w:r>
          </w:p>
        </w:tc>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 considerations</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UK</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UK GDPR, IR35/off-payroll working disclosures on staffing-related content, cookie consent (PECR)</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Europe</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EU GDPR, country-specific works-council and data-residency nuances (esp. Germany)</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USA</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State-level privacy laws (e.g., CCPA/CPRA-style requirements), W-2 vs. 1099 vs. EOR classification clarity in staffing copy</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Canada</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PIPEDA, provincial employment-classification nuances</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Australia</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Australian Privacy Principles, Fair Work Act contractor-classification considerations in staffing copy</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UAE</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UAE data protection law, Emiratization compliance messaging accuracy, free zone vs. mainland distinctions in hiring-related content</w:t>
            </w:r>
          </w:p>
        </w:tc>
      </w:tr>
    </w:tbl>
    <w:p>
      <w:pPr>
        <w:pStyle w:val="Heading2"/>
        <w:spacing w:after="160" w:before="320"/>
      </w:pPr>
      <w:r>
        <w:rPr>
          <w:rFonts w:ascii="Calibri" w:cs="Calibri" w:eastAsia="Calibri" w:hAnsi="Calibri"/>
          <w:b/>
          <w:bCs/>
          <w:color w:val="132B4F"/>
          <w:sz w:val="26"/>
          <w:szCs w:val="26"/>
        </w:rPr>
        <w:t xml:space="preserve">37.3 Content Accuracy &amp; Legal Review Gates</w:t>
      </w:r>
    </w:p>
    <w:p>
      <w:pPr>
        <w:pStyle w:val="ListParagraph"/>
        <w:numPr>
          <w:ilvl w:val="0"/>
          <w:numId w:val="2"/>
        </w:numPr>
        <w:spacing w:after="90"/>
      </w:pPr>
      <w:r>
        <w:rPr>
          <w:rFonts w:ascii="Calibri" w:cs="Calibri" w:eastAsia="Calibri" w:hAnsi="Calibri"/>
          <w:color w:val="3F3F3F"/>
          <w:sz w:val="21"/>
          <w:szCs w:val="21"/>
        </w:rPr>
        <w:t xml:space="preserve">Any page making a compliance claim (e.g., "IR35-compliant staffing") must be reviewed by legal/compliance before publish and re-reviewed on a fixed cadence (e.g., annually or on regulatory change) given how frequently regional employment law shifts.</w:t>
      </w:r>
    </w:p>
    <w:p>
      <w:pPr>
        <w:pStyle w:val="ListParagraph"/>
        <w:numPr>
          <w:ilvl w:val="0"/>
          <w:numId w:val="2"/>
        </w:numPr>
        <w:spacing w:after="90"/>
      </w:pPr>
      <w:r>
        <w:rPr>
          <w:rFonts w:ascii="Calibri" w:cs="Calibri" w:eastAsia="Calibri" w:hAnsi="Calibri"/>
          <w:color w:val="3F3F3F"/>
          <w:sz w:val="21"/>
          <w:szCs w:val="21"/>
        </w:rPr>
        <w:t xml:space="preserve">Case studies (Section 25.3) go through client sign-off and a legal check on quantified claims before publish.</w:t>
      </w:r>
    </w:p>
    <w:p>
      <w:pPr>
        <w:pStyle w:val="ListParagraph"/>
        <w:numPr>
          <w:ilvl w:val="0"/>
          <w:numId w:val="2"/>
        </w:numPr>
        <w:spacing w:after="90"/>
      </w:pPr>
      <w:r>
        <w:rPr>
          <w:rFonts w:ascii="Calibri" w:cs="Calibri" w:eastAsia="Calibri" w:hAnsi="Calibri"/>
          <w:color w:val="3F3F3F"/>
          <w:sz w:val="21"/>
          <w:szCs w:val="21"/>
        </w:rPr>
        <w:t xml:space="preserve">Security/compliance badges (SOC 2, ISO 27001) displayed in the footer and trust pages must be kept current and removed immediately upon lapse or re-certification gaps.</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38  </w:t>
      </w:r>
      <w:r>
        <w:rPr>
          <w:rFonts w:ascii="Calibri" w:cs="Calibri" w:eastAsia="Calibri" w:hAnsi="Calibri"/>
          <w:b/>
          <w:bCs/>
          <w:color w:val="0B1F3A"/>
          <w:sz w:val="32"/>
          <w:szCs w:val="32"/>
        </w:rPr>
        <w:t xml:space="preserve">38. Development Recommendations (Next.js, Headless CMS, Core Web Vitals)</w:t>
      </w:r>
    </w:p>
    <w:p>
      <w:pPr>
        <w:pStyle w:val="Heading2"/>
        <w:spacing w:after="160" w:before="320"/>
      </w:pPr>
      <w:r>
        <w:rPr>
          <w:rFonts w:ascii="Calibri" w:cs="Calibri" w:eastAsia="Calibri" w:hAnsi="Calibri"/>
          <w:b/>
          <w:bCs/>
          <w:color w:val="132B4F"/>
          <w:sz w:val="26"/>
          <w:szCs w:val="26"/>
        </w:rPr>
        <w:t xml:space="preserve">38.1 Recommended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Layer</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Recommendation</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Rationale</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Front end framework</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Next.js (App Router), React</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Best-in-class support for hybrid static/server rendering, which is essential for a 300+ page SEO-driven site with dynamic personalization needs (Section 8.4 ABM)</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CMS</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Headless CMS (e.g., Contentful, Sanity, or Storyblok)</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 headless model lets the same content model (Practice/Industry/Region/Technology taxonomy from Section 2) drive the combinatorial page templates without hand-building each page</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Hosting/CDN</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Vercel or an equivalent edge-first platform</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Native fit with Next.js, strong default Core Web Vitals performance, easy preview-deployments per content change</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Search</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Algolia or Meilisearch/Typesense (Section 30.2)</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Purpose-built instant search vs. default CMS search</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Forms/scheduling</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Native form components posting to CRM API + embedded scheduler (Section 28)</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Keeps data flow auditable and consistent with the CRM field-mapping spec (Section 34.3)</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Chatbot</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Custom-built on the Anthropic API (or equivalent), grounded via retrieval over CMS content</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Consistent with the AI Bees credibility point in Section 29.1 — the chatbot should itself be a showcase of TeamBees' own AI delivery quality</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Analytics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GA4 + RUM tooling (Section 35.1)</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Standard, well-supported, integrates cleanly with Next.js</w:t>
            </w:r>
          </w:p>
        </w:tc>
      </w:tr>
    </w:tbl>
    <w:p>
      <w:pPr>
        <w:pStyle w:val="Heading2"/>
        <w:spacing w:after="160" w:before="320"/>
      </w:pPr>
      <w:r>
        <w:rPr>
          <w:rFonts w:ascii="Calibri" w:cs="Calibri" w:eastAsia="Calibri" w:hAnsi="Calibri"/>
          <w:b/>
          <w:bCs/>
          <w:color w:val="132B4F"/>
          <w:sz w:val="26"/>
          <w:szCs w:val="26"/>
        </w:rPr>
        <w:t xml:space="preserve">38.2 Content Modeling Principles</w:t>
      </w:r>
    </w:p>
    <w:p>
      <w:pPr>
        <w:pStyle w:val="ListParagraph"/>
        <w:numPr>
          <w:ilvl w:val="0"/>
          <w:numId w:val="2"/>
        </w:numPr>
        <w:spacing w:after="90"/>
      </w:pPr>
      <w:r>
        <w:rPr>
          <w:rFonts w:ascii="Calibri" w:cs="Calibri" w:eastAsia="Calibri" w:hAnsi="Calibri"/>
          <w:color w:val="3F3F3F"/>
          <w:sz w:val="21"/>
          <w:szCs w:val="21"/>
        </w:rPr>
        <w:t xml:space="preserve">Model content around the taxonomy (Practice, Industry, Region, Technology) as first-class, relational CMS content types — not as free-text tags — so that automated internal linking (Section 31.2) and the page-generation templates (Section 7.1) can query relationships reliably.</w:t>
      </w:r>
    </w:p>
    <w:p>
      <w:pPr>
        <w:pStyle w:val="ListParagraph"/>
        <w:numPr>
          <w:ilvl w:val="0"/>
          <w:numId w:val="2"/>
        </w:numPr>
        <w:spacing w:after="90"/>
      </w:pPr>
      <w:r>
        <w:rPr>
          <w:rFonts w:ascii="Calibri" w:cs="Calibri" w:eastAsia="Calibri" w:hAnsi="Calibri"/>
          <w:color w:val="3F3F3F"/>
          <w:sz w:val="21"/>
          <w:szCs w:val="21"/>
        </w:rPr>
        <w:t xml:space="preserve">Each of the 6 page templates (Practice Hub, Sub-Service, Industry, Practice×Industry, Region Hub, Region×Practice) is a single Next.js dynamic route reading from the CMS, not 300+ hand-coded pages — this is the single most important engineering decision for hitting the 300+ page target sustainably.</w:t>
      </w:r>
    </w:p>
    <w:p>
      <w:pPr>
        <w:pStyle w:val="ListParagraph"/>
        <w:numPr>
          <w:ilvl w:val="0"/>
          <w:numId w:val="2"/>
        </w:numPr>
        <w:spacing w:after="90"/>
      </w:pPr>
      <w:r>
        <w:rPr>
          <w:rFonts w:ascii="Calibri" w:cs="Calibri" w:eastAsia="Calibri" w:hAnsi="Calibri"/>
          <w:color w:val="3F3F3F"/>
          <w:sz w:val="21"/>
          <w:szCs w:val="21"/>
        </w:rPr>
        <w:t xml:space="preserve">Editorial content (blog, case studies) uses a rich-text/structured content model that supports the component library (Section 17) — e.g., editors can insert a "stat tile row" or "quote block" component, not just plain paragraphs — so editorial content visually matches the design system without developer involvement per article.</w:t>
      </w:r>
    </w:p>
    <w:p>
      <w:pPr>
        <w:pStyle w:val="Heading2"/>
        <w:spacing w:after="160" w:before="320"/>
      </w:pPr>
      <w:r>
        <w:rPr>
          <w:rFonts w:ascii="Calibri" w:cs="Calibri" w:eastAsia="Calibri" w:hAnsi="Calibri"/>
          <w:b/>
          <w:bCs/>
          <w:color w:val="132B4F"/>
          <w:sz w:val="26"/>
          <w:szCs w:val="26"/>
        </w:rPr>
        <w:t xml:space="preserve">38.3 Environments &amp; CI/CD</w:t>
      </w:r>
    </w:p>
    <w:p>
      <w:pPr>
        <w:pStyle w:val="ListParagraph"/>
        <w:numPr>
          <w:ilvl w:val="0"/>
          <w:numId w:val="2"/>
        </w:numPr>
        <w:spacing w:after="90"/>
      </w:pPr>
      <w:r>
        <w:rPr>
          <w:rFonts w:ascii="Calibri" w:cs="Calibri" w:eastAsia="Calibri" w:hAnsi="Calibri"/>
          <w:color w:val="3F3F3F"/>
          <w:sz w:val="21"/>
          <w:szCs w:val="21"/>
        </w:rPr>
        <w:t xml:space="preserve">Standard dev → staging → production pipeline with automated preview deployments per pull request and per CMS content branch, so marketing/content teams can review before publish without needing a full deploy.</w:t>
      </w:r>
    </w:p>
    <w:p>
      <w:pPr>
        <w:pStyle w:val="ListParagraph"/>
        <w:numPr>
          <w:ilvl w:val="0"/>
          <w:numId w:val="2"/>
        </w:numPr>
        <w:spacing w:after="90"/>
      </w:pPr>
      <w:r>
        <w:rPr>
          <w:rFonts w:ascii="Calibri" w:cs="Calibri" w:eastAsia="Calibri" w:hAnsi="Calibri"/>
          <w:color w:val="3F3F3F"/>
          <w:sz w:val="21"/>
          <w:szCs w:val="21"/>
        </w:rPr>
        <w:t xml:space="preserve">Automated checks in CI: Lighthouse/Core Web Vitals (Section 36.3), accessibility scan (Section 19.3), broken-link check (critical at 300+ page scale), and visual regression testing on the core component library.</w:t>
      </w:r>
    </w:p>
    <w:p>
      <w:pPr>
        <w:pStyle w:val="ListParagraph"/>
        <w:numPr>
          <w:ilvl w:val="0"/>
          <w:numId w:val="2"/>
        </w:numPr>
        <w:spacing w:after="90"/>
      </w:pPr>
      <w:r>
        <w:rPr>
          <w:rFonts w:ascii="Calibri" w:cs="Calibri" w:eastAsia="Calibri" w:hAnsi="Calibri"/>
          <w:color w:val="3F3F3F"/>
          <w:sz w:val="21"/>
          <w:szCs w:val="21"/>
        </w:rPr>
        <w:t xml:space="preserve">A documented rollback plan and status-page/monitoring setup, given the site's role as the primary lead-generation and candidate-acquisition channel.</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
      </w:r>
      <w:r>
        <w:rPr>
          <w:rFonts w:ascii="Calibri" w:cs="Calibri" w:eastAsia="Calibri" w:hAnsi="Calibri"/>
          <w:b/>
          <w:bCs/>
          <w:color w:val="0B1F3A"/>
          <w:sz w:val="32"/>
          <w:szCs w:val="32"/>
        </w:rPr>
        <w:t xml:space="preserve">PART VII</w:t>
      </w:r>
    </w:p>
    <w:p>
      <w:pPr>
        <w:pStyle w:val="Heading2"/>
        <w:spacing w:after="160" w:before="320"/>
      </w:pPr>
      <w:r>
        <w:rPr>
          <w:rFonts w:ascii="Calibri" w:cs="Calibri" w:eastAsia="Calibri" w:hAnsi="Calibri"/>
          <w:b/>
          <w:bCs/>
          <w:color w:val="132B4F"/>
          <w:sz w:val="26"/>
          <w:szCs w:val="26"/>
        </w:rPr>
        <w:t xml:space="preserve">Roadmap &amp; Governance</w:t>
      </w:r>
    </w:p>
    <w:p>
      <w:pPr>
        <w:spacing w:after="160" w:line="300"/>
      </w:pPr>
      <w:r>
        <w:rPr>
          <w:rFonts w:ascii="Calibri" w:cs="Calibri" w:eastAsia="Calibri" w:hAnsi="Calibri"/>
          <w:b w:val="false"/>
          <w:bCs w:val="false"/>
          <w:i w:val="false"/>
          <w:iCs w:val="false"/>
          <w:color w:val="3F3F3F"/>
          <w:sz w:val="21"/>
          <w:szCs w:val="21"/>
        </w:rPr>
        <w:t xml:space="preserve">This closing part sequences everything above into a deliverable build plan, and defines the ongoing governance model needed to keep 300+ pages consistent and healthy after launch.</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39  </w:t>
      </w:r>
      <w:r>
        <w:rPr>
          <w:rFonts w:ascii="Calibri" w:cs="Calibri" w:eastAsia="Calibri" w:hAnsi="Calibri"/>
          <w:b/>
          <w:bCs/>
          <w:color w:val="0B1F3A"/>
          <w:sz w:val="32"/>
          <w:szCs w:val="32"/>
        </w:rPr>
        <w:t xml:space="preserve">39. Phased Implementation Roadmap (MVP → Phase 2 → Phase 3)</w:t>
      </w:r>
    </w:p>
    <w:p>
      <w:pPr>
        <w:pStyle w:val="Heading2"/>
        <w:spacing w:after="160" w:before="320"/>
      </w:pPr>
      <w:r>
        <w:rPr>
          <w:rFonts w:ascii="Calibri" w:cs="Calibri" w:eastAsia="Calibri" w:hAnsi="Calibri"/>
          <w:b/>
          <w:bCs/>
          <w:color w:val="132B4F"/>
          <w:sz w:val="26"/>
          <w:szCs w:val="26"/>
        </w:rPr>
        <w:t xml:space="preserve">39.1 Phase 1 — MVP (Weeks 1–12)</w:t>
      </w:r>
    </w:p>
    <w:p>
      <w:pPr>
        <w:spacing w:after="160" w:line="300"/>
      </w:pPr>
      <w:r>
        <w:rPr>
          <w:rFonts w:ascii="Calibri" w:cs="Calibri" w:eastAsia="Calibri" w:hAnsi="Calibri"/>
          <w:b w:val="false"/>
          <w:bCs w:val="false"/>
          <w:i w:val="false"/>
          <w:iCs w:val="false"/>
          <w:color w:val="3F3F3F"/>
          <w:sz w:val="21"/>
          <w:szCs w:val="21"/>
        </w:rPr>
        <w:t xml:space="preserve">Goal: launch a credible, fully on-brand site covering the core practice/region structure and passing the 10-Second Trust Test, with functioning lead capture and CRM integration.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Phase 1 scope</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Design system</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Full Section 12–20 system built in Figma; component library (Section 17) built in code</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Pages</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Homepage; 7 Practice hubs + ~45 sub-service pages; 6 Region hubs; 10 Industry hubs; About/Leadership/Contact/Careers hub; first 15–20 case studies (Section 7.4, P0 priority)</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Conversion infra</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Book a Consultation flow, resource-download flow, job application flow (Section 28); CRM integration live (Section 34); lead scoring/routing live (Section 8)</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Content</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Full copy for all P0 pages (Section 33 patterns applied); initial 10–15 blog articles seeded</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Technical foundation</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Next.js + headless CMS stood up (Section 38); Core Web Vitals budget met on all launched templates; baseline analytics live (Section 35)</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Chatbot &amp; search</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Basic chatbot (navigation + FAQ use cases only, Section 29.2) and global search (Section 30) live</w:t>
            </w:r>
          </w:p>
        </w:tc>
      </w:tr>
    </w:tbl>
    <w:p>
      <w:pPr>
        <w:pStyle w:val="Heading2"/>
        <w:spacing w:after="160" w:before="320"/>
      </w:pPr>
      <w:r>
        <w:rPr>
          <w:rFonts w:ascii="Calibri" w:cs="Calibri" w:eastAsia="Calibri" w:hAnsi="Calibri"/>
          <w:b/>
          <w:bCs/>
          <w:color w:val="132B4F"/>
          <w:sz w:val="26"/>
          <w:szCs w:val="26"/>
        </w:rPr>
        <w:t xml:space="preserve">39.2 Phase 2 — Scale-Out (Months 4–7)</w:t>
      </w:r>
    </w:p>
    <w:p>
      <w:pPr>
        <w:spacing w:after="160" w:line="300"/>
      </w:pPr>
      <w:r>
        <w:rPr>
          <w:rFonts w:ascii="Calibri" w:cs="Calibri" w:eastAsia="Calibri" w:hAnsi="Calibri"/>
          <w:b w:val="false"/>
          <w:bCs w:val="false"/>
          <w:i w:val="false"/>
          <w:iCs w:val="false"/>
          <w:color w:val="3F3F3F"/>
          <w:sz w:val="21"/>
          <w:szCs w:val="21"/>
        </w:rPr>
        <w:t xml:space="preserve">Goal: build out the combinatorial matrix toward SEO scale, deepen conversion optimization, and mature the AI chatbot to full lead-qualification capability.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Phase 2 scope</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Pages</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Remaining P1 priority pages (Section 7.4): top 20 Practice×Industry combinations, 20 Technology pages, next 20–30 case studies, Blog/Resource Center fully live with Guides/Webinars/Research Reports templates</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CRO</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Formal monthly A/B test cadence begins (Section 9.2 backlog); baseline conversion benchmarks established per template</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Chatbot</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Full lead-qualification and scheduling handoff capability (Section 29.2) added</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ABM/personalization</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Account-based personalization for named target accounts (Section 8.4) if CRM/analytics maturity supports it</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Localization</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Region-specific compliance content deepened per Section 26.3; evaluate need for full translation (Section 5.4) based on traffic data</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Accessibility &amp; security</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Full third-party accessibility audit (Section 19.3); security penetration test (Section 37)</w:t>
            </w:r>
          </w:p>
        </w:tc>
      </w:tr>
    </w:tbl>
    <w:p>
      <w:pPr>
        <w:pStyle w:val="Heading2"/>
        <w:spacing w:after="160" w:before="320"/>
      </w:pPr>
      <w:r>
        <w:rPr>
          <w:rFonts w:ascii="Calibri" w:cs="Calibri" w:eastAsia="Calibri" w:hAnsi="Calibri"/>
          <w:b/>
          <w:bCs/>
          <w:color w:val="132B4F"/>
          <w:sz w:val="26"/>
          <w:szCs w:val="26"/>
        </w:rPr>
        <w:t xml:space="preserve">39.3 Phase 3 — Full Scale &amp; Optimization (Months 8–12+)</w:t>
      </w:r>
    </w:p>
    <w:p>
      <w:pPr>
        <w:spacing w:after="160" w:line="300"/>
      </w:pPr>
      <w:r>
        <w:rPr>
          <w:rFonts w:ascii="Calibri" w:cs="Calibri" w:eastAsia="Calibri" w:hAnsi="Calibri"/>
          <w:b w:val="false"/>
          <w:bCs w:val="false"/>
          <w:i w:val="false"/>
          <w:iCs w:val="false"/>
          <w:color w:val="3F3F3F"/>
          <w:sz w:val="21"/>
          <w:szCs w:val="21"/>
        </w:rPr>
        <w:t xml:space="preserve">Goal: reach and sustain the 300+ page target, with a mature CRO, content, and governance operating rhythm.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Phase 3 scope</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Pages</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Remaining P2/P3 combinatorial pages built opportunistically from Search Console gap analysis (Section 6.2) until the 300+ page target is met and sustained</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Content operations</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Full editorial calendar cadence running at steady-state (Section 5.3); content-repurposing loop (Section 27.4) fully operational</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Comparison/alternatives pages</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Bottom-funnel comparison content (Section 6.2 tier 4) introduced based on validated search demand</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Advanced personalization</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Dynamic homepage/practice-page personalization by industry or account segment, if data supports the investment</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Governance maturity</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Quarterly design-system and content audits (Appendix A) fully embedded as standing operating process</w:t>
            </w:r>
          </w:p>
        </w:tc>
      </w:tr>
    </w:tbl>
    <w:p>
      <w:pPr>
        <w:pStyle w:val="Heading2"/>
        <w:spacing w:after="160" w:before="320"/>
      </w:pPr>
      <w:r>
        <w:rPr>
          <w:rFonts w:ascii="Calibri" w:cs="Calibri" w:eastAsia="Calibri" w:hAnsi="Calibri"/>
          <w:b/>
          <w:bCs/>
          <w:color w:val="132B4F"/>
          <w:sz w:val="26"/>
          <w:szCs w:val="26"/>
        </w:rPr>
        <w:t xml:space="preserve">39.4 Cross-Phase Success Gates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color="FFFFFF" w:sz="0"/>
              <w:left w:val="single" w:color="C6963A" w:sz="24"/>
              <w:bottom w:val="none" w:color="FFFFFF" w:sz="0"/>
              <w:right w:val="none" w:color="FFFFFF" w:sz="0"/>
            </w:tcBorders>
            <w:shd w:fill="FBF6EA" w:color="FBF6EA" w:val="clear"/>
            <w:tcMar>
              <w:top w:type="dxa" w:w="160"/>
              <w:left w:type="dxa" w:w="200"/>
              <w:bottom w:type="dxa" w:w="160"/>
              <w:right w:type="dxa" w:w="200"/>
            </w:tcMar>
          </w:tcPr>
          <w:p>
            <w:pPr>
              <w:spacing w:after="80"/>
            </w:pPr>
            <w:r>
              <w:rPr>
                <w:rFonts w:ascii="Calibri" w:cs="Calibri" w:eastAsia="Calibri" w:hAnsi="Calibri"/>
                <w:b/>
                <w:bCs/>
                <w:color w:val="0B1F3A"/>
                <w:sz w:val="21"/>
                <w:szCs w:val="21"/>
              </w:rPr>
              <w:t xml:space="preserve">Gate rule</w:t>
            </w:r>
          </w:p>
          <w:p>
            <w:r>
              <w:rPr>
                <w:rFonts w:ascii="Calibri" w:cs="Calibri" w:eastAsia="Calibri" w:hAnsi="Calibri"/>
                <w:color w:val="3F3F3F"/>
                <w:sz w:val="20"/>
                <w:szCs w:val="20"/>
              </w:rPr>
              <w:t xml:space="preserve">No phase begins its page-scaling work until the prior phase's foundation (design system, templating engine, CRM integration, Core Web Vitals budget) is verified stable. Scaling page count on top of an unstable template or unintegrated CRM compounds rework cost rather than compounding value — this is the most common failure mode in enterprise sites attempting rapid SEO scale.</w:t>
            </w:r>
          </w:p>
        </w:tc>
      </w:tr>
    </w:tbl>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
      </w:r>
      <w:r>
        <w:rPr>
          <w:rFonts w:ascii="Calibri" w:cs="Calibri" w:eastAsia="Calibri" w:hAnsi="Calibri"/>
          <w:b/>
          <w:bCs/>
          <w:color w:val="0B1F3A"/>
          <w:sz w:val="32"/>
          <w:szCs w:val="32"/>
        </w:rPr>
        <w:t xml:space="preserve">Appendix A — Governance, RACI &amp; Design Ops</w:t>
      </w:r>
    </w:p>
    <w:p>
      <w:pPr>
        <w:pStyle w:val="Heading2"/>
        <w:spacing w:after="160" w:before="320"/>
      </w:pPr>
      <w:r>
        <w:rPr>
          <w:rFonts w:ascii="Calibri" w:cs="Calibri" w:eastAsia="Calibri" w:hAnsi="Calibri"/>
          <w:b/>
          <w:bCs/>
          <w:color w:val="132B4F"/>
          <w:sz w:val="26"/>
          <w:szCs w:val="26"/>
        </w:rPr>
        <w:t xml:space="preserve">A.1 Ongoing Ownership Model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Function</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Owner</w:t>
            </w:r>
          </w:p>
        </w:tc>
        <w:tc>
          <w:tcPr>
            <w:tcW w:type="dxa" w:w="3116"/>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Responsibility</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Design system</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Design lead / Creative Director</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Approves any new component or pattern (Section 17.7); quarterly system audit</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Content/SEO</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Content strategist / SEO lead</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Content brief approval, keyword mapping (Section 6.2), editorial calendar (Section 5.3)</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CRO</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Growth/CRO lead</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Test backlog prioritization and result governance (Section 9)</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Engineering</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Tech lead</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Template architecture, performance budget (Section 36.3), CI/CD health</w:t>
            </w:r>
          </w:p>
        </w:tc>
      </w:tr>
      <w:tr>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CRM/Lead ops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RevOps / Marketing Ops</w:t>
            </w:r>
          </w:p>
        </w:tc>
        <w:tc>
          <w:tcPr>
            <w:tcW w:type="dxa" w:w="3116"/>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Lead scoring and routing accuracy (Section 8), field-mapping spec (Section 34.3)</w:t>
            </w:r>
          </w:p>
        </w:tc>
      </w:tr>
      <w:tr>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Compliance</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Legal / Compliance lead</w:t>
            </w:r>
          </w:p>
        </w:tc>
        <w:tc>
          <w:tcPr>
            <w:tcW w:type="dxa" w:w="3116"/>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Regional compliance copy review (Section 37.3), case study sign-off (Section 25.3)</w:t>
            </w:r>
          </w:p>
        </w:tc>
      </w:tr>
    </w:tbl>
    <w:p>
      <w:pPr>
        <w:pStyle w:val="Heading2"/>
        <w:spacing w:after="160" w:before="320"/>
      </w:pPr>
      <w:r>
        <w:rPr>
          <w:rFonts w:ascii="Calibri" w:cs="Calibri" w:eastAsia="Calibri" w:hAnsi="Calibri"/>
          <w:b/>
          <w:bCs/>
          <w:color w:val="132B4F"/>
          <w:sz w:val="26"/>
          <w:szCs w:val="26"/>
        </w:rPr>
        <w:t xml:space="preserve">A.2 Recurring Governance Cadence</w:t>
      </w:r>
    </w:p>
    <w:p>
      <w:pPr>
        <w:pStyle w:val="ListParagraph"/>
        <w:numPr>
          <w:ilvl w:val="0"/>
          <w:numId w:val="2"/>
        </w:numPr>
        <w:spacing w:after="90"/>
      </w:pPr>
      <w:r>
        <w:rPr>
          <w:rFonts w:ascii="Calibri" w:cs="Calibri" w:eastAsia="Calibri" w:hAnsi="Calibri"/>
          <w:color w:val="3F3F3F"/>
          <w:sz w:val="21"/>
          <w:szCs w:val="21"/>
        </w:rPr>
        <w:t xml:space="preserve">Weekly: content publishing review (new pages/articles checked against templating and internal-linking rules before go-live).</w:t>
      </w:r>
    </w:p>
    <w:p>
      <w:pPr>
        <w:pStyle w:val="ListParagraph"/>
        <w:numPr>
          <w:ilvl w:val="0"/>
          <w:numId w:val="2"/>
        </w:numPr>
        <w:spacing w:after="90"/>
      </w:pPr>
      <w:r>
        <w:rPr>
          <w:rFonts w:ascii="Calibri" w:cs="Calibri" w:eastAsia="Calibri" w:hAnsi="Calibri"/>
          <w:color w:val="3F3F3F"/>
          <w:sz w:val="21"/>
          <w:szCs w:val="21"/>
        </w:rPr>
        <w:t xml:space="preserve">Monthly: KPI dashboard review (Section 35.3), CRO test results review.</w:t>
      </w:r>
    </w:p>
    <w:p>
      <w:pPr>
        <w:pStyle w:val="ListParagraph"/>
        <w:numPr>
          <w:ilvl w:val="0"/>
          <w:numId w:val="2"/>
        </w:numPr>
        <w:spacing w:after="90"/>
      </w:pPr>
      <w:r>
        <w:rPr>
          <w:rFonts w:ascii="Calibri" w:cs="Calibri" w:eastAsia="Calibri" w:hAnsi="Calibri"/>
          <w:color w:val="3F3F3F"/>
          <w:sz w:val="21"/>
          <w:szCs w:val="21"/>
        </w:rPr>
        <w:t xml:space="preserve">Quarterly: design-system audit (are new patterns creeping in outside the library?), accessibility spot-check, compliance-copy refresh check by region.</w:t>
      </w:r>
    </w:p>
    <w:p>
      <w:pPr>
        <w:pStyle w:val="ListParagraph"/>
        <w:numPr>
          <w:ilvl w:val="0"/>
          <w:numId w:val="2"/>
        </w:numPr>
        <w:spacing w:after="90"/>
      </w:pPr>
      <w:r>
        <w:rPr>
          <w:rFonts w:ascii="Calibri" w:cs="Calibri" w:eastAsia="Calibri" w:hAnsi="Calibri"/>
          <w:color w:val="3F3F3F"/>
          <w:sz w:val="21"/>
          <w:szCs w:val="21"/>
        </w:rPr>
        <w:t xml:space="preserve">Annually: full accessibility audit, security penetration test, and a full review of this blueprint document itself against actual site performance and any strategic shifts in TeamBees' practice mix or target markets.</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
      </w:r>
      <w:r>
        <w:rPr>
          <w:rFonts w:ascii="Calibri" w:cs="Calibri" w:eastAsia="Calibri" w:hAnsi="Calibri"/>
          <w:b/>
          <w:bCs/>
          <w:color w:val="0B1F3A"/>
          <w:sz w:val="32"/>
          <w:szCs w:val="32"/>
        </w:rPr>
        <w:t xml:space="preserve">Appendix B — 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Term</w:t>
            </w:r>
          </w:p>
        </w:tc>
        <w:tc>
          <w:tcPr>
            <w:tcW w:type="dxa" w:w="4675"/>
            <w:shd w:fill="0B1F3A" w:color="0B1F3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Definition</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IA</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Information Architecture — the structural organization of content across the site</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ICP</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Ideal Customer Profile</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MQL / SQL</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Marketing-Qualified Lead / Sales-Qualified Lead</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RPO</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Recruitment Process Outsourcing</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EOR</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Employer of Record — a service allowing a company to legally employ staff in a country without its own local entity</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IR35</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UK tax legislation governing off-payroll working / contractor classification</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Core Web Vitals</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Google's set of user-experience performance metrics: LCP, INP, CLS (Section 36.1)</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Headless CMS</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 content management system that provides content via API, decoupled from the presentation layer (Section 38.1)</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ABM</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Account-Based Marketing — targeting and personalizing outreach to specific named accounts (Section 8.4)</w:t>
            </w:r>
          </w:p>
        </w:tc>
      </w:tr>
      <w:tr>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E-E-A-T</w:t>
            </w:r>
          </w:p>
        </w:tc>
        <w:tc>
          <w:tcPr>
            <w:tcW w:type="dxa" w:w="4675"/>
            <w:shd w:fill="F4F4F2" w:color="F4F4F2" w:val="clear"/>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Experience, Expertise, Authoritativeness, Trustworthiness — Google's content-quality framework, relevant to author bylines (Section 27.3)</w:t>
            </w:r>
          </w:p>
        </w:tc>
      </w:tr>
      <w:tr>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RAG</w:t>
            </w:r>
          </w:p>
        </w:tc>
        <w:tc>
          <w:tcPr>
            <w:tcW w:type="dxa" w:w="4675"/>
            <w:tcMar>
              <w:top w:type="dxa" w:w="80"/>
              <w:left w:type="dxa" w:w="100"/>
              <w:bottom w:type="dxa" w:w="80"/>
              <w:right w:type="dxa" w:w="100"/>
            </w:tcMar>
            <w:vAlign w:val="center"/>
          </w:tcPr>
          <w:p>
            <w:r>
              <w:rPr>
                <w:rFonts w:ascii="Calibri" w:cs="Calibri" w:eastAsia="Calibri" w:hAnsi="Calibri"/>
                <w:b w:val="false"/>
                <w:bCs w:val="false"/>
                <w:color w:val="3F3F3F"/>
                <w:sz w:val="19"/>
                <w:szCs w:val="19"/>
              </w:rPr>
              <w:t xml:space="preserve">Retrieval-Augmented Generation — grounding an AI system's responses in retrieved source content (relevant to the chatbot, Section 29.3)</w:t>
            </w:r>
          </w:p>
        </w:tc>
      </w:tr>
    </w:tbl>
    <w:p>
      <w:pPr>
        <w:pStyle w:val="Heading2"/>
        <w:spacing w:after="160" w:before="320"/>
      </w:pPr>
      <w:r>
        <w:rPr>
          <w:rFonts w:ascii="Calibri" w:cs="Calibri" w:eastAsia="Calibri" w:hAnsi="Calibri"/>
          <w:b/>
          <w:bCs/>
          <w:color w:val="132B4F"/>
          <w:sz w:val="26"/>
          <w:szCs w:val="26"/>
        </w:rPr>
        <w:t xml:space="preserve">Closing Note</w:t>
      </w:r>
    </w:p>
    <w:p>
      <w:pPr>
        <w:spacing w:after="160" w:line="300"/>
      </w:pPr>
      <w:r>
        <w:rPr>
          <w:rFonts w:ascii="Calibri" w:cs="Calibri" w:eastAsia="Calibri" w:hAnsi="Calibri"/>
          <w:b w:val="false"/>
          <w:bCs w:val="false"/>
          <w:i w:val="false"/>
          <w:iCs w:val="false"/>
          <w:color w:val="3F3F3F"/>
          <w:sz w:val="21"/>
          <w:szCs w:val="21"/>
        </w:rPr>
        <w:t xml:space="preserve">This blueprint is a living reference, not a one-time specification. As TeamBees' practice mix, target markets, or competitive landscape evolve, the positioning (Section 1), information architecture (Section 2), and roadmap (Section 39) should be revisited first — they are the sections everything else in this document derives from.</w:t>
      </w:r>
    </w:p>
    <w:p>
      <w:pPr>
        <w:pStyle w:val="Heading1"/>
        <w:pBdr>
          <w:bottom w:val="single" w:color="C6963A" w:sz="12" w:space="8"/>
        </w:pBdr>
        <w:spacing w:after="240" w:before="480"/>
      </w:pPr>
      <w:r>
        <w:rPr>
          <w:rFonts w:ascii="Calibri" w:cs="Calibri" w:eastAsia="Calibri" w:hAnsi="Calibri"/>
          <w:b/>
          <w:bCs/>
          <w:color w:val="C6963A"/>
          <w:sz w:val="32"/>
          <w:szCs w:val="32"/>
        </w:rPr>
        <w:t xml:space="preserve"/>
      </w:r>
      <w:r>
        <w:rPr>
          <w:rFonts w:ascii="Calibri" w:cs="Calibri" w:eastAsia="Calibri" w:hAnsi="Calibri"/>
          <w:b/>
          <w:bCs/>
          <w:color w:val="0B1F3A"/>
          <w:sz w:val="32"/>
          <w:szCs w:val="32"/>
        </w:rPr>
        <w:t xml:space="preserve">Appendix C — Full Draft Page Copy (Priority Templates)</w:t>
      </w:r>
    </w:p>
    <w:p>
      <w:pPr>
        <w:spacing w:after="160" w:line="300"/>
      </w:pPr>
      <w:r>
        <w:rPr>
          <w:rFonts w:ascii="Calibri" w:cs="Calibri" w:eastAsia="Calibri" w:hAnsi="Calibri"/>
          <w:b w:val="false"/>
          <w:bCs w:val="false"/>
          <w:i w:val="false"/>
          <w:iCs w:val="false"/>
          <w:color w:val="3F3F3F"/>
          <w:sz w:val="21"/>
          <w:szCs w:val="21"/>
        </w:rPr>
        <w:t xml:space="preserve">The section-by-section copy patterns in Section 33 are deliberately compact so they read quickly as a reference. This appendix goes one level deeper: complete, ready-to-adapt long-form copy for eight of the highest-priority pages in the Phase 1 build (Section 39.1), written in full sentences exactly as they should appear on the live page. Copywriters should treat this as a first draft to localize and validate against real client data, not final legal-approved copy — every quantified claim is marked for validation before publish.</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
      </w:r>
      <w:r>
        <w:rPr>
          <w:rFonts w:ascii="Calibri" w:cs="Calibri" w:eastAsia="Calibri" w:hAnsi="Calibri"/>
          <w:b/>
          <w:bCs/>
          <w:color w:val="0B1F3A"/>
          <w:sz w:val="32"/>
          <w:szCs w:val="32"/>
        </w:rPr>
        <w:t xml:space="preserve">C.1 Homepage — Full Draft Copy</w:t>
      </w:r>
    </w:p>
    <w:p>
      <w:pPr>
        <w:pStyle w:val="Heading2"/>
        <w:spacing w:after="160" w:before="320"/>
      </w:pPr>
      <w:r>
        <w:rPr>
          <w:rFonts w:ascii="Calibri" w:cs="Calibri" w:eastAsia="Calibri" w:hAnsi="Calibri"/>
          <w:b/>
          <w:bCs/>
          <w:color w:val="132B4F"/>
          <w:sz w:val="26"/>
          <w:szCs w:val="26"/>
        </w:rPr>
        <w:t xml:space="preserve">Hero</w:t>
      </w:r>
    </w:p>
    <w:p>
      <w:pPr>
        <w:spacing w:after="160" w:line="300"/>
      </w:pPr>
      <w:r>
        <w:rPr>
          <w:rFonts w:ascii="Calibri" w:cs="Calibri" w:eastAsia="Calibri" w:hAnsi="Calibri"/>
          <w:b w:val="false"/>
          <w:bCs w:val="false"/>
          <w:i w:val="false"/>
          <w:iCs w:val="false"/>
          <w:color w:val="3F3F3F"/>
          <w:sz w:val="21"/>
          <w:szCs w:val="21"/>
        </w:rPr>
        <w:t xml:space="preserve">Eyebrow: "Global Talent &amp; Technology Partner"</w:t>
      </w:r>
    </w:p>
    <w:p>
      <w:pPr>
        <w:spacing w:after="160" w:line="300"/>
      </w:pPr>
      <w:r>
        <w:rPr>
          <w:rFonts w:ascii="Calibri" w:cs="Calibri" w:eastAsia="Calibri" w:hAnsi="Calibri"/>
          <w:b w:val="false"/>
          <w:bCs w:val="false"/>
          <w:i w:val="false"/>
          <w:iCs w:val="false"/>
          <w:color w:val="3F3F3F"/>
          <w:sz w:val="21"/>
          <w:szCs w:val="21"/>
        </w:rPr>
        <w:t xml:space="preserve">H1: "Talent and technology, from the same partner."</w:t>
      </w:r>
    </w:p>
    <w:p>
      <w:pPr>
        <w:spacing w:after="160" w:line="300"/>
      </w:pPr>
      <w:r>
        <w:rPr>
          <w:rFonts w:ascii="Calibri" w:cs="Calibri" w:eastAsia="Calibri" w:hAnsi="Calibri"/>
          <w:b w:val="false"/>
          <w:bCs w:val="false"/>
          <w:i w:val="false"/>
          <w:iCs w:val="false"/>
          <w:color w:val="3F3F3F"/>
          <w:sz w:val="21"/>
          <w:szCs w:val="21"/>
        </w:rPr>
        <w:t xml:space="preserve">Subhead: "Seven specialist practices. Six global regions. One team that can staff it, build it, test it, and run it — so you're never choosing between speed and quality."</w:t>
      </w:r>
    </w:p>
    <w:p>
      <w:pPr>
        <w:spacing w:after="160" w:line="300"/>
      </w:pPr>
      <w:r>
        <w:rPr>
          <w:rFonts w:ascii="Calibri" w:cs="Calibri" w:eastAsia="Calibri" w:hAnsi="Calibri"/>
          <w:b w:val="false"/>
          <w:bCs w:val="false"/>
          <w:i w:val="false"/>
          <w:iCs w:val="false"/>
          <w:color w:val="3F3F3F"/>
          <w:sz w:val="21"/>
          <w:szCs w:val="21"/>
        </w:rPr>
        <w:t xml:space="preserve">Primary CTA: "Book a Consultation"   Secondary CTA: "Explore Our Practices"</w:t>
      </w:r>
    </w:p>
    <w:p>
      <w:pPr>
        <w:pStyle w:val="Heading2"/>
        <w:spacing w:after="160" w:before="320"/>
      </w:pPr>
      <w:r>
        <w:rPr>
          <w:rFonts w:ascii="Calibri" w:cs="Calibri" w:eastAsia="Calibri" w:hAnsi="Calibri"/>
          <w:b/>
          <w:bCs/>
          <w:color w:val="132B4F"/>
          <w:sz w:val="26"/>
          <w:szCs w:val="26"/>
        </w:rPr>
        <w:t xml:space="preserve">Proof Bar</w:t>
      </w:r>
    </w:p>
    <w:p>
      <w:pPr>
        <w:pStyle w:val="ListParagraph"/>
        <w:numPr>
          <w:ilvl w:val="0"/>
          <w:numId w:val="2"/>
        </w:numPr>
        <w:spacing w:after="90"/>
      </w:pPr>
      <w:r>
        <w:rPr>
          <w:rFonts w:ascii="Calibri" w:cs="Calibri" w:eastAsia="Calibri" w:hAnsi="Calibri"/>
          <w:color w:val="3F3F3F"/>
          <w:sz w:val="21"/>
          <w:szCs w:val="21"/>
        </w:rPr>
        <w:t xml:space="preserve">"6 regions" — USA, UK, Europe, Canada, Australia, and UAE, with local teams who understand local compliance. [validate figure]</w:t>
      </w:r>
    </w:p>
    <w:p>
      <w:pPr>
        <w:pStyle w:val="ListParagraph"/>
        <w:numPr>
          <w:ilvl w:val="0"/>
          <w:numId w:val="2"/>
        </w:numPr>
        <w:spacing w:after="90"/>
      </w:pPr>
      <w:r>
        <w:rPr>
          <w:rFonts w:ascii="Calibri" w:cs="Calibri" w:eastAsia="Calibri" w:hAnsi="Calibri"/>
          <w:color w:val="3F3F3F"/>
          <w:sz w:val="21"/>
          <w:szCs w:val="21"/>
        </w:rPr>
        <w:t xml:space="preserve">"7 specialist practices" — from staffing to AI, testing, ServiceNow, and energy trading platforms. [validate figure]</w:t>
      </w:r>
    </w:p>
    <w:p>
      <w:pPr>
        <w:pStyle w:val="ListParagraph"/>
        <w:numPr>
          <w:ilvl w:val="0"/>
          <w:numId w:val="2"/>
        </w:numPr>
        <w:spacing w:after="90"/>
      </w:pPr>
      <w:r>
        <w:rPr>
          <w:rFonts w:ascii="Calibri" w:cs="Calibri" w:eastAsia="Calibri" w:hAnsi="Calibri"/>
          <w:color w:val="3F3F3F"/>
          <w:sz w:val="21"/>
          <w:szCs w:val="21"/>
        </w:rPr>
        <w:t xml:space="preserve">"[X]+ specialists placed" — across banking, healthcare, energy, SaaS, and retail. [validate figure]</w:t>
      </w:r>
    </w:p>
    <w:p>
      <w:pPr>
        <w:pStyle w:val="ListParagraph"/>
        <w:numPr>
          <w:ilvl w:val="0"/>
          <w:numId w:val="2"/>
        </w:numPr>
        <w:spacing w:after="90"/>
      </w:pPr>
      <w:r>
        <w:rPr>
          <w:rFonts w:ascii="Calibri" w:cs="Calibri" w:eastAsia="Calibri" w:hAnsi="Calibri"/>
          <w:color w:val="3F3F3F"/>
          <w:sz w:val="21"/>
          <w:szCs w:val="21"/>
        </w:rPr>
        <w:t xml:space="preserve">"[X]% average reduction in time-to-hire" — for clients using our staff augmentation model. [validate figure]</w:t>
      </w:r>
    </w:p>
    <w:p>
      <w:pPr>
        <w:pStyle w:val="Heading2"/>
        <w:spacing w:after="160" w:before="320"/>
      </w:pPr>
      <w:r>
        <w:rPr>
          <w:rFonts w:ascii="Calibri" w:cs="Calibri" w:eastAsia="Calibri" w:hAnsi="Calibri"/>
          <w:b/>
          <w:bCs/>
          <w:color w:val="132B4F"/>
          <w:sz w:val="26"/>
          <w:szCs w:val="26"/>
        </w:rPr>
        <w:t xml:space="preserve">Persona Fork</w:t>
      </w:r>
    </w:p>
    <w:p>
      <w:pPr>
        <w:spacing w:after="160" w:line="300"/>
      </w:pPr>
      <w:r>
        <w:rPr>
          <w:rFonts w:ascii="Calibri" w:cs="Calibri" w:eastAsia="Calibri" w:hAnsi="Calibri"/>
          <w:b w:val="false"/>
          <w:bCs w:val="false"/>
          <w:i w:val="false"/>
          <w:iCs w:val="false"/>
          <w:color w:val="3F3F3F"/>
          <w:sz w:val="21"/>
          <w:szCs w:val="21"/>
        </w:rPr>
        <w:t xml:space="preserve">Section intro: "Wherever you're starting from, there's a fast path to what you need."</w:t>
      </w:r>
    </w:p>
    <w:p>
      <w:pPr>
        <w:pStyle w:val="ListParagraph"/>
        <w:numPr>
          <w:ilvl w:val="0"/>
          <w:numId w:val="2"/>
        </w:numPr>
        <w:spacing w:after="90"/>
      </w:pPr>
      <w:r>
        <w:rPr>
          <w:rFonts w:ascii="Calibri" w:cs="Calibri" w:eastAsia="Calibri" w:hAnsi="Calibri"/>
          <w:color w:val="3F3F3F"/>
          <w:sz w:val="21"/>
          <w:szCs w:val="21"/>
        </w:rPr>
        <w:t xml:space="preserve">"I need to hire" → "See how Talent Bees fills critical roles in days, not months."</w:t>
      </w:r>
    </w:p>
    <w:p>
      <w:pPr>
        <w:pStyle w:val="ListParagraph"/>
        <w:numPr>
          <w:ilvl w:val="0"/>
          <w:numId w:val="2"/>
        </w:numPr>
        <w:spacing w:after="90"/>
      </w:pPr>
      <w:r>
        <w:rPr>
          <w:rFonts w:ascii="Calibri" w:cs="Calibri" w:eastAsia="Calibri" w:hAnsi="Calibri"/>
          <w:color w:val="3F3F3F"/>
          <w:sz w:val="21"/>
          <w:szCs w:val="21"/>
        </w:rPr>
        <w:t xml:space="preserve">"I need to build" → "See how Digital, AI, Quality, ServiceNow, and Energy Bees deliver production work, not just headcount."</w:t>
      </w:r>
    </w:p>
    <w:p>
      <w:pPr>
        <w:pStyle w:val="ListParagraph"/>
        <w:numPr>
          <w:ilvl w:val="0"/>
          <w:numId w:val="2"/>
        </w:numPr>
        <w:spacing w:after="90"/>
      </w:pPr>
      <w:r>
        <w:rPr>
          <w:rFonts w:ascii="Calibri" w:cs="Calibri" w:eastAsia="Calibri" w:hAnsi="Calibri"/>
          <w:color w:val="3F3F3F"/>
          <w:sz w:val="21"/>
          <w:szCs w:val="21"/>
        </w:rPr>
        <w:t xml:space="preserve">"I'm a candidate" → "See open roles and what it's actually like to work here."</w:t>
      </w:r>
    </w:p>
    <w:p>
      <w:pPr>
        <w:pStyle w:val="Heading2"/>
        <w:spacing w:after="160" w:before="320"/>
      </w:pPr>
      <w:r>
        <w:rPr>
          <w:rFonts w:ascii="Calibri" w:cs="Calibri" w:eastAsia="Calibri" w:hAnsi="Calibri"/>
          <w:b/>
          <w:bCs/>
          <w:color w:val="132B4F"/>
          <w:sz w:val="26"/>
          <w:szCs w:val="26"/>
        </w:rPr>
        <w:t xml:space="preserve">Practices Grid Intro</w:t>
      </w:r>
    </w:p>
    <w:p>
      <w:pPr>
        <w:spacing w:after="160" w:line="300"/>
      </w:pPr>
      <w:r>
        <w:rPr>
          <w:rFonts w:ascii="Calibri" w:cs="Calibri" w:eastAsia="Calibri" w:hAnsi="Calibri"/>
          <w:b w:val="false"/>
          <w:bCs w:val="false"/>
          <w:i w:val="false"/>
          <w:iCs w:val="false"/>
          <w:color w:val="3F3F3F"/>
          <w:sz w:val="21"/>
          <w:szCs w:val="21"/>
        </w:rPr>
        <w:t xml:space="preserve">H2: "Seven practices. One accountable partner." Body: "Most partners make you choose: a staffing firm that stops at the resume, or a delivery shop that stops at the project. TeamBees does both, under one roof, so the team that finds your specialists is the same team that can help them ship."</w:t>
      </w:r>
    </w:p>
    <w:p>
      <w:pPr>
        <w:pStyle w:val="Heading2"/>
        <w:spacing w:after="160" w:before="320"/>
      </w:pPr>
      <w:r>
        <w:rPr>
          <w:rFonts w:ascii="Calibri" w:cs="Calibri" w:eastAsia="Calibri" w:hAnsi="Calibri"/>
          <w:b/>
          <w:bCs/>
          <w:color w:val="132B4F"/>
          <w:sz w:val="26"/>
          <w:szCs w:val="26"/>
        </w:rPr>
        <w:t xml:space="preserve">AI Bees Spotlight</w:t>
      </w:r>
    </w:p>
    <w:p>
      <w:pPr>
        <w:spacing w:after="160" w:line="300"/>
      </w:pPr>
      <w:r>
        <w:rPr>
          <w:rFonts w:ascii="Calibri" w:cs="Calibri" w:eastAsia="Calibri" w:hAnsi="Calibri"/>
          <w:b w:val="false"/>
          <w:bCs w:val="false"/>
          <w:i w:val="false"/>
          <w:iCs w:val="false"/>
          <w:color w:val="3F3F3F"/>
          <w:sz w:val="21"/>
          <w:szCs w:val="21"/>
        </w:rPr>
        <w:t xml:space="preserve">H2: "AI that makes it into production." Body: "Most AI initiatives stall between prototype and production. AI Bees closes that gap — from use-case scoping and architecture through integration, guardrails, and monitoring — so what you ship is something your team can actually run and trust." CTA: "Explore AI Bees"</w:t>
      </w:r>
    </w:p>
    <w:p>
      <w:pPr>
        <w:pStyle w:val="Heading2"/>
        <w:spacing w:after="160" w:before="320"/>
      </w:pPr>
      <w:r>
        <w:rPr>
          <w:rFonts w:ascii="Calibri" w:cs="Calibri" w:eastAsia="Calibri" w:hAnsi="Calibri"/>
          <w:b/>
          <w:bCs/>
          <w:color w:val="132B4F"/>
          <w:sz w:val="26"/>
          <w:szCs w:val="26"/>
        </w:rPr>
        <w:t xml:space="preserve">Global Presence Intro</w:t>
      </w:r>
    </w:p>
    <w:p>
      <w:pPr>
        <w:spacing w:after="160" w:line="300"/>
      </w:pPr>
      <w:r>
        <w:rPr>
          <w:rFonts w:ascii="Calibri" w:cs="Calibri" w:eastAsia="Calibri" w:hAnsi="Calibri"/>
          <w:b w:val="false"/>
          <w:bCs w:val="false"/>
          <w:i w:val="false"/>
          <w:iCs w:val="false"/>
          <w:color w:val="3F3F3F"/>
          <w:sz w:val="21"/>
          <w:szCs w:val="21"/>
        </w:rPr>
        <w:t xml:space="preserve">H2: "Local enough to matter, global enough to scale." Body: "Compliance doesn't work the same way in London as it does in Dubai. Our regional teams know the difference — IR35 in the UK, Emiratization in the UAE, GDPR across Europe — so you don't have to become an expert in six different regulatory regimes just to hire well."</w:t>
      </w:r>
    </w:p>
    <w:p>
      <w:pPr>
        <w:pStyle w:val="Heading2"/>
        <w:spacing w:after="160" w:before="320"/>
      </w:pPr>
      <w:r>
        <w:rPr>
          <w:rFonts w:ascii="Calibri" w:cs="Calibri" w:eastAsia="Calibri" w:hAnsi="Calibri"/>
          <w:b/>
          <w:bCs/>
          <w:color w:val="132B4F"/>
          <w:sz w:val="26"/>
          <w:szCs w:val="26"/>
        </w:rPr>
        <w:t xml:space="preserve">Careers Spotlight</w:t>
      </w:r>
    </w:p>
    <w:p>
      <w:pPr>
        <w:spacing w:after="160" w:line="300"/>
      </w:pPr>
      <w:r>
        <w:rPr>
          <w:rFonts w:ascii="Calibri" w:cs="Calibri" w:eastAsia="Calibri" w:hAnsi="Calibri"/>
          <w:b w:val="false"/>
          <w:bCs w:val="false"/>
          <w:i w:val="false"/>
          <w:iCs w:val="false"/>
          <w:color w:val="3F3F3F"/>
          <w:sz w:val="21"/>
          <w:szCs w:val="21"/>
        </w:rPr>
        <w:t xml:space="preserve">H2: "Join a team building what's next." Body: "TeamBees professionals work across banking, healthcare, energy, and SaaS clients on real, modern problems — from production AI agents to ServiceNow transformations — with the training and mobility to keep growing into them." CTA: "View Open Roles"</w:t>
      </w:r>
    </w:p>
    <w:p>
      <w:pPr>
        <w:pStyle w:val="Heading2"/>
        <w:spacing w:after="160" w:before="320"/>
      </w:pPr>
      <w:r>
        <w:rPr>
          <w:rFonts w:ascii="Calibri" w:cs="Calibri" w:eastAsia="Calibri" w:hAnsi="Calibri"/>
          <w:b/>
          <w:bCs/>
          <w:color w:val="132B4F"/>
          <w:sz w:val="26"/>
          <w:szCs w:val="26"/>
        </w:rPr>
        <w:t xml:space="preserve">Final CTA Band</w:t>
      </w:r>
    </w:p>
    <w:p>
      <w:pPr>
        <w:spacing w:after="160" w:line="300"/>
      </w:pPr>
      <w:r>
        <w:rPr>
          <w:rFonts w:ascii="Calibri" w:cs="Calibri" w:eastAsia="Calibri" w:hAnsi="Calibri"/>
          <w:b w:val="false"/>
          <w:bCs w:val="false"/>
          <w:i w:val="false"/>
          <w:iCs w:val="false"/>
          <w:color w:val="3F3F3F"/>
          <w:sz w:val="21"/>
          <w:szCs w:val="21"/>
        </w:rPr>
        <w:t xml:space="preserve">H2: "Let's build your team." Body: "Tell us what you're trying to solve — we'll tell you honestly whether we're the right fit." CTA: "Book a Consultation"</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
      </w:r>
      <w:r>
        <w:rPr>
          <w:rFonts w:ascii="Calibri" w:cs="Calibri" w:eastAsia="Calibri" w:hAnsi="Calibri"/>
          <w:b/>
          <w:bCs/>
          <w:color w:val="0B1F3A"/>
          <w:sz w:val="32"/>
          <w:szCs w:val="32"/>
        </w:rPr>
        <w:t xml:space="preserve">C.2 AI Bees Hub — Full Draft Copy</w:t>
      </w:r>
    </w:p>
    <w:p>
      <w:pPr>
        <w:pStyle w:val="Heading2"/>
        <w:spacing w:after="160" w:before="320"/>
      </w:pPr>
      <w:r>
        <w:rPr>
          <w:rFonts w:ascii="Calibri" w:cs="Calibri" w:eastAsia="Calibri" w:hAnsi="Calibri"/>
          <w:b/>
          <w:bCs/>
          <w:color w:val="132B4F"/>
          <w:sz w:val="26"/>
          <w:szCs w:val="26"/>
        </w:rPr>
        <w:t xml:space="preserve">Hero</w:t>
      </w:r>
    </w:p>
    <w:p>
      <w:pPr>
        <w:spacing w:after="160" w:line="300"/>
      </w:pPr>
      <w:r>
        <w:rPr>
          <w:rFonts w:ascii="Calibri" w:cs="Calibri" w:eastAsia="Calibri" w:hAnsi="Calibri"/>
          <w:b w:val="false"/>
          <w:bCs w:val="false"/>
          <w:i w:val="false"/>
          <w:iCs w:val="false"/>
          <w:color w:val="3F3F3F"/>
          <w:sz w:val="21"/>
          <w:szCs w:val="21"/>
        </w:rPr>
        <w:t xml:space="preserve">Breadcrumb: Home / Practices / AI Bees</w:t>
      </w:r>
    </w:p>
    <w:p>
      <w:pPr>
        <w:spacing w:after="160" w:line="300"/>
      </w:pPr>
      <w:r>
        <w:rPr>
          <w:rFonts w:ascii="Calibri" w:cs="Calibri" w:eastAsia="Calibri" w:hAnsi="Calibri"/>
          <w:b w:val="false"/>
          <w:bCs w:val="false"/>
          <w:i w:val="false"/>
          <w:iCs w:val="false"/>
          <w:color w:val="3F3F3F"/>
          <w:sz w:val="21"/>
          <w:szCs w:val="21"/>
        </w:rPr>
        <w:t xml:space="preserve">H1: "AI Bees — From AI strategy to production, faster."</w:t>
      </w:r>
    </w:p>
    <w:p>
      <w:pPr>
        <w:spacing w:after="160" w:line="300"/>
      </w:pPr>
      <w:r>
        <w:rPr>
          <w:rFonts w:ascii="Calibri" w:cs="Calibri" w:eastAsia="Calibri" w:hAnsi="Calibri"/>
          <w:b w:val="false"/>
          <w:bCs w:val="false"/>
          <w:i w:val="false"/>
          <w:iCs w:val="false"/>
          <w:color w:val="3F3F3F"/>
          <w:sz w:val="21"/>
          <w:szCs w:val="21"/>
        </w:rPr>
        <w:t xml:space="preserve">Subhead: "AI agents, generative AI, LLM development, automation, consulting, and integration — built by teams who ship AI into real production systems, not just prototypes."</w:t>
      </w:r>
    </w:p>
    <w:p>
      <w:pPr>
        <w:pStyle w:val="Heading2"/>
        <w:spacing w:after="160" w:before="320"/>
      </w:pPr>
      <w:r>
        <w:rPr>
          <w:rFonts w:ascii="Calibri" w:cs="Calibri" w:eastAsia="Calibri" w:hAnsi="Calibri"/>
          <w:b/>
          <w:bCs/>
          <w:color w:val="132B4F"/>
          <w:sz w:val="26"/>
          <w:szCs w:val="26"/>
        </w:rPr>
        <w:t xml:space="preserve">Proof Bar</w:t>
      </w:r>
    </w:p>
    <w:p>
      <w:pPr>
        <w:pStyle w:val="ListParagraph"/>
        <w:numPr>
          <w:ilvl w:val="0"/>
          <w:numId w:val="2"/>
        </w:numPr>
        <w:spacing w:after="90"/>
      </w:pPr>
      <w:r>
        <w:rPr>
          <w:rFonts w:ascii="Calibri" w:cs="Calibri" w:eastAsia="Calibri" w:hAnsi="Calibri"/>
          <w:color w:val="3F3F3F"/>
          <w:sz w:val="21"/>
          <w:szCs w:val="21"/>
        </w:rPr>
        <w:t xml:space="preserve">"[X] production AI agents deployed across financial services and SaaS clients" [validate]</w:t>
      </w:r>
    </w:p>
    <w:p>
      <w:pPr>
        <w:pStyle w:val="ListParagraph"/>
        <w:numPr>
          <w:ilvl w:val="0"/>
          <w:numId w:val="2"/>
        </w:numPr>
        <w:spacing w:after="90"/>
      </w:pPr>
      <w:r>
        <w:rPr>
          <w:rFonts w:ascii="Calibri" w:cs="Calibri" w:eastAsia="Calibri" w:hAnsi="Calibri"/>
          <w:color w:val="3F3F3F"/>
          <w:sz w:val="21"/>
          <w:szCs w:val="21"/>
        </w:rPr>
        <w:t xml:space="preserve">"[X]% of engagements move from pilot to production within [X] months" [validate]</w:t>
      </w:r>
    </w:p>
    <w:p>
      <w:pPr>
        <w:pStyle w:val="ListParagraph"/>
        <w:numPr>
          <w:ilvl w:val="0"/>
          <w:numId w:val="2"/>
        </w:numPr>
        <w:spacing w:after="90"/>
      </w:pPr>
      <w:r>
        <w:rPr>
          <w:rFonts w:ascii="Calibri" w:cs="Calibri" w:eastAsia="Calibri" w:hAnsi="Calibri"/>
          <w:color w:val="3F3F3F"/>
          <w:sz w:val="21"/>
          <w:szCs w:val="21"/>
        </w:rPr>
        <w:t xml:space="preserve">"[X] certified AI/ML engineers on staff" [validate]</w:t>
      </w:r>
    </w:p>
    <w:p>
      <w:pPr>
        <w:pStyle w:val="Heading2"/>
        <w:spacing w:after="160" w:before="320"/>
      </w:pPr>
      <w:r>
        <w:rPr>
          <w:rFonts w:ascii="Calibri" w:cs="Calibri" w:eastAsia="Calibri" w:hAnsi="Calibri"/>
          <w:b/>
          <w:bCs/>
          <w:color w:val="132B4F"/>
          <w:sz w:val="26"/>
          <w:szCs w:val="26"/>
        </w:rPr>
        <w:t xml:space="preserve">Sub-Service Grid Intro</w:t>
      </w:r>
    </w:p>
    <w:p>
      <w:pPr>
        <w:spacing w:after="160" w:line="300"/>
      </w:pPr>
      <w:r>
        <w:rPr>
          <w:rFonts w:ascii="Calibri" w:cs="Calibri" w:eastAsia="Calibri" w:hAnsi="Calibri"/>
          <w:b w:val="false"/>
          <w:bCs w:val="false"/>
          <w:i w:val="false"/>
          <w:iCs w:val="false"/>
          <w:color w:val="3F3F3F"/>
          <w:sz w:val="21"/>
          <w:szCs w:val="21"/>
        </w:rPr>
        <w:t xml:space="preserve">H2: "Six ways we help you move on AI." Body: "Whether you need a single use case scoped and shipped or a full AI operating model, AI Bees meets you at the stage you're actually at."</w:t>
      </w:r>
    </w:p>
    <w:p>
      <w:pPr>
        <w:pStyle w:val="Heading2"/>
        <w:spacing w:after="160" w:before="320"/>
      </w:pPr>
      <w:r>
        <w:rPr>
          <w:rFonts w:ascii="Calibri" w:cs="Calibri" w:eastAsia="Calibri" w:hAnsi="Calibri"/>
          <w:b/>
          <w:bCs/>
          <w:color w:val="132B4F"/>
          <w:sz w:val="26"/>
          <w:szCs w:val="26"/>
        </w:rPr>
        <w:t xml:space="preserve">How We Work</w:t>
      </w:r>
    </w:p>
    <w:p>
      <w:pPr>
        <w:spacing w:after="160" w:line="300"/>
      </w:pPr>
      <w:r>
        <w:rPr>
          <w:rFonts w:ascii="Calibri" w:cs="Calibri" w:eastAsia="Calibri" w:hAnsi="Calibri"/>
          <w:b w:val="false"/>
          <w:bCs w:val="false"/>
          <w:i w:val="false"/>
          <w:iCs w:val="false"/>
          <w:color w:val="3F3F3F"/>
          <w:sz w:val="21"/>
          <w:szCs w:val="21"/>
        </w:rPr>
        <w:t xml:space="preserve">H3: "Discovery, not just delivery." Body: "We start by pressure-testing whether a use case is worth building before we build it — the fastest way to waste an AI budget is shipping a well-engineered agent for a problem that didn't need one."</w:t>
      </w:r>
    </w:p>
    <w:p>
      <w:pPr>
        <w:spacing w:after="160" w:line="300"/>
      </w:pPr>
      <w:r>
        <w:rPr>
          <w:rFonts w:ascii="Calibri" w:cs="Calibri" w:eastAsia="Calibri" w:hAnsi="Calibri"/>
          <w:b w:val="false"/>
          <w:bCs w:val="false"/>
          <w:i w:val="false"/>
          <w:iCs w:val="false"/>
          <w:color w:val="3F3F3F"/>
          <w:sz w:val="21"/>
          <w:szCs w:val="21"/>
        </w:rPr>
        <w:t xml:space="preserve">H3: "Production-grade from day one." Body: "Evaluation, guardrails, and monitoring are built in from the first sprint, not bolted on before launch — so what ships is something your engineering team can actually own afterward."</w:t>
      </w:r>
    </w:p>
    <w:p>
      <w:pPr>
        <w:pStyle w:val="Heading2"/>
        <w:spacing w:after="160" w:before="320"/>
      </w:pPr>
      <w:r>
        <w:rPr>
          <w:rFonts w:ascii="Calibri" w:cs="Calibri" w:eastAsia="Calibri" w:hAnsi="Calibri"/>
          <w:b/>
          <w:bCs/>
          <w:color w:val="132B4F"/>
          <w:sz w:val="26"/>
          <w:szCs w:val="26"/>
        </w:rPr>
        <w:t xml:space="preserve">Industry Relevance</w:t>
      </w:r>
    </w:p>
    <w:p>
      <w:pPr>
        <w:spacing w:after="160" w:line="300"/>
      </w:pPr>
      <w:r>
        <w:rPr>
          <w:rFonts w:ascii="Calibri" w:cs="Calibri" w:eastAsia="Calibri" w:hAnsi="Calibri"/>
          <w:b w:val="false"/>
          <w:bCs w:val="false"/>
          <w:i w:val="false"/>
          <w:iCs w:val="false"/>
          <w:color w:val="3F3F3F"/>
          <w:sz w:val="21"/>
          <w:szCs w:val="21"/>
        </w:rPr>
        <w:t xml:space="preserve">Chip row intro: "See how AI Bees works for:" → Banking &amp; Financial Services, Healthcare &amp; Life Sciences, SaaS &amp; Technology, Energy &amp; Utilities</w:t>
      </w:r>
    </w:p>
    <w:p>
      <w:pPr>
        <w:pStyle w:val="Heading2"/>
        <w:spacing w:after="160" w:before="320"/>
      </w:pPr>
      <w:r>
        <w:rPr>
          <w:rFonts w:ascii="Calibri" w:cs="Calibri" w:eastAsia="Calibri" w:hAnsi="Calibri"/>
          <w:b/>
          <w:bCs/>
          <w:color w:val="132B4F"/>
          <w:sz w:val="26"/>
          <w:szCs w:val="26"/>
        </w:rPr>
        <w:t xml:space="preserve">Related Practices</w:t>
      </w:r>
    </w:p>
    <w:p>
      <w:pPr>
        <w:spacing w:after="160" w:line="300"/>
      </w:pPr>
      <w:r>
        <w:rPr>
          <w:rFonts w:ascii="Calibri" w:cs="Calibri" w:eastAsia="Calibri" w:hAnsi="Calibri"/>
          <w:b w:val="false"/>
          <w:bCs w:val="false"/>
          <w:i w:val="false"/>
          <w:iCs w:val="false"/>
          <w:color w:val="3F3F3F"/>
          <w:sz w:val="21"/>
          <w:szCs w:val="21"/>
        </w:rPr>
        <w:t xml:space="preserve">"Often paired with:" Quality Bees (AI Testing) — "Testing that catches what generic QA misses in AI systems." Digital Bees (Data Engineering) — "The data foundation production AI actually needs."</w:t>
      </w:r>
    </w:p>
    <w:p>
      <w:pPr>
        <w:pStyle w:val="Heading2"/>
        <w:spacing w:after="160" w:before="320"/>
      </w:pPr>
      <w:r>
        <w:rPr>
          <w:rFonts w:ascii="Calibri" w:cs="Calibri" w:eastAsia="Calibri" w:hAnsi="Calibri"/>
          <w:b/>
          <w:bCs/>
          <w:color w:val="132B4F"/>
          <w:sz w:val="26"/>
          <w:szCs w:val="26"/>
        </w:rPr>
        <w:t xml:space="preserve">CTA Band</w:t>
      </w:r>
    </w:p>
    <w:p>
      <w:pPr>
        <w:spacing w:after="160" w:line="300"/>
      </w:pPr>
      <w:r>
        <w:rPr>
          <w:rFonts w:ascii="Calibri" w:cs="Calibri" w:eastAsia="Calibri" w:hAnsi="Calibri"/>
          <w:b w:val="false"/>
          <w:bCs w:val="false"/>
          <w:i w:val="false"/>
          <w:iCs w:val="false"/>
          <w:color w:val="3F3F3F"/>
          <w:sz w:val="21"/>
          <w:szCs w:val="21"/>
        </w:rPr>
        <w:t xml:space="preserve">H2: "Scope your next AI use case." CTA: "Talk to an AI Delivery Lead"</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
      </w:r>
      <w:r>
        <w:rPr>
          <w:rFonts w:ascii="Calibri" w:cs="Calibri" w:eastAsia="Calibri" w:hAnsi="Calibri"/>
          <w:b/>
          <w:bCs/>
          <w:color w:val="0B1F3A"/>
          <w:sz w:val="32"/>
          <w:szCs w:val="32"/>
        </w:rPr>
        <w:t xml:space="preserve">C.3 Energy Bees Hub — Full Draft Copy</w:t>
      </w:r>
    </w:p>
    <w:p>
      <w:pPr>
        <w:pStyle w:val="Heading2"/>
        <w:spacing w:after="160" w:before="320"/>
      </w:pPr>
      <w:r>
        <w:rPr>
          <w:rFonts w:ascii="Calibri" w:cs="Calibri" w:eastAsia="Calibri" w:hAnsi="Calibri"/>
          <w:b/>
          <w:bCs/>
          <w:color w:val="132B4F"/>
          <w:sz w:val="26"/>
          <w:szCs w:val="26"/>
        </w:rPr>
        <w:t xml:space="preserve">Hero</w:t>
      </w:r>
    </w:p>
    <w:p>
      <w:pPr>
        <w:spacing w:after="160" w:line="300"/>
      </w:pPr>
      <w:r>
        <w:rPr>
          <w:rFonts w:ascii="Calibri" w:cs="Calibri" w:eastAsia="Calibri" w:hAnsi="Calibri"/>
          <w:b w:val="false"/>
          <w:bCs w:val="false"/>
          <w:i w:val="false"/>
          <w:iCs w:val="false"/>
          <w:color w:val="3F3F3F"/>
          <w:sz w:val="21"/>
          <w:szCs w:val="21"/>
        </w:rPr>
        <w:t xml:space="preserve">H1: "Energy Bees — Specialist consulting for energy trading platforms."</w:t>
      </w:r>
    </w:p>
    <w:p>
      <w:pPr>
        <w:spacing w:after="160" w:line="300"/>
      </w:pPr>
      <w:r>
        <w:rPr>
          <w:rFonts w:ascii="Calibri" w:cs="Calibri" w:eastAsia="Calibri" w:hAnsi="Calibri"/>
          <w:b w:val="false"/>
          <w:bCs w:val="false"/>
          <w:i w:val="false"/>
          <w:iCs w:val="false"/>
          <w:color w:val="3F3F3F"/>
          <w:sz w:val="21"/>
          <w:szCs w:val="21"/>
        </w:rPr>
        <w:t xml:space="preserve">Subhead: "Deep, named expertise in Endur, Allegro, RightAngle, and TriplePoint, plus energy trading consulting from people who know the platforms and the market, not just the codebase."</w:t>
      </w:r>
    </w:p>
    <w:p>
      <w:pPr>
        <w:pStyle w:val="Heading2"/>
        <w:spacing w:after="160" w:before="320"/>
      </w:pPr>
      <w:r>
        <w:rPr>
          <w:rFonts w:ascii="Calibri" w:cs="Calibri" w:eastAsia="Calibri" w:hAnsi="Calibri"/>
          <w:b/>
          <w:bCs/>
          <w:color w:val="132B4F"/>
          <w:sz w:val="26"/>
          <w:szCs w:val="26"/>
        </w:rPr>
        <w:t xml:space="preserve">Proof Bar</w:t>
      </w:r>
    </w:p>
    <w:p>
      <w:pPr>
        <w:pStyle w:val="ListParagraph"/>
        <w:numPr>
          <w:ilvl w:val="0"/>
          <w:numId w:val="2"/>
        </w:numPr>
        <w:spacing w:after="90"/>
      </w:pPr>
      <w:r>
        <w:rPr>
          <w:rFonts w:ascii="Calibri" w:cs="Calibri" w:eastAsia="Calibri" w:hAnsi="Calibri"/>
          <w:color w:val="3F3F3F"/>
          <w:sz w:val="21"/>
          <w:szCs w:val="21"/>
        </w:rPr>
        <w:t xml:space="preserve">"[X] certified consultants across Endur, Allegro, RightAngle, and TriplePoint" [validate]</w:t>
      </w:r>
    </w:p>
    <w:p>
      <w:pPr>
        <w:pStyle w:val="ListParagraph"/>
        <w:numPr>
          <w:ilvl w:val="0"/>
          <w:numId w:val="2"/>
        </w:numPr>
        <w:spacing w:after="90"/>
      </w:pPr>
      <w:r>
        <w:rPr>
          <w:rFonts w:ascii="Calibri" w:cs="Calibri" w:eastAsia="Calibri" w:hAnsi="Calibri"/>
          <w:color w:val="3F3F3F"/>
          <w:sz w:val="21"/>
          <w:szCs w:val="21"/>
        </w:rPr>
        <w:t xml:space="preserve">"[X] years average energy trading domain experience per senior consultant" [validate]</w:t>
      </w:r>
    </w:p>
    <w:p>
      <w:pPr>
        <w:pStyle w:val="ListParagraph"/>
        <w:numPr>
          <w:ilvl w:val="0"/>
          <w:numId w:val="2"/>
        </w:numPr>
        <w:spacing w:after="90"/>
      </w:pPr>
      <w:r>
        <w:rPr>
          <w:rFonts w:ascii="Calibri" w:cs="Calibri" w:eastAsia="Calibri" w:hAnsi="Calibri"/>
          <w:color w:val="3F3F3F"/>
          <w:sz w:val="21"/>
          <w:szCs w:val="21"/>
        </w:rPr>
        <w:t xml:space="preserve">"Engagements across physical and financial energy trading desks" [validate]</w:t>
      </w:r>
    </w:p>
    <w:p>
      <w:pPr>
        <w:pStyle w:val="Heading2"/>
        <w:spacing w:after="160" w:before="320"/>
      </w:pPr>
      <w:r>
        <w:rPr>
          <w:rFonts w:ascii="Calibri" w:cs="Calibri" w:eastAsia="Calibri" w:hAnsi="Calibri"/>
          <w:b/>
          <w:bCs/>
          <w:color w:val="132B4F"/>
          <w:sz w:val="26"/>
          <w:szCs w:val="26"/>
        </w:rPr>
        <w:t xml:space="preserve">How We Work</w:t>
      </w:r>
    </w:p>
    <w:p>
      <w:pPr>
        <w:spacing w:after="160" w:line="300"/>
      </w:pPr>
      <w:r>
        <w:rPr>
          <w:rFonts w:ascii="Calibri" w:cs="Calibri" w:eastAsia="Calibri" w:hAnsi="Calibri"/>
          <w:b w:val="false"/>
          <w:bCs w:val="false"/>
          <w:i w:val="false"/>
          <w:iCs w:val="false"/>
          <w:color w:val="3F3F3F"/>
          <w:sz w:val="21"/>
          <w:szCs w:val="21"/>
        </w:rPr>
        <w:t xml:space="preserve">Body: "Energy trading platforms fail quietly when the people implementing them don't understand the trading and risk workflows underneath the screens. Our consultants come from a mix of platform-implementation and trading-operations backgrounds, so configuration decisions get made with the desk's actual workflow in mind, not just the vendor's default setup."</w:t>
      </w:r>
    </w:p>
    <w:p>
      <w:pPr>
        <w:pStyle w:val="Heading2"/>
        <w:spacing w:after="160" w:before="320"/>
      </w:pPr>
      <w:r>
        <w:rPr>
          <w:rFonts w:ascii="Calibri" w:cs="Calibri" w:eastAsia="Calibri" w:hAnsi="Calibri"/>
          <w:b/>
          <w:bCs/>
          <w:color w:val="132B4F"/>
          <w:sz w:val="26"/>
          <w:szCs w:val="26"/>
        </w:rPr>
        <w:t xml:space="preserve">Anonymized Case Reference</w:t>
      </w:r>
    </w:p>
    <w:p>
      <w:pPr>
        <w:spacing w:after="160" w:line="300"/>
      </w:pPr>
      <w:r>
        <w:rPr>
          <w:rFonts w:ascii="Calibri" w:cs="Calibri" w:eastAsia="Calibri" w:hAnsi="Calibri"/>
          <w:b w:val="false"/>
          <w:bCs w:val="false"/>
          <w:i w:val="false"/>
          <w:iCs w:val="false"/>
          <w:color w:val="3F3F3F"/>
          <w:sz w:val="21"/>
          <w:szCs w:val="21"/>
        </w:rPr>
        <w:t xml:space="preserve">"A top-5 US energy trading firm needed to migrate risk-reporting workflows onto a new Endur instance without disrupting live trading. Energy Bees delivered the migration in [X] weeks with zero reporting downtime." (anonymized per Section 10.3 — replace with named case study once client sign-off is secured)</w:t>
      </w:r>
    </w:p>
    <w:p>
      <w:pPr>
        <w:pStyle w:val="Heading2"/>
        <w:spacing w:after="160" w:before="320"/>
      </w:pPr>
      <w:r>
        <w:rPr>
          <w:rFonts w:ascii="Calibri" w:cs="Calibri" w:eastAsia="Calibri" w:hAnsi="Calibri"/>
          <w:b/>
          <w:bCs/>
          <w:color w:val="132B4F"/>
          <w:sz w:val="26"/>
          <w:szCs w:val="26"/>
        </w:rPr>
        <w:t xml:space="preserve">CTA Band</w:t>
      </w:r>
    </w:p>
    <w:p>
      <w:pPr>
        <w:spacing w:after="160" w:line="300"/>
      </w:pPr>
      <w:r>
        <w:rPr>
          <w:rFonts w:ascii="Calibri" w:cs="Calibri" w:eastAsia="Calibri" w:hAnsi="Calibri"/>
          <w:b w:val="false"/>
          <w:bCs w:val="false"/>
          <w:i w:val="false"/>
          <w:iCs w:val="false"/>
          <w:color w:val="3F3F3F"/>
          <w:sz w:val="21"/>
          <w:szCs w:val="21"/>
        </w:rPr>
        <w:t xml:space="preserve">H2: "Talk to a platform specialist who's actually traded on these systems." CTA: "Talk to a Platform Specialist"</w:t>
      </w:r>
    </w:p>
    <w:p>
      <w:r>
        <w:br w:type="page"/>
      </w:r>
    </w:p>
    <w:p>
      <w:pPr>
        <w:pStyle w:val="Heading1"/>
        <w:pBdr>
          <w:bottom w:val="single" w:color="C6963A" w:sz="12" w:space="8"/>
        </w:pBdr>
        <w:spacing w:after="240" w:before="480"/>
      </w:pPr>
      <w:r>
        <w:rPr>
          <w:rFonts w:ascii="Calibri" w:cs="Calibri" w:eastAsia="Calibri" w:hAnsi="Calibri"/>
          <w:b/>
          <w:bCs/>
          <w:color w:val="C6963A"/>
          <w:sz w:val="32"/>
          <w:szCs w:val="32"/>
        </w:rPr>
        <w:t xml:space="preserve"/>
      </w:r>
      <w:r>
        <w:rPr>
          <w:rFonts w:ascii="Calibri" w:cs="Calibri" w:eastAsia="Calibri" w:hAnsi="Calibri"/>
          <w:b/>
          <w:bCs/>
          <w:color w:val="0B1F3A"/>
          <w:sz w:val="32"/>
          <w:szCs w:val="32"/>
        </w:rPr>
        <w:t xml:space="preserve">C.4 UAE Region Hub — Full Draft Copy</w:t>
      </w:r>
    </w:p>
    <w:p>
      <w:pPr>
        <w:pStyle w:val="Heading2"/>
        <w:spacing w:after="160" w:before="320"/>
      </w:pPr>
      <w:r>
        <w:rPr>
          <w:rFonts w:ascii="Calibri" w:cs="Calibri" w:eastAsia="Calibri" w:hAnsi="Calibri"/>
          <w:b/>
          <w:bCs/>
          <w:color w:val="132B4F"/>
          <w:sz w:val="26"/>
          <w:szCs w:val="26"/>
        </w:rPr>
        <w:t xml:space="preserve">Hero</w:t>
      </w:r>
    </w:p>
    <w:p>
      <w:pPr>
        <w:spacing w:after="160" w:line="300"/>
      </w:pPr>
      <w:r>
        <w:rPr>
          <w:rFonts w:ascii="Calibri" w:cs="Calibri" w:eastAsia="Calibri" w:hAnsi="Calibri"/>
          <w:b w:val="false"/>
          <w:bCs w:val="false"/>
          <w:i w:val="false"/>
          <w:iCs w:val="false"/>
          <w:color w:val="3F3F3F"/>
          <w:sz w:val="21"/>
          <w:szCs w:val="21"/>
        </w:rPr>
        <w:t xml:space="preserve">H1: "TeamBees in the UAE — Talent and delivery built for how the region actually hires."</w:t>
      </w:r>
    </w:p>
    <w:p>
      <w:pPr>
        <w:spacing w:after="160" w:line="300"/>
      </w:pPr>
      <w:r>
        <w:rPr>
          <w:rFonts w:ascii="Calibri" w:cs="Calibri" w:eastAsia="Calibri" w:hAnsi="Calibri"/>
          <w:b w:val="false"/>
          <w:bCs w:val="false"/>
          <w:i w:val="false"/>
          <w:iCs w:val="false"/>
          <w:color w:val="3F3F3F"/>
          <w:sz w:val="21"/>
          <w:szCs w:val="21"/>
        </w:rPr>
        <w:t xml:space="preserve">Subhead: "Emiratization-aware staffing, free zone and mainland hiring expertise, and delivery teams who understand the pace enterprise and government projects move at here."</w:t>
      </w:r>
    </w:p>
    <w:p>
      <w:pPr>
        <w:pStyle w:val="Heading2"/>
        <w:spacing w:after="160" w:before="320"/>
      </w:pPr>
      <w:r>
        <w:rPr>
          <w:rFonts w:ascii="Calibri" w:cs="Calibri" w:eastAsia="Calibri" w:hAnsi="Calibri"/>
          <w:b/>
          <w:bCs/>
          <w:color w:val="132B4F"/>
          <w:sz w:val="26"/>
          <w:szCs w:val="26"/>
        </w:rPr>
        <w:t xml:space="preserve">Compliance Snapshot</w:t>
      </w:r>
    </w:p>
    <w:p>
      <w:pPr>
        <w:spacing w:after="160" w:line="300"/>
      </w:pPr>
      <w:r>
        <w:rPr>
          <w:rFonts w:ascii="Calibri" w:cs="Calibri" w:eastAsia="Calibri" w:hAnsi="Calibri"/>
          <w:b w:val="false"/>
          <w:bCs w:val="false"/>
          <w:i w:val="false"/>
          <w:iCs w:val="false"/>
          <w:color w:val="3F3F3F"/>
          <w:sz w:val="21"/>
          <w:szCs w:val="21"/>
        </w:rPr>
        <w:t xml:space="preserve">H2: "Emiratization, handled as a strength, not a hurdle." Body: "We build Emiratization compliance into workforce planning from the start — helping clients meet quota requirements with genuinely qualified UAE national talent, not last-minute box-ticking. We also help clients navigate the practical differences between free zone and mainland hiring structures so the right legal setup is in place before a single offer goes out."</w:t>
      </w:r>
    </w:p>
    <w:p>
      <w:pPr>
        <w:pStyle w:val="Heading2"/>
        <w:spacing w:after="160" w:before="320"/>
      </w:pPr>
      <w:r>
        <w:rPr>
          <w:rFonts w:ascii="Calibri" w:cs="Calibri" w:eastAsia="Calibri" w:hAnsi="Calibri"/>
          <w:b/>
          <w:bCs/>
          <w:color w:val="132B4F"/>
          <w:sz w:val="26"/>
          <w:szCs w:val="26"/>
        </w:rPr>
        <w:t xml:space="preserve">Regional Case Studies Intro</w:t>
      </w:r>
    </w:p>
    <w:p>
      <w:pPr>
        <w:spacing w:after="160" w:line="300"/>
      </w:pPr>
      <w:r>
        <w:rPr>
          <w:rFonts w:ascii="Calibri" w:cs="Calibri" w:eastAsia="Calibri" w:hAnsi="Calibri"/>
          <w:b w:val="false"/>
          <w:bCs w:val="false"/>
          <w:i w:val="false"/>
          <w:iCs w:val="false"/>
          <w:color w:val="3F3F3F"/>
          <w:sz w:val="21"/>
          <w:szCs w:val="21"/>
        </w:rPr>
        <w:t xml:space="preserve">"See how we've delivered for organizations across Oil &amp; Gas, BFSI, and Enterprise in the UAE."</w:t>
      </w:r>
    </w:p>
    <w:p>
      <w:pPr>
        <w:pStyle w:val="Heading2"/>
        <w:spacing w:after="160" w:before="320"/>
      </w:pPr>
      <w:r>
        <w:rPr>
          <w:rFonts w:ascii="Calibri" w:cs="Calibri" w:eastAsia="Calibri" w:hAnsi="Calibri"/>
          <w:b/>
          <w:bCs/>
          <w:color w:val="132B4F"/>
          <w:sz w:val="26"/>
          <w:szCs w:val="26"/>
        </w:rPr>
        <w:t xml:space="preserve">CTA</w:t>
      </w:r>
    </w:p>
    <w:p>
      <w:pPr>
        <w:spacing w:after="160" w:line="300"/>
      </w:pPr>
      <w:r>
        <w:rPr>
          <w:rFonts w:ascii="Calibri" w:cs="Calibri" w:eastAsia="Calibri" w:hAnsi="Calibri"/>
          <w:b w:val="false"/>
          <w:bCs w:val="false"/>
          <w:i w:val="false"/>
          <w:iCs w:val="false"/>
          <w:color w:val="3F3F3F"/>
          <w:sz w:val="21"/>
          <w:szCs w:val="21"/>
        </w:rPr>
        <w:t xml:space="preserve">H2: "Hire and build in the UAE with a partner who knows the region." CTA: "Talk to Our UAE Team"</w:t>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3F3F3F"/>
        <w:sz w:val="16"/>
        <w:szCs w:val="16"/>
      </w:rPr>
      <w:t xml:space="preserve">Confidential — For Internal &amp; Vendor Use   |   Page </w:t>
    </w:r>
    <w:r>
      <w:rPr>
        <w:rFonts w:ascii="Calibri" w:cs="Calibri" w:eastAsia="Calibri" w:hAnsi="Calibri"/>
        <w:color w:val="3F3F3F"/>
        <w:sz w:val="16"/>
        <w:szCs w:val="16"/>
      </w:rPr>
      <w:fldChar w:fldCharType="begin"/>
      <w:instrText xml:space="preserve">PAGE</w:instrText>
      <w:fldChar w:fldCharType="separate"/>
      <w:fldChar w:fldCharType="end"/>
    </w:r>
    <w:r>
      <w:rPr>
        <w:rFonts w:ascii="Calibri" w:cs="Calibri" w:eastAsia="Calibri" w:hAnsi="Calibri"/>
        <w:color w:val="3F3F3F"/>
        <w:sz w:val="16"/>
        <w:szCs w:val="16"/>
      </w:rPr>
      <w:t xml:space="preserve"> of </w:t>
    </w:r>
    <w:r>
      <w:rPr>
        <w:rFonts w:ascii="Calibri" w:cs="Calibri" w:eastAsia="Calibri" w:hAnsi="Calibri"/>
        <w:color w:val="3F3F3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963A" w:sz="6" w:space="4"/>
      </w:pBdr>
      <w:jc w:val="right"/>
    </w:pPr>
    <w:r>
      <w:rPr>
        <w:rFonts w:ascii="Calibri" w:cs="Calibri" w:eastAsia="Calibri" w:hAnsi="Calibri"/>
        <w:b/>
        <w:bCs/>
        <w:color w:val="0B1F3A"/>
        <w:sz w:val="16"/>
        <w:szCs w:val="16"/>
      </w:rPr>
      <w:t xml:space="preserve">TEAMBEES CORP  </w:t>
    </w:r>
    <w:r>
      <w:rPr>
        <w:rFonts w:ascii="Calibri" w:cs="Calibri" w:eastAsia="Calibri" w:hAnsi="Calibri"/>
        <w:i/>
        <w:iCs/>
        <w:color w:val="3F3F3F"/>
        <w:sz w:val="16"/>
        <w:szCs w:val="16"/>
      </w:rPr>
      <w:t xml:space="preserve">· Website Design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F3F3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TeamBees Corp Global Website Design Blueprint</dc:title>
  <dc:creator>TeamBees Corp — Website Design Blueprint</dc:creator>
  <cp:lastModifiedBy>Un-named</cp:lastModifiedBy>
  <cp:revision>1</cp:revision>
  <dcterms:created xsi:type="dcterms:W3CDTF">2026-07-26T17:27:58.275Z</dcterms:created>
  <dcterms:modified xsi:type="dcterms:W3CDTF">2026-07-26T17:27:58.275Z</dcterms:modified>
</cp:coreProperties>
</file>

<file path=docProps/custom.xml><?xml version="1.0" encoding="utf-8"?>
<Properties xmlns="http://schemas.openxmlformats.org/officeDocument/2006/custom-properties" xmlns:vt="http://schemas.openxmlformats.org/officeDocument/2006/docPropsVTypes"/>
</file>