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EB7BD" w14:textId="77777777" w:rsidR="000F4AE8" w:rsidRDefault="000F4AE8" w:rsidP="000F4AE8">
      <w:r>
        <w:t>Separation of Reverse Phase Text Mixture and Determination of Caffeine Concentration in Commercial Beverage by High-Performance Liquid Chromatography</w:t>
      </w:r>
    </w:p>
    <w:p w14:paraId="3ACB4AB0" w14:textId="5B119B39" w:rsidR="004A5327" w:rsidRDefault="000F4AE8">
      <w:r>
        <w:t>Max Shi</w:t>
      </w:r>
    </w:p>
    <w:p w14:paraId="517AACC3" w14:textId="77777777" w:rsidR="000F4AE8" w:rsidRDefault="000F4AE8" w:rsidP="000F4AE8">
      <w:pPr>
        <w:rPr>
          <w:i/>
          <w:iCs/>
        </w:rPr>
      </w:pPr>
      <w:r>
        <w:rPr>
          <w:i/>
          <w:iCs/>
        </w:rPr>
        <w:t>Department of Chemistry, Stevens Institute of Technology, Castle Point on Hudson, Hoboken, NJ 07030.</w:t>
      </w:r>
    </w:p>
    <w:p w14:paraId="6A429E30" w14:textId="523DC396" w:rsidR="000F4AE8" w:rsidRDefault="000F4AE8" w:rsidP="000F4AE8">
      <w:pPr>
        <w:rPr>
          <w:i/>
          <w:iCs/>
        </w:rPr>
      </w:pPr>
      <w:r>
        <w:rPr>
          <w:i/>
          <w:iCs/>
        </w:rPr>
        <w:t xml:space="preserve">Performed November </w:t>
      </w:r>
      <w:r>
        <w:rPr>
          <w:i/>
          <w:iCs/>
        </w:rPr>
        <w:t>16</w:t>
      </w:r>
      <w:r>
        <w:rPr>
          <w:i/>
          <w:iCs/>
        </w:rPr>
        <w:t xml:space="preserve">, 2020, submitted November </w:t>
      </w:r>
      <w:r>
        <w:rPr>
          <w:i/>
          <w:iCs/>
        </w:rPr>
        <w:t>25</w:t>
      </w:r>
      <w:r>
        <w:rPr>
          <w:i/>
          <w:iCs/>
        </w:rPr>
        <w:t>, 2020.</w:t>
      </w:r>
    </w:p>
    <w:p w14:paraId="51988B1A" w14:textId="7549F8BD" w:rsidR="000F4AE8" w:rsidRDefault="000F4AE8" w:rsidP="000F4AE8">
      <w:r w:rsidRPr="00B93EC6">
        <w:rPr>
          <w:b/>
          <w:bCs/>
        </w:rPr>
        <w:t>Abstract:</w:t>
      </w:r>
      <w:r>
        <w:t xml:space="preserve"> In this two-part experiment, High-Performance Liquid Chromatography (HPLC) was used to separate compounds in a reverse phase test mixture made from uracil, </w:t>
      </w:r>
      <w:r w:rsidR="007730F7">
        <w:t>acetophenone, methyl benzoate, toluene, and naphthalene</w:t>
      </w:r>
      <w:r w:rsidR="00F10269">
        <w:t xml:space="preserve">, and was used to </w:t>
      </w:r>
      <w:r w:rsidR="009B0A8A">
        <w:t>determine the concentration of caffeine in a commercial cola beverage using calibration solutions with benzophenone as an internal standard.</w:t>
      </w:r>
    </w:p>
    <w:p w14:paraId="31D86C5D" w14:textId="1CB62571" w:rsidR="009B0A8A" w:rsidRDefault="009B0A8A" w:rsidP="000F4AE8">
      <w:r>
        <w:t xml:space="preserve">In the first part of the experiment, </w:t>
      </w:r>
      <w:r w:rsidR="00253945">
        <w:t>the HPLC machine was set up</w:t>
      </w:r>
      <w:r w:rsidR="00544379">
        <w:t xml:space="preserve"> and the test mixture was injected</w:t>
      </w:r>
      <w:r w:rsidR="003176D6">
        <w:t xml:space="preserve">. Based on the </w:t>
      </w:r>
      <w:r w:rsidR="00E43338">
        <w:t xml:space="preserve">UV spectra of each peak, </w:t>
      </w:r>
      <w:r w:rsidR="000062D2">
        <w:t xml:space="preserve">the compounds in the test mixture were assigned to each chromatographic peak. The compounds eluted in the same order as shown above, which shows the </w:t>
      </w:r>
      <w:r w:rsidR="00605F84">
        <w:t>decreasing polarity of the compounds in that order.</w:t>
      </w:r>
    </w:p>
    <w:p w14:paraId="33FCC684" w14:textId="3F4CF108" w:rsidR="00605F84" w:rsidRDefault="00605F84" w:rsidP="000F4AE8">
      <w:r>
        <w:t>In the second part of the experiment,</w:t>
      </w:r>
      <w:r w:rsidR="0091739D">
        <w:t xml:space="preserve"> equal parts of 1.000 mM benzophenone, 1.000 mM caffeine, and 1.000 mM benzoic acid were mixed together, and </w:t>
      </w:r>
      <w:r w:rsidR="00524EBC">
        <w:t xml:space="preserve">injected into the HPLC loop. With the areas and known concentrations, the molar response ratio of caffeine and benzoic acid to the benzophenone internal standard were calculated to be </w:t>
      </w:r>
      <w:r w:rsidR="00333AA0">
        <w:t xml:space="preserve">0.189 and </w:t>
      </w:r>
      <w:r w:rsidR="00333AA0" w:rsidRPr="00333AA0">
        <w:rPr>
          <w:rFonts w:ascii="Calibri" w:eastAsia="Times New Roman" w:hAnsi="Calibri" w:cs="Calibri"/>
          <w:color w:val="000000"/>
        </w:rPr>
        <w:t>9.35E-03</w:t>
      </w:r>
      <w:r w:rsidR="00333AA0">
        <w:rPr>
          <w:rFonts w:ascii="Calibri" w:eastAsia="Times New Roman" w:hAnsi="Calibri" w:cs="Calibri"/>
          <w:color w:val="000000"/>
        </w:rPr>
        <w:t xml:space="preserve">, respectively. Next, </w:t>
      </w:r>
      <w:r>
        <w:t xml:space="preserve">four solutions of 0.2, 0.4, 0.6, and 0.8 mM </w:t>
      </w:r>
      <w:r w:rsidR="003D4E95">
        <w:t xml:space="preserve">caffeine </w:t>
      </w:r>
      <w:r w:rsidR="00333AA0">
        <w:t xml:space="preserve">were created with the 1.000 mM caffeine stock solution, and each solution was mixed with an equal part of 0.2 mM benzophenone. </w:t>
      </w:r>
      <w:r w:rsidR="000746CB">
        <w:t xml:space="preserve">Then, each solution’s chromatogram was recorded, and </w:t>
      </w:r>
      <w:r w:rsidR="005C26E3">
        <w:t xml:space="preserve">their peak areas were measured. </w:t>
      </w:r>
      <w:r w:rsidR="000F33B0">
        <w:t>Similarly, the cola beverage was mixed with equal parts of the 0.2 mM internal benzophenone standard</w:t>
      </w:r>
      <w:r w:rsidR="000C0A59">
        <w:t xml:space="preserve">, and its chromatogram was recorded. Then, by finding the ratios of area and concentration between the caffeine and benzophenone, a calibration plot was calculated, and </w:t>
      </w:r>
      <w:r w:rsidR="00A209AA">
        <w:t>a relative response factor value was found. Using this value, the concentration of caffeine in the cola beverage was calculated to be 0.</w:t>
      </w:r>
      <w:r w:rsidR="00B93EC6">
        <w:t>596 mM.</w:t>
      </w:r>
    </w:p>
    <w:p w14:paraId="05C784F5" w14:textId="7B91D0AE" w:rsidR="00B93EC6" w:rsidRPr="00B93EC6" w:rsidRDefault="00B93EC6" w:rsidP="000F4AE8">
      <w:pPr>
        <w:rPr>
          <w:b/>
          <w:bCs/>
        </w:rPr>
      </w:pPr>
      <w:r w:rsidRPr="00B93EC6">
        <w:rPr>
          <w:b/>
          <w:bCs/>
        </w:rPr>
        <w:t>Introduction</w:t>
      </w:r>
    </w:p>
    <w:p w14:paraId="23FF96AD" w14:textId="41383DCC" w:rsidR="00B93EC6" w:rsidRDefault="00CD0D85" w:rsidP="000F4AE8">
      <w:pPr>
        <w:rPr>
          <w:rFonts w:ascii="Calibri" w:eastAsia="Times New Roman" w:hAnsi="Calibri" w:cs="Calibri"/>
          <w:color w:val="000000"/>
        </w:rPr>
      </w:pPr>
      <w:r>
        <w:rPr>
          <w:rFonts w:ascii="Calibri" w:eastAsia="Times New Roman" w:hAnsi="Calibri" w:cs="Calibri"/>
          <w:color w:val="000000"/>
        </w:rPr>
        <w:tab/>
        <w:t>High-Performance Liquid Chromatography (HPLC) is a technique used to separate mixtures</w:t>
      </w:r>
      <w:r w:rsidR="00B4667B">
        <w:rPr>
          <w:rFonts w:ascii="Calibri" w:eastAsia="Times New Roman" w:hAnsi="Calibri" w:cs="Calibri"/>
          <w:color w:val="000000"/>
        </w:rPr>
        <w:t xml:space="preserve"> into their components, allowing for qualitative and quantitative analysis on the mixture and its components as a whole. </w:t>
      </w:r>
      <w:r w:rsidR="00965A91">
        <w:rPr>
          <w:rFonts w:ascii="Calibri" w:eastAsia="Times New Roman" w:hAnsi="Calibri" w:cs="Calibri"/>
          <w:color w:val="000000"/>
        </w:rPr>
        <w:t xml:space="preserve">As this is a form of chromatography, the same concept still applies, </w:t>
      </w:r>
      <w:r w:rsidR="009758C4">
        <w:rPr>
          <w:rFonts w:ascii="Calibri" w:eastAsia="Times New Roman" w:hAnsi="Calibri" w:cs="Calibri"/>
          <w:color w:val="000000"/>
        </w:rPr>
        <w:t>where compounds are separated by interactions between the mobile phase and stationary phase</w:t>
      </w:r>
      <w:r w:rsidR="00FB5268">
        <w:rPr>
          <w:rFonts w:ascii="Calibri" w:eastAsia="Times New Roman" w:hAnsi="Calibri" w:cs="Calibri"/>
          <w:color w:val="000000"/>
        </w:rPr>
        <w:t xml:space="preserve"> and analyzed by response intensity and </w:t>
      </w:r>
      <w:r w:rsidR="00CD731F">
        <w:rPr>
          <w:rFonts w:ascii="Calibri" w:eastAsia="Times New Roman" w:hAnsi="Calibri" w:cs="Calibri"/>
          <w:color w:val="000000"/>
        </w:rPr>
        <w:t>retention time in the column.</w:t>
      </w:r>
    </w:p>
    <w:p w14:paraId="25A78BBC" w14:textId="221826A8" w:rsidR="00CD731F" w:rsidRDefault="00CD731F" w:rsidP="000F4AE8">
      <w:pPr>
        <w:rPr>
          <w:rFonts w:ascii="Calibri" w:eastAsia="Times New Roman" w:hAnsi="Calibri" w:cs="Calibri"/>
          <w:color w:val="000000"/>
        </w:rPr>
      </w:pPr>
      <w:r>
        <w:rPr>
          <w:rFonts w:ascii="Calibri" w:eastAsia="Times New Roman" w:hAnsi="Calibri" w:cs="Calibri"/>
          <w:color w:val="000000"/>
        </w:rPr>
        <w:tab/>
        <w:t xml:space="preserve">In HPLC, a liquid is used as the </w:t>
      </w:r>
      <w:r w:rsidR="00D12B94">
        <w:rPr>
          <w:rFonts w:ascii="Calibri" w:eastAsia="Times New Roman" w:hAnsi="Calibri" w:cs="Calibri"/>
          <w:color w:val="000000"/>
        </w:rPr>
        <w:t>mobile</w:t>
      </w:r>
      <w:r>
        <w:rPr>
          <w:rFonts w:ascii="Calibri" w:eastAsia="Times New Roman" w:hAnsi="Calibri" w:cs="Calibri"/>
          <w:color w:val="000000"/>
        </w:rPr>
        <w:t xml:space="preserve"> phase in this </w:t>
      </w:r>
      <w:r w:rsidR="00D12B94">
        <w:rPr>
          <w:rFonts w:ascii="Calibri" w:eastAsia="Times New Roman" w:hAnsi="Calibri" w:cs="Calibri"/>
          <w:color w:val="000000"/>
        </w:rPr>
        <w:t xml:space="preserve">technique, which </w:t>
      </w:r>
      <w:r w:rsidR="00E87A67">
        <w:rPr>
          <w:rFonts w:ascii="Calibri" w:eastAsia="Times New Roman" w:hAnsi="Calibri" w:cs="Calibri"/>
          <w:color w:val="000000"/>
        </w:rPr>
        <w:t xml:space="preserve">is usually water, acetonitrile, methanol, or a mixture of those compounds. </w:t>
      </w:r>
      <w:r w:rsidR="00EF2FFB">
        <w:rPr>
          <w:rFonts w:ascii="Calibri" w:eastAsia="Times New Roman" w:hAnsi="Calibri" w:cs="Calibri"/>
          <w:color w:val="000000"/>
        </w:rPr>
        <w:t xml:space="preserve">This mobile phase carries the analyte through the </w:t>
      </w:r>
      <w:r w:rsidR="00902881">
        <w:rPr>
          <w:rFonts w:ascii="Calibri" w:eastAsia="Times New Roman" w:hAnsi="Calibri" w:cs="Calibri"/>
          <w:color w:val="000000"/>
        </w:rPr>
        <w:t xml:space="preserve">column, which in this experiment, was a reverse phase column. In this type of column, the walls are coated with octadecylsilyl coated silica, rendering the silica nonpolar. Therefore, polar compounds would move freely through the column compared to more nonpolar compounds, which results in more polar compounds eluting first out of the system. </w:t>
      </w:r>
    </w:p>
    <w:p w14:paraId="138FCA89" w14:textId="23B1262F" w:rsidR="00A44A11" w:rsidRDefault="00A44A11" w:rsidP="000F4AE8">
      <w:pPr>
        <w:rPr>
          <w:rFonts w:ascii="Calibri" w:eastAsia="Times New Roman" w:hAnsi="Calibri" w:cs="Calibri"/>
          <w:color w:val="000000"/>
        </w:rPr>
      </w:pPr>
      <w:r>
        <w:rPr>
          <w:rFonts w:ascii="Calibri" w:eastAsia="Times New Roman" w:hAnsi="Calibri" w:cs="Calibri"/>
          <w:color w:val="000000"/>
        </w:rPr>
        <w:tab/>
      </w:r>
      <w:r w:rsidR="00126148">
        <w:rPr>
          <w:rFonts w:ascii="Calibri" w:eastAsia="Times New Roman" w:hAnsi="Calibri" w:cs="Calibri"/>
          <w:color w:val="000000"/>
        </w:rPr>
        <w:t xml:space="preserve">The intensity of the peaks measured by the HPLC machine can also be used to determine the unknown concentration of a known substance using </w:t>
      </w:r>
      <w:r w:rsidR="00615B37">
        <w:rPr>
          <w:rFonts w:ascii="Calibri" w:eastAsia="Times New Roman" w:hAnsi="Calibri" w:cs="Calibri"/>
          <w:color w:val="000000"/>
        </w:rPr>
        <w:t xml:space="preserve">a calibration plot and an internal standard. </w:t>
      </w:r>
      <w:r w:rsidR="006B3775">
        <w:rPr>
          <w:rFonts w:ascii="Calibri" w:eastAsia="Times New Roman" w:hAnsi="Calibri" w:cs="Calibri"/>
          <w:color w:val="000000"/>
        </w:rPr>
        <w:t xml:space="preserve">By mixing </w:t>
      </w:r>
      <w:r w:rsidR="00860E74">
        <w:rPr>
          <w:rFonts w:ascii="Calibri" w:eastAsia="Times New Roman" w:hAnsi="Calibri" w:cs="Calibri"/>
          <w:color w:val="000000"/>
        </w:rPr>
        <w:t xml:space="preserve">solutions of different concentrations </w:t>
      </w:r>
      <w:r w:rsidR="005A3DC3">
        <w:rPr>
          <w:rFonts w:ascii="Calibri" w:eastAsia="Times New Roman" w:hAnsi="Calibri" w:cs="Calibri"/>
          <w:color w:val="000000"/>
        </w:rPr>
        <w:t xml:space="preserve">of an analyte with a solution of a fixed concentration of </w:t>
      </w:r>
      <w:r w:rsidR="005A3DC3">
        <w:rPr>
          <w:rFonts w:ascii="Calibri" w:eastAsia="Times New Roman" w:hAnsi="Calibri" w:cs="Calibri"/>
          <w:color w:val="000000"/>
        </w:rPr>
        <w:lastRenderedPageBreak/>
        <w:t xml:space="preserve">internal standard, and measuring chromatograms of each solution, </w:t>
      </w:r>
      <w:r w:rsidR="00D455B7">
        <w:rPr>
          <w:rFonts w:ascii="Calibri" w:eastAsia="Times New Roman" w:hAnsi="Calibri" w:cs="Calibri"/>
          <w:color w:val="000000"/>
        </w:rPr>
        <w:t xml:space="preserve">a relationship between the concentration ratio and area ratio between the analyte and internal standard can be set up, and a regression plot can be created. Then, after </w:t>
      </w:r>
      <w:r w:rsidR="00C25042">
        <w:rPr>
          <w:rFonts w:ascii="Calibri" w:eastAsia="Times New Roman" w:hAnsi="Calibri" w:cs="Calibri"/>
          <w:color w:val="000000"/>
        </w:rPr>
        <w:t xml:space="preserve">adding the internal standard to the unknown, the same analysis can be done to the peak corresponding to the analyte </w:t>
      </w:r>
      <w:r w:rsidR="00642DF6">
        <w:rPr>
          <w:rFonts w:ascii="Calibri" w:eastAsia="Times New Roman" w:hAnsi="Calibri" w:cs="Calibri"/>
          <w:color w:val="000000"/>
        </w:rPr>
        <w:t>in the unknown, which should be easily identifiable as the retention time should be similar. With the calibration plot, the unknown concentration can be determined.</w:t>
      </w:r>
    </w:p>
    <w:p w14:paraId="482C5A8C" w14:textId="7FEE6FB6" w:rsidR="00642DF6" w:rsidRDefault="00642DF6" w:rsidP="000F4AE8">
      <w:pPr>
        <w:rPr>
          <w:rFonts w:ascii="Calibri" w:eastAsia="Times New Roman" w:hAnsi="Calibri" w:cs="Calibri"/>
          <w:color w:val="000000"/>
        </w:rPr>
      </w:pPr>
      <w:r>
        <w:rPr>
          <w:rFonts w:ascii="Calibri" w:eastAsia="Times New Roman" w:hAnsi="Calibri" w:cs="Calibri"/>
          <w:b/>
          <w:bCs/>
          <w:color w:val="000000"/>
        </w:rPr>
        <w:t>Results and Discussion</w:t>
      </w:r>
    </w:p>
    <w:p w14:paraId="29DC4ECF" w14:textId="6CA5F6A7" w:rsidR="002D0F78" w:rsidRDefault="002E30E4" w:rsidP="000F4AE8">
      <w:pPr>
        <w:rPr>
          <w:rFonts w:ascii="Calibri" w:eastAsia="Times New Roman" w:hAnsi="Calibri" w:cs="Calibri"/>
          <w:color w:val="000000"/>
        </w:rPr>
      </w:pPr>
      <w:r>
        <w:rPr>
          <w:rFonts w:ascii="Calibri" w:eastAsia="Times New Roman" w:hAnsi="Calibri" w:cs="Calibri"/>
          <w:color w:val="000000"/>
        </w:rPr>
        <w:tab/>
        <w:t xml:space="preserve">For the first part of this experiment, an Agilent 1100 Liquid Chromatograph with diode array UV detector was used. The </w:t>
      </w:r>
      <w:r w:rsidR="00E853A7">
        <w:rPr>
          <w:rFonts w:ascii="Calibri" w:eastAsia="Times New Roman" w:hAnsi="Calibri" w:cs="Calibri"/>
          <w:color w:val="000000"/>
        </w:rPr>
        <w:t xml:space="preserve">reverse phase test mixture and HPLC grade solvents of water (CAS#: 7732-18) and acetonitrile (CAS#: </w:t>
      </w:r>
      <w:r w:rsidR="002D0F78">
        <w:rPr>
          <w:rFonts w:ascii="Calibri" w:eastAsia="Times New Roman" w:hAnsi="Calibri" w:cs="Calibri"/>
          <w:color w:val="000000"/>
        </w:rPr>
        <w:t>75-05-08) were provided by the TAs.</w:t>
      </w:r>
    </w:p>
    <w:p w14:paraId="59E7A25B" w14:textId="7F491FC5" w:rsidR="00B04350" w:rsidRDefault="002D0F78" w:rsidP="000F4AE8">
      <w:pPr>
        <w:rPr>
          <w:rFonts w:ascii="Calibri" w:eastAsia="Times New Roman" w:hAnsi="Calibri" w:cs="Calibri"/>
          <w:color w:val="000000"/>
        </w:rPr>
      </w:pPr>
      <w:r>
        <w:rPr>
          <w:rFonts w:ascii="Calibri" w:eastAsia="Times New Roman" w:hAnsi="Calibri" w:cs="Calibri"/>
          <w:color w:val="000000"/>
        </w:rPr>
        <w:tab/>
        <w:t xml:space="preserve">The machine was set up to </w:t>
      </w:r>
      <w:r w:rsidR="00C05D0B">
        <w:rPr>
          <w:rFonts w:ascii="Calibri" w:eastAsia="Times New Roman" w:hAnsi="Calibri" w:cs="Calibri"/>
          <w:color w:val="000000"/>
        </w:rPr>
        <w:t xml:space="preserve">perform a 50:50 water:acetonitrile isocratic run, and </w:t>
      </w:r>
      <w:r w:rsidR="00B04350">
        <w:rPr>
          <w:rFonts w:ascii="Calibri" w:eastAsia="Times New Roman" w:hAnsi="Calibri" w:cs="Calibri"/>
          <w:color w:val="000000"/>
        </w:rPr>
        <w:t xml:space="preserve">10 µL of the reverse phase test mixture was injected into the system with a syringe. A chromatogram was recorded at 254 nm. </w:t>
      </w:r>
      <w:r w:rsidR="00872BA2">
        <w:rPr>
          <w:rFonts w:ascii="Calibri" w:eastAsia="Times New Roman" w:hAnsi="Calibri" w:cs="Calibri"/>
          <w:color w:val="000000"/>
        </w:rPr>
        <w:t>Figure 1 shows the chromatogram recorded.</w:t>
      </w:r>
    </w:p>
    <w:p w14:paraId="2966356F" w14:textId="77777777" w:rsidR="00BB2B8F" w:rsidRDefault="00BB2B8F" w:rsidP="00BB2B8F">
      <w:pPr>
        <w:keepNext/>
        <w:jc w:val="center"/>
      </w:pPr>
      <w:r>
        <w:rPr>
          <w:rFonts w:ascii="Times New Roman" w:hAnsi="Times New Roman" w:cs="Times New Roman"/>
          <w:noProof/>
          <w:sz w:val="24"/>
          <w:szCs w:val="24"/>
        </w:rPr>
        <w:drawing>
          <wp:inline distT="0" distB="0" distL="0" distR="0" wp14:anchorId="1C49C415" wp14:editId="0CFCA998">
            <wp:extent cx="594360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pic:spPr>
                </pic:pic>
              </a:graphicData>
            </a:graphic>
          </wp:inline>
        </w:drawing>
      </w:r>
    </w:p>
    <w:p w14:paraId="1804ECC4" w14:textId="4EC22660" w:rsidR="00BB2B8F" w:rsidRDefault="00BB2B8F" w:rsidP="00BB2B8F">
      <w:pPr>
        <w:pStyle w:val="Caption"/>
        <w:jc w:val="center"/>
      </w:pPr>
      <w:r>
        <w:t xml:space="preserve">Figure </w:t>
      </w:r>
      <w:r>
        <w:fldChar w:fldCharType="begin"/>
      </w:r>
      <w:r>
        <w:instrText xml:space="preserve"> SEQ Figure \* ARABIC </w:instrText>
      </w:r>
      <w:r>
        <w:fldChar w:fldCharType="separate"/>
      </w:r>
      <w:r w:rsidR="009004B2">
        <w:rPr>
          <w:noProof/>
        </w:rPr>
        <w:t>1</w:t>
      </w:r>
      <w:r>
        <w:fldChar w:fldCharType="end"/>
      </w:r>
      <w:r>
        <w:t>: Chromatogram of Reverse Phase Test Mixture</w:t>
      </w:r>
    </w:p>
    <w:p w14:paraId="26DFE975" w14:textId="271E51EE" w:rsidR="00BB2B8F" w:rsidRDefault="00E01C09" w:rsidP="00BB2B8F">
      <w:r>
        <w:t xml:space="preserve">Analysis of the peaks </w:t>
      </w:r>
      <w:r w:rsidR="00816769">
        <w:t xml:space="preserve">at 1.759 minutes, 3.431 minutes, 4.317 minutes, 6.497 minutes, and 7.711 minutes yields </w:t>
      </w:r>
      <w:r w:rsidR="00C64B1F">
        <w:t>F</w:t>
      </w:r>
      <w:r w:rsidR="00816769">
        <w:t xml:space="preserve">igures </w:t>
      </w:r>
      <w:r w:rsidR="006C00C6">
        <w:t>2-</w:t>
      </w:r>
      <w:r w:rsidR="00C64B1F">
        <w:t>6.</w:t>
      </w:r>
    </w:p>
    <w:p w14:paraId="00B475DD" w14:textId="77777777" w:rsidR="00A167AB" w:rsidRDefault="006E7136" w:rsidP="00914EB6">
      <w:pPr>
        <w:keepNext/>
        <w:jc w:val="center"/>
      </w:pPr>
      <w:r>
        <w:rPr>
          <w:rFonts w:ascii="Arial" w:hAnsi="Arial" w:cs="Arial"/>
          <w:b/>
          <w:bCs/>
          <w:noProof/>
          <w:sz w:val="32"/>
          <w:szCs w:val="32"/>
        </w:rPr>
        <w:lastRenderedPageBreak/>
        <w:drawing>
          <wp:inline distT="0" distB="0" distL="0" distR="0" wp14:anchorId="6695DDF1" wp14:editId="3085EFC6">
            <wp:extent cx="4547357" cy="242411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826" cy="2432359"/>
                    </a:xfrm>
                    <a:prstGeom prst="rect">
                      <a:avLst/>
                    </a:prstGeom>
                    <a:noFill/>
                    <a:ln>
                      <a:noFill/>
                    </a:ln>
                  </pic:spPr>
                </pic:pic>
              </a:graphicData>
            </a:graphic>
          </wp:inline>
        </w:drawing>
      </w:r>
    </w:p>
    <w:p w14:paraId="5139CC23" w14:textId="06464314" w:rsidR="00C64B1F" w:rsidRDefault="00A167AB" w:rsidP="00914EB6">
      <w:pPr>
        <w:pStyle w:val="Caption"/>
        <w:jc w:val="center"/>
      </w:pPr>
      <w:r>
        <w:t xml:space="preserve">Figure </w:t>
      </w:r>
      <w:r>
        <w:fldChar w:fldCharType="begin"/>
      </w:r>
      <w:r>
        <w:instrText xml:space="preserve"> SEQ Figure \* ARABIC </w:instrText>
      </w:r>
      <w:r>
        <w:fldChar w:fldCharType="separate"/>
      </w:r>
      <w:r w:rsidR="009004B2">
        <w:rPr>
          <w:noProof/>
        </w:rPr>
        <w:t>2</w:t>
      </w:r>
      <w:r>
        <w:fldChar w:fldCharType="end"/>
      </w:r>
      <w:r>
        <w:t>: UV Absorption Spectra at 1.759 Minutes</w:t>
      </w:r>
    </w:p>
    <w:p w14:paraId="6D109314" w14:textId="77777777" w:rsidR="00A167AB" w:rsidRDefault="00924AE9" w:rsidP="00914EB6">
      <w:pPr>
        <w:keepNext/>
        <w:jc w:val="center"/>
      </w:pPr>
      <w:r>
        <w:rPr>
          <w:rFonts w:ascii="Arial" w:hAnsi="Arial" w:cs="Arial"/>
          <w:noProof/>
          <w:sz w:val="32"/>
          <w:szCs w:val="32"/>
        </w:rPr>
        <w:drawing>
          <wp:inline distT="0" distB="0" distL="0" distR="0" wp14:anchorId="272FF2DE" wp14:editId="2BE9B157">
            <wp:extent cx="4543425" cy="23206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083" cy="2332261"/>
                    </a:xfrm>
                    <a:prstGeom prst="rect">
                      <a:avLst/>
                    </a:prstGeom>
                    <a:noFill/>
                    <a:ln>
                      <a:noFill/>
                    </a:ln>
                  </pic:spPr>
                </pic:pic>
              </a:graphicData>
            </a:graphic>
          </wp:inline>
        </w:drawing>
      </w:r>
    </w:p>
    <w:p w14:paraId="1673AB36" w14:textId="3DE5E6CD" w:rsidR="00924AE9" w:rsidRDefault="00A167AB" w:rsidP="00914EB6">
      <w:pPr>
        <w:pStyle w:val="Caption"/>
        <w:jc w:val="center"/>
      </w:pPr>
      <w:r>
        <w:t xml:space="preserve">Figure </w:t>
      </w:r>
      <w:r>
        <w:fldChar w:fldCharType="begin"/>
      </w:r>
      <w:r>
        <w:instrText xml:space="preserve"> SEQ Figure \* ARABIC </w:instrText>
      </w:r>
      <w:r>
        <w:fldChar w:fldCharType="separate"/>
      </w:r>
      <w:r w:rsidR="009004B2">
        <w:rPr>
          <w:noProof/>
        </w:rPr>
        <w:t>3</w:t>
      </w:r>
      <w:r>
        <w:fldChar w:fldCharType="end"/>
      </w:r>
      <w:r>
        <w:t xml:space="preserve">: </w:t>
      </w:r>
      <w:r w:rsidRPr="00B771D3">
        <w:t xml:space="preserve">UV Absorption Spectra at </w:t>
      </w:r>
      <w:r>
        <w:t>3.431 Minutes</w:t>
      </w:r>
    </w:p>
    <w:p w14:paraId="02D6AFC9" w14:textId="77777777" w:rsidR="00A167AB" w:rsidRDefault="005D6F98" w:rsidP="00914EB6">
      <w:pPr>
        <w:keepNext/>
        <w:jc w:val="center"/>
      </w:pPr>
      <w:r>
        <w:rPr>
          <w:rFonts w:ascii="Arial" w:hAnsi="Arial" w:cs="Arial"/>
          <w:noProof/>
          <w:sz w:val="32"/>
          <w:szCs w:val="32"/>
        </w:rPr>
        <w:drawing>
          <wp:inline distT="0" distB="0" distL="0" distR="0" wp14:anchorId="1B91F03B" wp14:editId="21E17427">
            <wp:extent cx="3843338" cy="2201649"/>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6522" cy="2214930"/>
                    </a:xfrm>
                    <a:prstGeom prst="rect">
                      <a:avLst/>
                    </a:prstGeom>
                    <a:noFill/>
                    <a:ln>
                      <a:noFill/>
                    </a:ln>
                  </pic:spPr>
                </pic:pic>
              </a:graphicData>
            </a:graphic>
          </wp:inline>
        </w:drawing>
      </w:r>
    </w:p>
    <w:p w14:paraId="333E78A2" w14:textId="7EC6A537" w:rsidR="00924AE9" w:rsidRDefault="00A167AB" w:rsidP="00914EB6">
      <w:pPr>
        <w:pStyle w:val="Caption"/>
        <w:jc w:val="center"/>
      </w:pPr>
      <w:r>
        <w:t xml:space="preserve">Figure </w:t>
      </w:r>
      <w:r>
        <w:fldChar w:fldCharType="begin"/>
      </w:r>
      <w:r>
        <w:instrText xml:space="preserve"> SEQ Figure \* ARABIC </w:instrText>
      </w:r>
      <w:r>
        <w:fldChar w:fldCharType="separate"/>
      </w:r>
      <w:r w:rsidR="009004B2">
        <w:rPr>
          <w:noProof/>
        </w:rPr>
        <w:t>4</w:t>
      </w:r>
      <w:r>
        <w:fldChar w:fldCharType="end"/>
      </w:r>
      <w:r>
        <w:t>:</w:t>
      </w:r>
      <w:r w:rsidRPr="00367D80">
        <w:t xml:space="preserve"> UV Absorption Spectra at </w:t>
      </w:r>
      <w:r>
        <w:t>4.317 Minutes</w:t>
      </w:r>
    </w:p>
    <w:p w14:paraId="6C14A185" w14:textId="0B540B10" w:rsidR="00A167AB" w:rsidRDefault="001A7BFD" w:rsidP="00914EB6">
      <w:pPr>
        <w:keepNext/>
        <w:jc w:val="center"/>
      </w:pPr>
      <w:r>
        <w:rPr>
          <w:rFonts w:ascii="Arial" w:hAnsi="Arial" w:cs="Arial"/>
          <w:noProof/>
          <w:sz w:val="32"/>
          <w:szCs w:val="32"/>
        </w:rPr>
        <w:lastRenderedPageBreak/>
        <w:drawing>
          <wp:inline distT="0" distB="0" distL="0" distR="0" wp14:anchorId="19F94FD5" wp14:editId="53BEE40E">
            <wp:extent cx="4175476"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841" cy="2241322"/>
                    </a:xfrm>
                    <a:prstGeom prst="rect">
                      <a:avLst/>
                    </a:prstGeom>
                    <a:noFill/>
                    <a:ln>
                      <a:noFill/>
                    </a:ln>
                  </pic:spPr>
                </pic:pic>
              </a:graphicData>
            </a:graphic>
          </wp:inline>
        </w:drawing>
      </w:r>
    </w:p>
    <w:p w14:paraId="3239227B" w14:textId="75CC45E5" w:rsidR="00914EB6" w:rsidRDefault="00914EB6" w:rsidP="00914EB6">
      <w:pPr>
        <w:pStyle w:val="Caption"/>
        <w:jc w:val="center"/>
      </w:pPr>
      <w:r>
        <w:t xml:space="preserve">Figure </w:t>
      </w:r>
      <w:r>
        <w:fldChar w:fldCharType="begin"/>
      </w:r>
      <w:r>
        <w:instrText xml:space="preserve"> SEQ Figure \* ARABIC </w:instrText>
      </w:r>
      <w:r>
        <w:fldChar w:fldCharType="separate"/>
      </w:r>
      <w:r w:rsidR="009004B2">
        <w:rPr>
          <w:noProof/>
        </w:rPr>
        <w:t>5</w:t>
      </w:r>
      <w:r>
        <w:fldChar w:fldCharType="end"/>
      </w:r>
      <w:r>
        <w:t>:</w:t>
      </w:r>
      <w:r w:rsidRPr="00A12F8C">
        <w:t xml:space="preserve"> UV Absorption Spectra at </w:t>
      </w:r>
      <w:r>
        <w:t>6.497 Minutes</w:t>
      </w:r>
    </w:p>
    <w:p w14:paraId="103CB399" w14:textId="77777777" w:rsidR="00914EB6" w:rsidRDefault="00914EB6" w:rsidP="00914EB6">
      <w:pPr>
        <w:pStyle w:val="Caption"/>
        <w:jc w:val="center"/>
      </w:pPr>
      <w:r>
        <w:rPr>
          <w:rFonts w:ascii="Times New Roman" w:hAnsi="Times New Roman" w:cs="Times New Roman"/>
          <w:noProof/>
          <w:sz w:val="24"/>
          <w:szCs w:val="24"/>
        </w:rPr>
        <w:drawing>
          <wp:inline distT="0" distB="0" distL="0" distR="0" wp14:anchorId="59C6E72A" wp14:editId="43D37BE2">
            <wp:extent cx="4424363" cy="21800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067" cy="2183343"/>
                    </a:xfrm>
                    <a:prstGeom prst="rect">
                      <a:avLst/>
                    </a:prstGeom>
                    <a:noFill/>
                  </pic:spPr>
                </pic:pic>
              </a:graphicData>
            </a:graphic>
          </wp:inline>
        </w:drawing>
      </w:r>
    </w:p>
    <w:p w14:paraId="7DE7FB61" w14:textId="64CD1BB8" w:rsidR="001A7BFD" w:rsidRDefault="00914EB6" w:rsidP="00914EB6">
      <w:pPr>
        <w:pStyle w:val="Caption"/>
        <w:jc w:val="center"/>
      </w:pPr>
      <w:r>
        <w:t xml:space="preserve">Figure </w:t>
      </w:r>
      <w:r>
        <w:fldChar w:fldCharType="begin"/>
      </w:r>
      <w:r>
        <w:instrText xml:space="preserve"> SEQ Figure \* ARABIC </w:instrText>
      </w:r>
      <w:r>
        <w:fldChar w:fldCharType="separate"/>
      </w:r>
      <w:r w:rsidR="009004B2">
        <w:rPr>
          <w:noProof/>
        </w:rPr>
        <w:t>6</w:t>
      </w:r>
      <w:r>
        <w:fldChar w:fldCharType="end"/>
      </w:r>
      <w:r>
        <w:t>:</w:t>
      </w:r>
      <w:r w:rsidRPr="00183C58">
        <w:t xml:space="preserve"> UV Absorption Spectra at </w:t>
      </w:r>
      <w:r>
        <w:t>7.711 Minutes</w:t>
      </w:r>
    </w:p>
    <w:p w14:paraId="798BBCDF" w14:textId="2547BF44" w:rsidR="00914EB6" w:rsidRDefault="0046535C" w:rsidP="00914EB6">
      <w:r>
        <w:t xml:space="preserve">Using </w:t>
      </w:r>
      <w:r w:rsidR="003C16F7" w:rsidRPr="003C16F7">
        <w:rPr>
          <w:rFonts w:cstheme="minorHAnsi"/>
        </w:rPr>
        <w:t>λ</w:t>
      </w:r>
      <w:r w:rsidR="003C16F7">
        <w:rPr>
          <w:rFonts w:cstheme="minorHAnsi"/>
          <w:vertAlign w:val="subscript"/>
        </w:rPr>
        <w:t>max</w:t>
      </w:r>
      <w:r>
        <w:t xml:space="preserve"> values from online resources, the </w:t>
      </w:r>
      <w:r w:rsidR="002A188A">
        <w:t xml:space="preserve">Table 1 </w:t>
      </w:r>
      <w:r>
        <w:t>was generated.</w:t>
      </w:r>
    </w:p>
    <w:p w14:paraId="7E3FA0A9" w14:textId="7A610DB2" w:rsidR="002A188A" w:rsidRDefault="002A188A" w:rsidP="002A188A">
      <w:pPr>
        <w:pStyle w:val="Caption"/>
        <w:keepNext/>
        <w:jc w:val="center"/>
      </w:pPr>
      <w:r>
        <w:t xml:space="preserve">Table </w:t>
      </w:r>
      <w:r>
        <w:fldChar w:fldCharType="begin"/>
      </w:r>
      <w:r>
        <w:instrText xml:space="preserve"> SEQ Table \* ARABIC </w:instrText>
      </w:r>
      <w:r>
        <w:fldChar w:fldCharType="separate"/>
      </w:r>
      <w:r w:rsidR="00880017">
        <w:rPr>
          <w:noProof/>
        </w:rPr>
        <w:t>1</w:t>
      </w:r>
      <w:r>
        <w:fldChar w:fldCharType="end"/>
      </w:r>
      <w:r>
        <w:t>: Structures and Maximum Absorption Wavelengths of Reverse Phase Test Mixture</w:t>
      </w:r>
    </w:p>
    <w:tbl>
      <w:tblPr>
        <w:tblStyle w:val="TableGrid"/>
        <w:tblW w:w="0" w:type="auto"/>
        <w:tblLook w:val="04A0" w:firstRow="1" w:lastRow="0" w:firstColumn="1" w:lastColumn="0" w:noHBand="0" w:noVBand="1"/>
      </w:tblPr>
      <w:tblGrid>
        <w:gridCol w:w="3116"/>
        <w:gridCol w:w="3117"/>
        <w:gridCol w:w="3117"/>
      </w:tblGrid>
      <w:tr w:rsidR="0046535C" w14:paraId="60D8F813" w14:textId="77777777" w:rsidTr="0046535C">
        <w:tc>
          <w:tcPr>
            <w:tcW w:w="3116" w:type="dxa"/>
          </w:tcPr>
          <w:p w14:paraId="7B3D7B68" w14:textId="5599492E" w:rsidR="0046535C" w:rsidRPr="002A188A" w:rsidRDefault="0046535C" w:rsidP="002A188A">
            <w:pPr>
              <w:jc w:val="center"/>
              <w:rPr>
                <w:b/>
                <w:bCs/>
              </w:rPr>
            </w:pPr>
            <w:r w:rsidRPr="002A188A">
              <w:rPr>
                <w:b/>
                <w:bCs/>
              </w:rPr>
              <w:t>Compound</w:t>
            </w:r>
          </w:p>
        </w:tc>
        <w:tc>
          <w:tcPr>
            <w:tcW w:w="3117" w:type="dxa"/>
          </w:tcPr>
          <w:p w14:paraId="00B42F55" w14:textId="65F60D61" w:rsidR="0046535C" w:rsidRPr="002A188A" w:rsidRDefault="0046535C" w:rsidP="002A188A">
            <w:pPr>
              <w:jc w:val="center"/>
              <w:rPr>
                <w:b/>
                <w:bCs/>
              </w:rPr>
            </w:pPr>
            <w:r w:rsidRPr="002A188A">
              <w:rPr>
                <w:b/>
                <w:bCs/>
              </w:rPr>
              <w:t>Structure</w:t>
            </w:r>
          </w:p>
        </w:tc>
        <w:tc>
          <w:tcPr>
            <w:tcW w:w="3117" w:type="dxa"/>
          </w:tcPr>
          <w:p w14:paraId="1B888EBF" w14:textId="1F2658EB" w:rsidR="0046535C" w:rsidRPr="002A188A" w:rsidRDefault="003C16F7" w:rsidP="002A188A">
            <w:pPr>
              <w:jc w:val="center"/>
              <w:rPr>
                <w:b/>
                <w:bCs/>
              </w:rPr>
            </w:pPr>
            <w:r w:rsidRPr="002A188A">
              <w:rPr>
                <w:rFonts w:cstheme="minorHAnsi"/>
                <w:b/>
                <w:bCs/>
              </w:rPr>
              <w:t>λ</w:t>
            </w:r>
            <w:r w:rsidRPr="002A188A">
              <w:rPr>
                <w:rFonts w:cstheme="minorHAnsi"/>
                <w:b/>
                <w:bCs/>
                <w:vertAlign w:val="subscript"/>
              </w:rPr>
              <w:t>max</w:t>
            </w:r>
            <w:r w:rsidR="00330F93" w:rsidRPr="002A188A">
              <w:rPr>
                <w:rFonts w:cstheme="minorHAnsi"/>
                <w:b/>
                <w:bCs/>
                <w:vertAlign w:val="subscript"/>
              </w:rPr>
              <w:t xml:space="preserve"> </w:t>
            </w:r>
            <w:r w:rsidR="00330F93" w:rsidRPr="002A188A">
              <w:rPr>
                <w:rFonts w:cstheme="minorHAnsi"/>
                <w:b/>
                <w:bCs/>
              </w:rPr>
              <w:t>(nm)</w:t>
            </w:r>
          </w:p>
        </w:tc>
      </w:tr>
      <w:tr w:rsidR="0046535C" w14:paraId="6C2B6A19" w14:textId="77777777" w:rsidTr="0046535C">
        <w:tc>
          <w:tcPr>
            <w:tcW w:w="3116" w:type="dxa"/>
          </w:tcPr>
          <w:p w14:paraId="7EB1C934" w14:textId="49E45737" w:rsidR="0046535C" w:rsidRDefault="003C16F7" w:rsidP="002A188A">
            <w:pPr>
              <w:jc w:val="center"/>
            </w:pPr>
            <w:r>
              <w:t>Uracil</w:t>
            </w:r>
          </w:p>
        </w:tc>
        <w:tc>
          <w:tcPr>
            <w:tcW w:w="3117" w:type="dxa"/>
          </w:tcPr>
          <w:p w14:paraId="0580BF63" w14:textId="7969628D" w:rsidR="0046535C" w:rsidRDefault="00F328E8" w:rsidP="002A188A">
            <w:pPr>
              <w:jc w:val="center"/>
            </w:pPr>
            <w:r>
              <w:rPr>
                <w:noProof/>
              </w:rPr>
              <w:drawing>
                <wp:inline distT="0" distB="0" distL="0" distR="0" wp14:anchorId="5AF6AACA" wp14:editId="4402F30E">
                  <wp:extent cx="1143000" cy="108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1085850"/>
                          </a:xfrm>
                          <a:prstGeom prst="rect">
                            <a:avLst/>
                          </a:prstGeom>
                        </pic:spPr>
                      </pic:pic>
                    </a:graphicData>
                  </a:graphic>
                </wp:inline>
              </w:drawing>
            </w:r>
          </w:p>
        </w:tc>
        <w:tc>
          <w:tcPr>
            <w:tcW w:w="3117" w:type="dxa"/>
          </w:tcPr>
          <w:p w14:paraId="373AF73B" w14:textId="215E705C" w:rsidR="0046535C" w:rsidRDefault="00330F93" w:rsidP="002A188A">
            <w:pPr>
              <w:jc w:val="center"/>
            </w:pPr>
            <w:r>
              <w:t>258-260</w:t>
            </w:r>
          </w:p>
        </w:tc>
      </w:tr>
      <w:tr w:rsidR="0046535C" w14:paraId="5225E209" w14:textId="77777777" w:rsidTr="0046535C">
        <w:tc>
          <w:tcPr>
            <w:tcW w:w="3116" w:type="dxa"/>
          </w:tcPr>
          <w:p w14:paraId="58922EDA" w14:textId="13C72B63" w:rsidR="0046535C" w:rsidRDefault="00E03E8C" w:rsidP="002A188A">
            <w:pPr>
              <w:jc w:val="center"/>
            </w:pPr>
            <w:r>
              <w:t>Acetophenone</w:t>
            </w:r>
          </w:p>
        </w:tc>
        <w:tc>
          <w:tcPr>
            <w:tcW w:w="3117" w:type="dxa"/>
          </w:tcPr>
          <w:p w14:paraId="7B1C3F14" w14:textId="7C112527" w:rsidR="0046535C" w:rsidRDefault="00F328E8" w:rsidP="002A188A">
            <w:pPr>
              <w:jc w:val="center"/>
            </w:pPr>
            <w:r>
              <w:rPr>
                <w:noProof/>
              </w:rPr>
              <w:drawing>
                <wp:inline distT="0" distB="0" distL="0" distR="0" wp14:anchorId="38CB55A9" wp14:editId="6BA1FE0C">
                  <wp:extent cx="10572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7275" cy="895350"/>
                          </a:xfrm>
                          <a:prstGeom prst="rect">
                            <a:avLst/>
                          </a:prstGeom>
                        </pic:spPr>
                      </pic:pic>
                    </a:graphicData>
                  </a:graphic>
                </wp:inline>
              </w:drawing>
            </w:r>
          </w:p>
        </w:tc>
        <w:tc>
          <w:tcPr>
            <w:tcW w:w="3117" w:type="dxa"/>
          </w:tcPr>
          <w:p w14:paraId="05ACD2F6" w14:textId="55B371B6" w:rsidR="0046535C" w:rsidRDefault="00A11608" w:rsidP="002A188A">
            <w:pPr>
              <w:jc w:val="center"/>
            </w:pPr>
            <w:r>
              <w:t>243</w:t>
            </w:r>
          </w:p>
        </w:tc>
      </w:tr>
      <w:tr w:rsidR="0046535C" w14:paraId="6F99A476" w14:textId="77777777" w:rsidTr="0046535C">
        <w:tc>
          <w:tcPr>
            <w:tcW w:w="3116" w:type="dxa"/>
          </w:tcPr>
          <w:p w14:paraId="125D55BA" w14:textId="1D7EAC0A" w:rsidR="0046535C" w:rsidRDefault="00E03E8C" w:rsidP="002A188A">
            <w:pPr>
              <w:jc w:val="center"/>
            </w:pPr>
            <w:r>
              <w:lastRenderedPageBreak/>
              <w:t>Methyl Benzoate</w:t>
            </w:r>
          </w:p>
        </w:tc>
        <w:tc>
          <w:tcPr>
            <w:tcW w:w="3117" w:type="dxa"/>
          </w:tcPr>
          <w:p w14:paraId="21AE8DF9" w14:textId="799BF422" w:rsidR="0046535C" w:rsidRDefault="00F328E8" w:rsidP="002A188A">
            <w:pPr>
              <w:jc w:val="center"/>
            </w:pPr>
            <w:r>
              <w:rPr>
                <w:noProof/>
              </w:rPr>
              <w:drawing>
                <wp:inline distT="0" distB="0" distL="0" distR="0" wp14:anchorId="6EF1BB21" wp14:editId="4AA4C7B7">
                  <wp:extent cx="132397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895350"/>
                          </a:xfrm>
                          <a:prstGeom prst="rect">
                            <a:avLst/>
                          </a:prstGeom>
                        </pic:spPr>
                      </pic:pic>
                    </a:graphicData>
                  </a:graphic>
                </wp:inline>
              </w:drawing>
            </w:r>
          </w:p>
        </w:tc>
        <w:tc>
          <w:tcPr>
            <w:tcW w:w="3117" w:type="dxa"/>
          </w:tcPr>
          <w:p w14:paraId="40895549" w14:textId="6A5671DF" w:rsidR="0046535C" w:rsidRDefault="00A07D71" w:rsidP="002A188A">
            <w:pPr>
              <w:jc w:val="center"/>
            </w:pPr>
            <w:r>
              <w:t>227</w:t>
            </w:r>
          </w:p>
        </w:tc>
      </w:tr>
      <w:tr w:rsidR="0046535C" w14:paraId="44FD8696" w14:textId="77777777" w:rsidTr="0046535C">
        <w:tc>
          <w:tcPr>
            <w:tcW w:w="3116" w:type="dxa"/>
          </w:tcPr>
          <w:p w14:paraId="744745FD" w14:textId="09F8F79B" w:rsidR="0046535C" w:rsidRDefault="00E03E8C" w:rsidP="002A188A">
            <w:pPr>
              <w:jc w:val="center"/>
            </w:pPr>
            <w:r>
              <w:t>Toluene</w:t>
            </w:r>
          </w:p>
        </w:tc>
        <w:tc>
          <w:tcPr>
            <w:tcW w:w="3117" w:type="dxa"/>
          </w:tcPr>
          <w:p w14:paraId="6D54F651" w14:textId="16BABBAC" w:rsidR="0046535C" w:rsidRDefault="00F328E8" w:rsidP="002A188A">
            <w:pPr>
              <w:jc w:val="center"/>
            </w:pPr>
            <w:r>
              <w:rPr>
                <w:noProof/>
              </w:rPr>
              <w:drawing>
                <wp:inline distT="0" distB="0" distL="0" distR="0" wp14:anchorId="14BE7FAB" wp14:editId="6B346FDA">
                  <wp:extent cx="10287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571500"/>
                          </a:xfrm>
                          <a:prstGeom prst="rect">
                            <a:avLst/>
                          </a:prstGeom>
                        </pic:spPr>
                      </pic:pic>
                    </a:graphicData>
                  </a:graphic>
                </wp:inline>
              </w:drawing>
            </w:r>
          </w:p>
        </w:tc>
        <w:tc>
          <w:tcPr>
            <w:tcW w:w="3117" w:type="dxa"/>
          </w:tcPr>
          <w:p w14:paraId="6F7A618E" w14:textId="535CFB62" w:rsidR="0046535C" w:rsidRDefault="00A07D71" w:rsidP="002A188A">
            <w:pPr>
              <w:jc w:val="center"/>
            </w:pPr>
            <w:r>
              <w:t>207</w:t>
            </w:r>
            <w:r w:rsidR="002A188A">
              <w:t>, 260</w:t>
            </w:r>
          </w:p>
        </w:tc>
      </w:tr>
      <w:tr w:rsidR="0046535C" w14:paraId="045B7EAD" w14:textId="77777777" w:rsidTr="0046535C">
        <w:tc>
          <w:tcPr>
            <w:tcW w:w="3116" w:type="dxa"/>
          </w:tcPr>
          <w:p w14:paraId="4D210806" w14:textId="5ECE34E4" w:rsidR="0046535C" w:rsidRDefault="003605CA" w:rsidP="002A188A">
            <w:pPr>
              <w:jc w:val="center"/>
            </w:pPr>
            <w:r>
              <w:t>Naphthalene</w:t>
            </w:r>
          </w:p>
        </w:tc>
        <w:tc>
          <w:tcPr>
            <w:tcW w:w="3117" w:type="dxa"/>
          </w:tcPr>
          <w:p w14:paraId="073DBEBA" w14:textId="19B9ABA3" w:rsidR="0046535C" w:rsidRDefault="002164F4" w:rsidP="002A188A">
            <w:pPr>
              <w:jc w:val="center"/>
            </w:pPr>
            <w:r>
              <w:rPr>
                <w:noProof/>
              </w:rPr>
              <w:drawing>
                <wp:inline distT="0" distB="0" distL="0" distR="0" wp14:anchorId="02FA3CB3" wp14:editId="54F74025">
                  <wp:extent cx="1038225" cy="55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225" cy="552450"/>
                          </a:xfrm>
                          <a:prstGeom prst="rect">
                            <a:avLst/>
                          </a:prstGeom>
                        </pic:spPr>
                      </pic:pic>
                    </a:graphicData>
                  </a:graphic>
                </wp:inline>
              </w:drawing>
            </w:r>
          </w:p>
        </w:tc>
        <w:tc>
          <w:tcPr>
            <w:tcW w:w="3117" w:type="dxa"/>
          </w:tcPr>
          <w:p w14:paraId="66CA924D" w14:textId="2CA4A316" w:rsidR="0046535C" w:rsidRDefault="00B817BD" w:rsidP="002A188A">
            <w:pPr>
              <w:jc w:val="center"/>
            </w:pPr>
            <w:r>
              <w:t>221, 275.5, 286</w:t>
            </w:r>
          </w:p>
        </w:tc>
      </w:tr>
    </w:tbl>
    <w:p w14:paraId="6DEAC18E" w14:textId="4C8164DA" w:rsidR="0046535C" w:rsidRDefault="0046535C" w:rsidP="00914EB6"/>
    <w:p w14:paraId="1B06CE2C" w14:textId="6BA9421A" w:rsidR="002A188A" w:rsidRDefault="002A188A" w:rsidP="00914EB6">
      <w:pPr>
        <w:rPr>
          <w:rFonts w:cstheme="minorHAnsi"/>
        </w:rPr>
      </w:pPr>
      <w:r>
        <w:t>Matching up these maximum wavelengths to the UV spectra recorded yields the same order as the table was presented. Figure 2 sees a peak a</w:t>
      </w:r>
      <w:r w:rsidR="00652455">
        <w:t>round 260 nm, which identifies it as uracil. Figure 3 sees a peak a</w:t>
      </w:r>
      <w:r w:rsidR="00853919">
        <w:t xml:space="preserve">round 240 nm, which puts it closest to acetophenone. Figure 4 has a peak around 230 nm, closest to methyl benzoate. Figure 5 has a </w:t>
      </w:r>
      <w:r w:rsidR="007825BF">
        <w:t xml:space="preserve">peak at 260 nm, coming down from what could be a large peak at 207 nm, though that is not on the spectra recorded, putting this spectra in correlation with toluene. Figure 6 </w:t>
      </w:r>
      <w:r w:rsidR="003605CA">
        <w:t>has the peaks at 221, 275.5, and 286 nm as described by naphthalene. While the original chromatogram was measured at 2</w:t>
      </w:r>
      <w:r w:rsidR="005E7F5A">
        <w:t xml:space="preserve">54 nm, the different </w:t>
      </w:r>
      <w:r w:rsidR="005E7F5A" w:rsidRPr="003C16F7">
        <w:rPr>
          <w:rFonts w:cstheme="minorHAnsi"/>
        </w:rPr>
        <w:t>λ</w:t>
      </w:r>
      <w:r w:rsidR="005E7F5A">
        <w:rPr>
          <w:rFonts w:cstheme="minorHAnsi"/>
          <w:vertAlign w:val="subscript"/>
        </w:rPr>
        <w:t>max</w:t>
      </w:r>
      <w:r w:rsidR="005E7F5A">
        <w:rPr>
          <w:rFonts w:cstheme="minorHAnsi"/>
        </w:rPr>
        <w:t xml:space="preserve"> values are a result of the different chromophores in each of these compounds. </w:t>
      </w:r>
      <w:r w:rsidR="00F54E5A">
        <w:rPr>
          <w:rFonts w:cstheme="minorHAnsi"/>
        </w:rPr>
        <w:t xml:space="preserve">Because most of these chromophores absorb at some degree around 254 nm, this was a suitable wavelength for the analysis of this mixture. </w:t>
      </w:r>
      <w:r w:rsidR="00C8528A">
        <w:rPr>
          <w:rFonts w:cstheme="minorHAnsi"/>
        </w:rPr>
        <w:t>Furthermore, based on the elution order of this compound, it can be concluded that uracil is the most polar compound in this mixture, while naphthalene is the least polar, with each compound in between being in order of decreasing polarity.</w:t>
      </w:r>
    </w:p>
    <w:p w14:paraId="5759DA54" w14:textId="2D199E29" w:rsidR="004413B0" w:rsidRDefault="004413B0" w:rsidP="00914EB6">
      <w:pPr>
        <w:rPr>
          <w:rFonts w:cstheme="minorHAnsi"/>
        </w:rPr>
      </w:pPr>
    </w:p>
    <w:p w14:paraId="67FFF347" w14:textId="3217814C" w:rsidR="00CB3CC9" w:rsidRDefault="004413B0" w:rsidP="00914EB6">
      <w:pPr>
        <w:rPr>
          <w:rFonts w:cstheme="minorHAnsi"/>
        </w:rPr>
      </w:pPr>
      <w:r>
        <w:rPr>
          <w:rFonts w:cstheme="minorHAnsi"/>
        </w:rPr>
        <w:tab/>
        <w:t xml:space="preserve">For the second part of this experiment, </w:t>
      </w:r>
      <w:r w:rsidR="00A26C35">
        <w:rPr>
          <w:rFonts w:cstheme="minorHAnsi"/>
        </w:rPr>
        <w:t xml:space="preserve">1.000 mM benzophenone (CAS#: </w:t>
      </w:r>
      <w:r w:rsidR="00AC4215">
        <w:rPr>
          <w:rFonts w:cstheme="minorHAnsi"/>
        </w:rPr>
        <w:t>119-61-9)</w:t>
      </w:r>
      <w:r w:rsidR="00A26C35">
        <w:rPr>
          <w:rFonts w:cstheme="minorHAnsi"/>
        </w:rPr>
        <w:t>, benzoic acid</w:t>
      </w:r>
      <w:r w:rsidR="00AC4215">
        <w:rPr>
          <w:rFonts w:cstheme="minorHAnsi"/>
        </w:rPr>
        <w:t xml:space="preserve"> (CAS#: 65-85-0)</w:t>
      </w:r>
      <w:r w:rsidR="00A26C35">
        <w:rPr>
          <w:rFonts w:cstheme="minorHAnsi"/>
        </w:rPr>
        <w:t>, and caffeine</w:t>
      </w:r>
      <w:r w:rsidR="00AC4215">
        <w:rPr>
          <w:rFonts w:cstheme="minorHAnsi"/>
        </w:rPr>
        <w:t xml:space="preserve"> (CAS#: </w:t>
      </w:r>
      <w:r w:rsidR="00CB3CC9">
        <w:rPr>
          <w:rFonts w:cstheme="minorHAnsi"/>
        </w:rPr>
        <w:t>58-08-2)</w:t>
      </w:r>
      <w:r w:rsidR="00A26C35">
        <w:rPr>
          <w:rFonts w:cstheme="minorHAnsi"/>
        </w:rPr>
        <w:t xml:space="preserve"> solutions were provided by the TAs. </w:t>
      </w:r>
      <w:r w:rsidR="00CB3CC9">
        <w:rPr>
          <w:rFonts w:cstheme="minorHAnsi"/>
        </w:rPr>
        <w:t xml:space="preserve">To begin, 5.00 mL of each solution was pipetted into a </w:t>
      </w:r>
      <w:r w:rsidR="00D6790E">
        <w:rPr>
          <w:rFonts w:cstheme="minorHAnsi"/>
        </w:rPr>
        <w:t xml:space="preserve">25-mL conical flask, and 30 µL was injected into the HPLC injection loop. </w:t>
      </w:r>
      <w:r w:rsidR="008D7B88">
        <w:rPr>
          <w:rFonts w:cstheme="minorHAnsi"/>
        </w:rPr>
        <w:t>A chromatogram was recorded of this mixture shown in Figure 7 along with the peak areas.</w:t>
      </w:r>
    </w:p>
    <w:p w14:paraId="4E76CE51" w14:textId="77777777" w:rsidR="00F24DFF" w:rsidRDefault="00F24DFF" w:rsidP="00F24DFF">
      <w:pPr>
        <w:keepNext/>
        <w:jc w:val="center"/>
      </w:pPr>
      <w:r>
        <w:rPr>
          <w:noProof/>
        </w:rPr>
        <w:lastRenderedPageBreak/>
        <w:drawing>
          <wp:inline distT="0" distB="0" distL="0" distR="0" wp14:anchorId="1ACB3F46" wp14:editId="263095CA">
            <wp:extent cx="5943600" cy="4578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78985"/>
                    </a:xfrm>
                    <a:prstGeom prst="rect">
                      <a:avLst/>
                    </a:prstGeom>
                  </pic:spPr>
                </pic:pic>
              </a:graphicData>
            </a:graphic>
          </wp:inline>
        </w:drawing>
      </w:r>
    </w:p>
    <w:p w14:paraId="4AC809F7" w14:textId="68F59526" w:rsidR="008D7B88" w:rsidRDefault="00F24DFF" w:rsidP="00F24DFF">
      <w:pPr>
        <w:pStyle w:val="Caption"/>
        <w:jc w:val="center"/>
      </w:pPr>
      <w:r>
        <w:t xml:space="preserve">Figure </w:t>
      </w:r>
      <w:r>
        <w:fldChar w:fldCharType="begin"/>
      </w:r>
      <w:r>
        <w:instrText xml:space="preserve"> SEQ Figure \* ARABIC </w:instrText>
      </w:r>
      <w:r>
        <w:fldChar w:fldCharType="separate"/>
      </w:r>
      <w:r w:rsidR="009004B2">
        <w:rPr>
          <w:noProof/>
        </w:rPr>
        <w:t>7</w:t>
      </w:r>
      <w:r>
        <w:fldChar w:fldCharType="end"/>
      </w:r>
      <w:r>
        <w:t>: Chromatogram and Peak Areas of Benzoic Acid, Caffeine, and Benzophenone Mixture</w:t>
      </w:r>
    </w:p>
    <w:p w14:paraId="751D7B2A" w14:textId="6A895CFE" w:rsidR="00F24DFF" w:rsidRDefault="00F24DFF" w:rsidP="00F24DFF">
      <w:r>
        <w:t>With th</w:t>
      </w:r>
      <w:r w:rsidR="005F4D67">
        <w:t>at data</w:t>
      </w:r>
      <w:r w:rsidR="00ED34E2">
        <w:t xml:space="preserve">, the following </w:t>
      </w:r>
      <w:r w:rsidR="004E206E">
        <w:t>Table 2</w:t>
      </w:r>
      <w:r w:rsidR="00ED34E2">
        <w:t xml:space="preserve"> was created, and the molar response ratios of caffeine and benzoic acid in comparison to the benzophenone internal standard was created</w:t>
      </w:r>
      <w:r w:rsidR="004E206E">
        <w:t>.</w:t>
      </w:r>
    </w:p>
    <w:p w14:paraId="171B65EC" w14:textId="29B34D20" w:rsidR="004E206E" w:rsidRDefault="004E206E" w:rsidP="004E206E">
      <w:pPr>
        <w:pStyle w:val="Caption"/>
        <w:keepNext/>
        <w:jc w:val="center"/>
      </w:pPr>
      <w:r>
        <w:t xml:space="preserve">Table </w:t>
      </w:r>
      <w:r>
        <w:fldChar w:fldCharType="begin"/>
      </w:r>
      <w:r>
        <w:instrText xml:space="preserve"> SEQ Table \* ARABIC </w:instrText>
      </w:r>
      <w:r>
        <w:fldChar w:fldCharType="separate"/>
      </w:r>
      <w:r w:rsidR="00880017">
        <w:rPr>
          <w:noProof/>
        </w:rPr>
        <w:t>2</w:t>
      </w:r>
      <w:r>
        <w:fldChar w:fldCharType="end"/>
      </w:r>
      <w:r>
        <w:t>: Molar Response Ratio</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1980"/>
        <w:gridCol w:w="1480"/>
        <w:gridCol w:w="1600"/>
        <w:gridCol w:w="2040"/>
      </w:tblGrid>
      <w:tr w:rsidR="004E206E" w:rsidRPr="004E206E" w14:paraId="22511BFF" w14:textId="77777777" w:rsidTr="004E206E">
        <w:trPr>
          <w:trHeight w:val="285"/>
        </w:trPr>
        <w:tc>
          <w:tcPr>
            <w:tcW w:w="2180" w:type="dxa"/>
            <w:shd w:val="clear" w:color="auto" w:fill="auto"/>
            <w:noWrap/>
            <w:vAlign w:val="bottom"/>
            <w:hideMark/>
          </w:tcPr>
          <w:p w14:paraId="45426528"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Substance</w:t>
            </w:r>
          </w:p>
        </w:tc>
        <w:tc>
          <w:tcPr>
            <w:tcW w:w="1980" w:type="dxa"/>
            <w:shd w:val="clear" w:color="auto" w:fill="auto"/>
            <w:noWrap/>
            <w:vAlign w:val="bottom"/>
            <w:hideMark/>
          </w:tcPr>
          <w:p w14:paraId="1F2F7B5C"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Peak Area</w:t>
            </w:r>
          </w:p>
        </w:tc>
        <w:tc>
          <w:tcPr>
            <w:tcW w:w="1480" w:type="dxa"/>
            <w:shd w:val="clear" w:color="auto" w:fill="auto"/>
            <w:noWrap/>
            <w:vAlign w:val="bottom"/>
            <w:hideMark/>
          </w:tcPr>
          <w:p w14:paraId="7B9C4B5D"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Relative Area</w:t>
            </w:r>
          </w:p>
        </w:tc>
        <w:tc>
          <w:tcPr>
            <w:tcW w:w="1600" w:type="dxa"/>
            <w:shd w:val="clear" w:color="auto" w:fill="auto"/>
            <w:noWrap/>
            <w:vAlign w:val="bottom"/>
            <w:hideMark/>
          </w:tcPr>
          <w:p w14:paraId="360431E9"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Ratio of Conc.</w:t>
            </w:r>
          </w:p>
        </w:tc>
        <w:tc>
          <w:tcPr>
            <w:tcW w:w="2040" w:type="dxa"/>
            <w:shd w:val="clear" w:color="auto" w:fill="auto"/>
            <w:noWrap/>
            <w:vAlign w:val="bottom"/>
            <w:hideMark/>
          </w:tcPr>
          <w:p w14:paraId="59FB8CB0"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Molar Response Ratio</w:t>
            </w:r>
          </w:p>
        </w:tc>
      </w:tr>
      <w:tr w:rsidR="004E206E" w:rsidRPr="004E206E" w14:paraId="338D2580" w14:textId="77777777" w:rsidTr="004E206E">
        <w:trPr>
          <w:trHeight w:val="285"/>
        </w:trPr>
        <w:tc>
          <w:tcPr>
            <w:tcW w:w="2180" w:type="dxa"/>
            <w:shd w:val="clear" w:color="auto" w:fill="auto"/>
            <w:noWrap/>
            <w:vAlign w:val="bottom"/>
            <w:hideMark/>
          </w:tcPr>
          <w:p w14:paraId="1CABDA3C"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Caffeine</w:t>
            </w:r>
          </w:p>
        </w:tc>
        <w:tc>
          <w:tcPr>
            <w:tcW w:w="1980" w:type="dxa"/>
            <w:shd w:val="clear" w:color="auto" w:fill="auto"/>
            <w:noWrap/>
            <w:vAlign w:val="bottom"/>
            <w:hideMark/>
          </w:tcPr>
          <w:p w14:paraId="07DFE60C"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2124.41309</w:t>
            </w:r>
          </w:p>
        </w:tc>
        <w:tc>
          <w:tcPr>
            <w:tcW w:w="1480" w:type="dxa"/>
            <w:shd w:val="clear" w:color="auto" w:fill="auto"/>
            <w:noWrap/>
            <w:vAlign w:val="bottom"/>
            <w:hideMark/>
          </w:tcPr>
          <w:p w14:paraId="33892151"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1.89E-01</w:t>
            </w:r>
          </w:p>
        </w:tc>
        <w:tc>
          <w:tcPr>
            <w:tcW w:w="1600" w:type="dxa"/>
            <w:shd w:val="clear" w:color="auto" w:fill="auto"/>
            <w:noWrap/>
            <w:vAlign w:val="bottom"/>
            <w:hideMark/>
          </w:tcPr>
          <w:p w14:paraId="2ECFFACA"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w:t>
            </w:r>
          </w:p>
        </w:tc>
        <w:tc>
          <w:tcPr>
            <w:tcW w:w="2040" w:type="dxa"/>
            <w:shd w:val="clear" w:color="auto" w:fill="auto"/>
            <w:noWrap/>
            <w:vAlign w:val="bottom"/>
            <w:hideMark/>
          </w:tcPr>
          <w:p w14:paraId="7BD4F377"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1.89E-01</w:t>
            </w:r>
          </w:p>
        </w:tc>
      </w:tr>
      <w:tr w:rsidR="004E206E" w:rsidRPr="004E206E" w14:paraId="30753BAB" w14:textId="77777777" w:rsidTr="004E206E">
        <w:trPr>
          <w:trHeight w:val="285"/>
        </w:trPr>
        <w:tc>
          <w:tcPr>
            <w:tcW w:w="2180" w:type="dxa"/>
            <w:shd w:val="clear" w:color="auto" w:fill="auto"/>
            <w:noWrap/>
            <w:vAlign w:val="bottom"/>
            <w:hideMark/>
          </w:tcPr>
          <w:p w14:paraId="48E47059"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Benzoic Acid</w:t>
            </w:r>
          </w:p>
        </w:tc>
        <w:tc>
          <w:tcPr>
            <w:tcW w:w="1980" w:type="dxa"/>
            <w:shd w:val="clear" w:color="auto" w:fill="auto"/>
            <w:noWrap/>
            <w:vAlign w:val="bottom"/>
            <w:hideMark/>
          </w:tcPr>
          <w:p w14:paraId="7EB6DFCB"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104.92744</w:t>
            </w:r>
          </w:p>
        </w:tc>
        <w:tc>
          <w:tcPr>
            <w:tcW w:w="1480" w:type="dxa"/>
            <w:shd w:val="clear" w:color="auto" w:fill="auto"/>
            <w:noWrap/>
            <w:vAlign w:val="bottom"/>
            <w:hideMark/>
          </w:tcPr>
          <w:p w14:paraId="48B46A4D"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9.35E-03</w:t>
            </w:r>
          </w:p>
        </w:tc>
        <w:tc>
          <w:tcPr>
            <w:tcW w:w="1600" w:type="dxa"/>
            <w:shd w:val="clear" w:color="auto" w:fill="auto"/>
            <w:noWrap/>
            <w:vAlign w:val="bottom"/>
            <w:hideMark/>
          </w:tcPr>
          <w:p w14:paraId="4C5EFA0B"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w:t>
            </w:r>
          </w:p>
        </w:tc>
        <w:tc>
          <w:tcPr>
            <w:tcW w:w="2040" w:type="dxa"/>
            <w:shd w:val="clear" w:color="auto" w:fill="auto"/>
            <w:noWrap/>
            <w:vAlign w:val="bottom"/>
            <w:hideMark/>
          </w:tcPr>
          <w:p w14:paraId="72AB4B50"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9.35E-03</w:t>
            </w:r>
          </w:p>
        </w:tc>
      </w:tr>
      <w:tr w:rsidR="004E206E" w:rsidRPr="004E206E" w14:paraId="17516C8F" w14:textId="77777777" w:rsidTr="004E206E">
        <w:trPr>
          <w:trHeight w:val="285"/>
        </w:trPr>
        <w:tc>
          <w:tcPr>
            <w:tcW w:w="2180" w:type="dxa"/>
            <w:shd w:val="clear" w:color="auto" w:fill="auto"/>
            <w:noWrap/>
            <w:vAlign w:val="bottom"/>
            <w:hideMark/>
          </w:tcPr>
          <w:p w14:paraId="1C7ECF7D" w14:textId="77777777" w:rsidR="004E206E" w:rsidRPr="004E206E" w:rsidRDefault="004E206E" w:rsidP="004E206E">
            <w:pPr>
              <w:spacing w:after="0" w:line="240" w:lineRule="auto"/>
              <w:rPr>
                <w:rFonts w:ascii="Calibri" w:eastAsia="Times New Roman" w:hAnsi="Calibri" w:cs="Calibri"/>
                <w:color w:val="000000"/>
              </w:rPr>
            </w:pPr>
            <w:r w:rsidRPr="004E206E">
              <w:rPr>
                <w:rFonts w:ascii="Calibri" w:eastAsia="Times New Roman" w:hAnsi="Calibri" w:cs="Calibri"/>
                <w:color w:val="000000"/>
              </w:rPr>
              <w:t>Benzophenone (IS)</w:t>
            </w:r>
          </w:p>
        </w:tc>
        <w:tc>
          <w:tcPr>
            <w:tcW w:w="1980" w:type="dxa"/>
            <w:shd w:val="clear" w:color="auto" w:fill="auto"/>
            <w:noWrap/>
            <w:vAlign w:val="bottom"/>
            <w:hideMark/>
          </w:tcPr>
          <w:p w14:paraId="47EAA302"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11224.20</w:t>
            </w:r>
          </w:p>
        </w:tc>
        <w:tc>
          <w:tcPr>
            <w:tcW w:w="1480" w:type="dxa"/>
            <w:shd w:val="clear" w:color="auto" w:fill="auto"/>
            <w:noWrap/>
            <w:vAlign w:val="bottom"/>
            <w:hideMark/>
          </w:tcPr>
          <w:p w14:paraId="0F7C7133"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w:t>
            </w:r>
          </w:p>
        </w:tc>
        <w:tc>
          <w:tcPr>
            <w:tcW w:w="1600" w:type="dxa"/>
            <w:shd w:val="clear" w:color="auto" w:fill="auto"/>
            <w:noWrap/>
            <w:vAlign w:val="bottom"/>
            <w:hideMark/>
          </w:tcPr>
          <w:p w14:paraId="340F7377"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w:t>
            </w:r>
          </w:p>
        </w:tc>
        <w:tc>
          <w:tcPr>
            <w:tcW w:w="2040" w:type="dxa"/>
            <w:shd w:val="clear" w:color="auto" w:fill="auto"/>
            <w:noWrap/>
            <w:vAlign w:val="bottom"/>
            <w:hideMark/>
          </w:tcPr>
          <w:p w14:paraId="4FCD7013" w14:textId="77777777" w:rsidR="004E206E" w:rsidRPr="004E206E" w:rsidRDefault="004E206E" w:rsidP="004E206E">
            <w:pPr>
              <w:spacing w:after="0" w:line="240" w:lineRule="auto"/>
              <w:jc w:val="right"/>
              <w:rPr>
                <w:rFonts w:ascii="Calibri" w:eastAsia="Times New Roman" w:hAnsi="Calibri" w:cs="Calibri"/>
                <w:color w:val="000000"/>
              </w:rPr>
            </w:pPr>
            <w:r w:rsidRPr="004E206E">
              <w:rPr>
                <w:rFonts w:ascii="Calibri" w:eastAsia="Times New Roman" w:hAnsi="Calibri" w:cs="Calibri"/>
                <w:color w:val="000000"/>
              </w:rPr>
              <w:t>1</w:t>
            </w:r>
          </w:p>
        </w:tc>
      </w:tr>
    </w:tbl>
    <w:p w14:paraId="3AF457A0" w14:textId="4D8DCFFD" w:rsidR="004E206E" w:rsidRDefault="004E206E" w:rsidP="00F24DFF"/>
    <w:p w14:paraId="5471006A" w14:textId="7DA7743F" w:rsidR="004E206E" w:rsidRDefault="00DB12E1" w:rsidP="00F24DFF">
      <w:r>
        <w:t xml:space="preserve">Then, from the 1.000 mM caffeine solution, </w:t>
      </w:r>
      <w:r w:rsidR="00AC35EF">
        <w:t xml:space="preserve">25 mL </w:t>
      </w:r>
      <w:r>
        <w:t xml:space="preserve">0.2, 0.4, 0.6, and 0.8 mM solutions of caffeine were created by </w:t>
      </w:r>
      <w:r w:rsidR="00AC35EF">
        <w:t xml:space="preserve">diluting 5, 10, 15, and 20 mL of stock solution to 25 mL with deionized water. Then, </w:t>
      </w:r>
      <w:r w:rsidR="005B2B56">
        <w:t xml:space="preserve">10.00 mL of each of these solutions were mixed with 10.00 mL 0.2 mM benzophenone solution to </w:t>
      </w:r>
      <w:r w:rsidR="00267633">
        <w:t xml:space="preserve">get four calibration mixtures of 0.1, 0.2, 0.3, and 0.4 mM caffeine, respectively. 30 </w:t>
      </w:r>
      <w:r w:rsidR="00267633">
        <w:rPr>
          <w:rFonts w:cstheme="minorHAnsi"/>
        </w:rPr>
        <w:t>µ</w:t>
      </w:r>
      <w:r w:rsidR="00267633">
        <w:t xml:space="preserve">L of each calibration mixture was injected into the HPLC machine, and chromatograms were recorded. </w:t>
      </w:r>
      <w:r w:rsidR="00CC7BC2">
        <w:t xml:space="preserve">Finally, 10.00 mL of the cola beverage was mixed with 10.00 mL </w:t>
      </w:r>
      <w:r w:rsidR="000D244A">
        <w:t xml:space="preserve">0.2 mM benzophenone, and 30 </w:t>
      </w:r>
      <w:r w:rsidR="000D244A">
        <w:rPr>
          <w:rFonts w:cstheme="minorHAnsi"/>
        </w:rPr>
        <w:t>µ</w:t>
      </w:r>
      <w:r w:rsidR="000D244A">
        <w:t xml:space="preserve">L of that mixture was also injected, and a chromatogram was recorded. The chromatograms and peak areas are reported in Figures </w:t>
      </w:r>
      <w:r w:rsidR="00255D92">
        <w:t>8-12.</w:t>
      </w:r>
    </w:p>
    <w:p w14:paraId="2AC727B2" w14:textId="77777777" w:rsidR="0091009E" w:rsidRDefault="002570F6" w:rsidP="0091009E">
      <w:pPr>
        <w:keepNext/>
        <w:jc w:val="center"/>
      </w:pPr>
      <w:r>
        <w:rPr>
          <w:noProof/>
        </w:rPr>
        <w:lastRenderedPageBreak/>
        <w:drawing>
          <wp:inline distT="0" distB="0" distL="0" distR="0" wp14:anchorId="53539B4E" wp14:editId="47347B4F">
            <wp:extent cx="6057900" cy="6153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0942" cy="6207568"/>
                    </a:xfrm>
                    <a:prstGeom prst="rect">
                      <a:avLst/>
                    </a:prstGeom>
                  </pic:spPr>
                </pic:pic>
              </a:graphicData>
            </a:graphic>
          </wp:inline>
        </w:drawing>
      </w:r>
    </w:p>
    <w:p w14:paraId="1C23916C" w14:textId="59E271EB" w:rsidR="00255D92" w:rsidRDefault="0091009E" w:rsidP="0091009E">
      <w:pPr>
        <w:pStyle w:val="Caption"/>
        <w:jc w:val="center"/>
      </w:pPr>
      <w:r>
        <w:t xml:space="preserve">Figure </w:t>
      </w:r>
      <w:r>
        <w:fldChar w:fldCharType="begin"/>
      </w:r>
      <w:r>
        <w:instrText xml:space="preserve"> SEQ Figure \* ARABIC </w:instrText>
      </w:r>
      <w:r>
        <w:fldChar w:fldCharType="separate"/>
      </w:r>
      <w:r w:rsidR="009004B2">
        <w:rPr>
          <w:noProof/>
        </w:rPr>
        <w:t>8</w:t>
      </w:r>
      <w:r>
        <w:fldChar w:fldCharType="end"/>
      </w:r>
      <w:r>
        <w:t>: Chromatogram and Peak Areas of 0.2 mM Mixture</w:t>
      </w:r>
    </w:p>
    <w:p w14:paraId="53FC251E" w14:textId="77777777" w:rsidR="0091009E" w:rsidRDefault="00580A09" w:rsidP="0091009E">
      <w:pPr>
        <w:keepNext/>
        <w:jc w:val="center"/>
      </w:pPr>
      <w:r>
        <w:rPr>
          <w:noProof/>
        </w:rPr>
        <w:lastRenderedPageBreak/>
        <w:drawing>
          <wp:inline distT="0" distB="0" distL="0" distR="0" wp14:anchorId="33858564" wp14:editId="6C22CB6E">
            <wp:extent cx="6028158" cy="62245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7538" cy="6234273"/>
                    </a:xfrm>
                    <a:prstGeom prst="rect">
                      <a:avLst/>
                    </a:prstGeom>
                  </pic:spPr>
                </pic:pic>
              </a:graphicData>
            </a:graphic>
          </wp:inline>
        </w:drawing>
      </w:r>
    </w:p>
    <w:p w14:paraId="7422EBE2" w14:textId="173C5F15" w:rsidR="002570F6" w:rsidRDefault="0091009E" w:rsidP="0091009E">
      <w:pPr>
        <w:pStyle w:val="Caption"/>
        <w:jc w:val="center"/>
      </w:pPr>
      <w:r>
        <w:t xml:space="preserve">Figure </w:t>
      </w:r>
      <w:r>
        <w:fldChar w:fldCharType="begin"/>
      </w:r>
      <w:r>
        <w:instrText xml:space="preserve"> SEQ Figure \* ARABIC </w:instrText>
      </w:r>
      <w:r>
        <w:fldChar w:fldCharType="separate"/>
      </w:r>
      <w:r w:rsidR="009004B2">
        <w:rPr>
          <w:noProof/>
        </w:rPr>
        <w:t>9</w:t>
      </w:r>
      <w:r>
        <w:fldChar w:fldCharType="end"/>
      </w:r>
      <w:r w:rsidRPr="007C399D">
        <w:t>: Chromatogram and Peak Areas of 0.</w:t>
      </w:r>
      <w:r>
        <w:t>4</w:t>
      </w:r>
      <w:r w:rsidRPr="007C399D">
        <w:t xml:space="preserve"> mM Mixture</w:t>
      </w:r>
    </w:p>
    <w:p w14:paraId="5DF14993" w14:textId="77777777" w:rsidR="0091009E" w:rsidRDefault="00965252" w:rsidP="0091009E">
      <w:pPr>
        <w:keepNext/>
        <w:jc w:val="center"/>
      </w:pPr>
      <w:r>
        <w:rPr>
          <w:noProof/>
        </w:rPr>
        <w:lastRenderedPageBreak/>
        <w:drawing>
          <wp:inline distT="0" distB="0" distL="0" distR="0" wp14:anchorId="5B52D1BE" wp14:editId="7649213A">
            <wp:extent cx="6103585"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5558" cy="6421925"/>
                    </a:xfrm>
                    <a:prstGeom prst="rect">
                      <a:avLst/>
                    </a:prstGeom>
                  </pic:spPr>
                </pic:pic>
              </a:graphicData>
            </a:graphic>
          </wp:inline>
        </w:drawing>
      </w:r>
    </w:p>
    <w:p w14:paraId="7686922E" w14:textId="6B31B3EC" w:rsidR="00580A09" w:rsidRDefault="0091009E" w:rsidP="0091009E">
      <w:pPr>
        <w:pStyle w:val="Caption"/>
        <w:jc w:val="center"/>
      </w:pPr>
      <w:r>
        <w:t xml:space="preserve">Figure </w:t>
      </w:r>
      <w:r>
        <w:fldChar w:fldCharType="begin"/>
      </w:r>
      <w:r>
        <w:instrText xml:space="preserve"> SEQ Figure \* ARABIC </w:instrText>
      </w:r>
      <w:r>
        <w:fldChar w:fldCharType="separate"/>
      </w:r>
      <w:r w:rsidR="009004B2">
        <w:rPr>
          <w:noProof/>
        </w:rPr>
        <w:t>10</w:t>
      </w:r>
      <w:r>
        <w:fldChar w:fldCharType="end"/>
      </w:r>
      <w:r w:rsidRPr="00382C17">
        <w:t>: Chromatogram and Peak Areas of 0.</w:t>
      </w:r>
      <w:r>
        <w:t>6</w:t>
      </w:r>
      <w:r w:rsidRPr="00382C17">
        <w:t xml:space="preserve"> mM Mixture</w:t>
      </w:r>
    </w:p>
    <w:p w14:paraId="3D1FD470" w14:textId="77777777" w:rsidR="0091009E" w:rsidRDefault="00A90DB9" w:rsidP="0091009E">
      <w:pPr>
        <w:keepNext/>
        <w:jc w:val="center"/>
      </w:pPr>
      <w:r>
        <w:rPr>
          <w:noProof/>
        </w:rPr>
        <w:lastRenderedPageBreak/>
        <w:drawing>
          <wp:inline distT="0" distB="0" distL="0" distR="0" wp14:anchorId="7E5F8F5F" wp14:editId="2E3F1876">
            <wp:extent cx="6129338" cy="6488192"/>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2175" cy="6491195"/>
                    </a:xfrm>
                    <a:prstGeom prst="rect">
                      <a:avLst/>
                    </a:prstGeom>
                  </pic:spPr>
                </pic:pic>
              </a:graphicData>
            </a:graphic>
          </wp:inline>
        </w:drawing>
      </w:r>
    </w:p>
    <w:p w14:paraId="1D2076E7" w14:textId="007321DC" w:rsidR="00A90DB9" w:rsidRDefault="0091009E" w:rsidP="0091009E">
      <w:pPr>
        <w:pStyle w:val="Caption"/>
        <w:jc w:val="center"/>
      </w:pPr>
      <w:r>
        <w:t xml:space="preserve">Figure </w:t>
      </w:r>
      <w:r>
        <w:fldChar w:fldCharType="begin"/>
      </w:r>
      <w:r>
        <w:instrText xml:space="preserve"> SEQ Figure \* ARABIC </w:instrText>
      </w:r>
      <w:r>
        <w:fldChar w:fldCharType="separate"/>
      </w:r>
      <w:r w:rsidR="009004B2">
        <w:rPr>
          <w:noProof/>
        </w:rPr>
        <w:t>11</w:t>
      </w:r>
      <w:r>
        <w:fldChar w:fldCharType="end"/>
      </w:r>
      <w:r w:rsidRPr="00B64B2D">
        <w:t>: Chromatogram and Peak Areas of 0.</w:t>
      </w:r>
      <w:r>
        <w:t>8</w:t>
      </w:r>
      <w:r w:rsidRPr="00B64B2D">
        <w:t xml:space="preserve"> mM Mixture</w:t>
      </w:r>
    </w:p>
    <w:p w14:paraId="6461FB6F" w14:textId="77777777" w:rsidR="0091009E" w:rsidRDefault="0091009E" w:rsidP="0091009E">
      <w:pPr>
        <w:keepNext/>
        <w:jc w:val="center"/>
      </w:pPr>
      <w:r>
        <w:rPr>
          <w:noProof/>
        </w:rPr>
        <w:lastRenderedPageBreak/>
        <w:drawing>
          <wp:inline distT="0" distB="0" distL="0" distR="0" wp14:anchorId="6350E4DA" wp14:editId="02A7A92E">
            <wp:extent cx="6235648" cy="6596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8505" cy="6599085"/>
                    </a:xfrm>
                    <a:prstGeom prst="rect">
                      <a:avLst/>
                    </a:prstGeom>
                  </pic:spPr>
                </pic:pic>
              </a:graphicData>
            </a:graphic>
          </wp:inline>
        </w:drawing>
      </w:r>
    </w:p>
    <w:p w14:paraId="65890BAF" w14:textId="6746B25B" w:rsidR="0091009E" w:rsidRDefault="0091009E" w:rsidP="0091009E">
      <w:pPr>
        <w:pStyle w:val="Caption"/>
        <w:jc w:val="center"/>
      </w:pPr>
      <w:r>
        <w:t xml:space="preserve">Figure </w:t>
      </w:r>
      <w:r>
        <w:fldChar w:fldCharType="begin"/>
      </w:r>
      <w:r>
        <w:instrText xml:space="preserve"> SEQ Figure \* ARABIC </w:instrText>
      </w:r>
      <w:r>
        <w:fldChar w:fldCharType="separate"/>
      </w:r>
      <w:r w:rsidR="009004B2">
        <w:rPr>
          <w:noProof/>
        </w:rPr>
        <w:t>12</w:t>
      </w:r>
      <w:r>
        <w:fldChar w:fldCharType="end"/>
      </w:r>
      <w:r w:rsidRPr="0040609A">
        <w:t xml:space="preserve">: Chromatogram and Peak Areas of </w:t>
      </w:r>
      <w:r>
        <w:t>Cola and IS Mixture</w:t>
      </w:r>
    </w:p>
    <w:p w14:paraId="4BE0867E" w14:textId="6F8B89FD" w:rsidR="0091009E" w:rsidRDefault="0091009E" w:rsidP="0091009E">
      <w:r>
        <w:t>As the original benzophenone and caffeine solutions were diluted in equal parts, their actual concentrations are halved from their original concentrations. With this information and the measured peak areas, the following Table 3 was created.</w:t>
      </w:r>
    </w:p>
    <w:p w14:paraId="0E1B54BE" w14:textId="26F060E7" w:rsidR="00880017" w:rsidRDefault="00880017" w:rsidP="00880017">
      <w:pPr>
        <w:pStyle w:val="Caption"/>
        <w:keepNext/>
        <w:jc w:val="center"/>
      </w:pPr>
      <w:r>
        <w:lastRenderedPageBreak/>
        <w:t xml:space="preserve">Table </w:t>
      </w:r>
      <w:r>
        <w:fldChar w:fldCharType="begin"/>
      </w:r>
      <w:r>
        <w:instrText xml:space="preserve"> SEQ Table \* ARABIC </w:instrText>
      </w:r>
      <w:r>
        <w:fldChar w:fldCharType="separate"/>
      </w:r>
      <w:r>
        <w:rPr>
          <w:noProof/>
        </w:rPr>
        <w:t>3</w:t>
      </w:r>
      <w:r>
        <w:fldChar w:fldCharType="end"/>
      </w:r>
      <w:r>
        <w:t>: RRF Calculation Table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620"/>
        <w:gridCol w:w="1561"/>
        <w:gridCol w:w="1679"/>
        <w:gridCol w:w="1440"/>
        <w:gridCol w:w="1440"/>
      </w:tblGrid>
      <w:tr w:rsidR="00880017" w:rsidRPr="00880017" w14:paraId="19887041" w14:textId="77777777" w:rsidTr="00880017">
        <w:trPr>
          <w:trHeight w:val="855"/>
        </w:trPr>
        <w:tc>
          <w:tcPr>
            <w:tcW w:w="1615" w:type="dxa"/>
            <w:shd w:val="clear" w:color="auto" w:fill="auto"/>
            <w:vAlign w:val="bottom"/>
            <w:hideMark/>
          </w:tcPr>
          <w:p w14:paraId="3A17E8B8"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Caffeine Conc. (mM)</w:t>
            </w:r>
          </w:p>
        </w:tc>
        <w:tc>
          <w:tcPr>
            <w:tcW w:w="1620" w:type="dxa"/>
            <w:shd w:val="clear" w:color="auto" w:fill="auto"/>
            <w:vAlign w:val="bottom"/>
            <w:hideMark/>
          </w:tcPr>
          <w:p w14:paraId="4247BAE7"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Peak Area of Caffeine (AU)</w:t>
            </w:r>
          </w:p>
        </w:tc>
        <w:tc>
          <w:tcPr>
            <w:tcW w:w="1561" w:type="dxa"/>
            <w:shd w:val="clear" w:color="auto" w:fill="auto"/>
            <w:vAlign w:val="bottom"/>
            <w:hideMark/>
          </w:tcPr>
          <w:p w14:paraId="54DA0483"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 xml:space="preserve">Benzophenone </w:t>
            </w:r>
            <w:r w:rsidRPr="00880017">
              <w:rPr>
                <w:rFonts w:ascii="Calibri" w:eastAsia="Times New Roman" w:hAnsi="Calibri" w:cs="Calibri"/>
                <w:color w:val="000000"/>
              </w:rPr>
              <w:br/>
              <w:t>Conc. (mM)</w:t>
            </w:r>
          </w:p>
        </w:tc>
        <w:tc>
          <w:tcPr>
            <w:tcW w:w="1679" w:type="dxa"/>
            <w:shd w:val="clear" w:color="auto" w:fill="auto"/>
            <w:vAlign w:val="bottom"/>
            <w:hideMark/>
          </w:tcPr>
          <w:p w14:paraId="4AEBF233"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 xml:space="preserve">Peak Area of </w:t>
            </w:r>
            <w:r w:rsidRPr="00880017">
              <w:rPr>
                <w:rFonts w:ascii="Calibri" w:eastAsia="Times New Roman" w:hAnsi="Calibri" w:cs="Calibri"/>
                <w:color w:val="000000"/>
              </w:rPr>
              <w:br/>
              <w:t>Benzophenone Signal (AU)</w:t>
            </w:r>
          </w:p>
        </w:tc>
        <w:tc>
          <w:tcPr>
            <w:tcW w:w="1440" w:type="dxa"/>
            <w:shd w:val="clear" w:color="auto" w:fill="auto"/>
            <w:vAlign w:val="bottom"/>
            <w:hideMark/>
          </w:tcPr>
          <w:p w14:paraId="58B77BD9"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 xml:space="preserve">Area (Caffeine) / </w:t>
            </w:r>
            <w:r w:rsidRPr="00880017">
              <w:rPr>
                <w:rFonts w:ascii="Calibri" w:eastAsia="Times New Roman" w:hAnsi="Calibri" w:cs="Calibri"/>
                <w:color w:val="000000"/>
              </w:rPr>
              <w:br/>
              <w:t>Area (IS)</w:t>
            </w:r>
          </w:p>
        </w:tc>
        <w:tc>
          <w:tcPr>
            <w:tcW w:w="1440" w:type="dxa"/>
            <w:shd w:val="clear" w:color="auto" w:fill="auto"/>
            <w:vAlign w:val="bottom"/>
            <w:hideMark/>
          </w:tcPr>
          <w:p w14:paraId="12170E33"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 xml:space="preserve">Conc. (Caffeine) / </w:t>
            </w:r>
            <w:r w:rsidRPr="00880017">
              <w:rPr>
                <w:rFonts w:ascii="Calibri" w:eastAsia="Times New Roman" w:hAnsi="Calibri" w:cs="Calibri"/>
                <w:color w:val="000000"/>
              </w:rPr>
              <w:br/>
              <w:t>Conc. (IS)</w:t>
            </w:r>
          </w:p>
        </w:tc>
      </w:tr>
      <w:tr w:rsidR="00880017" w:rsidRPr="00880017" w14:paraId="0169C62F" w14:textId="77777777" w:rsidTr="00880017">
        <w:trPr>
          <w:trHeight w:val="285"/>
        </w:trPr>
        <w:tc>
          <w:tcPr>
            <w:tcW w:w="1615" w:type="dxa"/>
            <w:shd w:val="clear" w:color="auto" w:fill="auto"/>
            <w:noWrap/>
            <w:vAlign w:val="bottom"/>
            <w:hideMark/>
          </w:tcPr>
          <w:p w14:paraId="22472A28"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0.1</w:t>
            </w:r>
          </w:p>
        </w:tc>
        <w:tc>
          <w:tcPr>
            <w:tcW w:w="1620" w:type="dxa"/>
            <w:shd w:val="clear" w:color="auto" w:fill="auto"/>
            <w:noWrap/>
            <w:vAlign w:val="bottom"/>
            <w:hideMark/>
          </w:tcPr>
          <w:p w14:paraId="1F291162"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659.95471</w:t>
            </w:r>
          </w:p>
        </w:tc>
        <w:tc>
          <w:tcPr>
            <w:tcW w:w="1561" w:type="dxa"/>
            <w:shd w:val="clear" w:color="auto" w:fill="auto"/>
            <w:noWrap/>
            <w:vAlign w:val="bottom"/>
            <w:hideMark/>
          </w:tcPr>
          <w:p w14:paraId="058C8FB5"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0.1</w:t>
            </w:r>
          </w:p>
        </w:tc>
        <w:tc>
          <w:tcPr>
            <w:tcW w:w="1679" w:type="dxa"/>
            <w:shd w:val="clear" w:color="auto" w:fill="auto"/>
            <w:noWrap/>
            <w:vAlign w:val="bottom"/>
            <w:hideMark/>
          </w:tcPr>
          <w:p w14:paraId="7C71C195"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3671.52783</w:t>
            </w:r>
          </w:p>
        </w:tc>
        <w:tc>
          <w:tcPr>
            <w:tcW w:w="1440" w:type="dxa"/>
            <w:shd w:val="clear" w:color="auto" w:fill="auto"/>
            <w:noWrap/>
            <w:vAlign w:val="bottom"/>
            <w:hideMark/>
          </w:tcPr>
          <w:p w14:paraId="331C5F20"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0.179749342</w:t>
            </w:r>
          </w:p>
        </w:tc>
        <w:tc>
          <w:tcPr>
            <w:tcW w:w="1440" w:type="dxa"/>
            <w:shd w:val="clear" w:color="auto" w:fill="auto"/>
            <w:noWrap/>
            <w:vAlign w:val="bottom"/>
            <w:hideMark/>
          </w:tcPr>
          <w:p w14:paraId="627A1AFA"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1</w:t>
            </w:r>
          </w:p>
        </w:tc>
      </w:tr>
      <w:tr w:rsidR="00880017" w:rsidRPr="00880017" w14:paraId="2C772D01" w14:textId="77777777" w:rsidTr="00880017">
        <w:trPr>
          <w:trHeight w:val="285"/>
        </w:trPr>
        <w:tc>
          <w:tcPr>
            <w:tcW w:w="1615" w:type="dxa"/>
            <w:shd w:val="clear" w:color="auto" w:fill="auto"/>
            <w:noWrap/>
            <w:vAlign w:val="bottom"/>
            <w:hideMark/>
          </w:tcPr>
          <w:p w14:paraId="51E4B8FD"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0.2</w:t>
            </w:r>
          </w:p>
        </w:tc>
        <w:tc>
          <w:tcPr>
            <w:tcW w:w="1620" w:type="dxa"/>
            <w:shd w:val="clear" w:color="auto" w:fill="auto"/>
            <w:noWrap/>
            <w:vAlign w:val="bottom"/>
            <w:hideMark/>
          </w:tcPr>
          <w:p w14:paraId="4E99996D"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1259.98535</w:t>
            </w:r>
          </w:p>
        </w:tc>
        <w:tc>
          <w:tcPr>
            <w:tcW w:w="1561" w:type="dxa"/>
            <w:shd w:val="clear" w:color="auto" w:fill="auto"/>
            <w:noWrap/>
            <w:vAlign w:val="bottom"/>
            <w:hideMark/>
          </w:tcPr>
          <w:p w14:paraId="759FD5E4"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0.1</w:t>
            </w:r>
          </w:p>
        </w:tc>
        <w:tc>
          <w:tcPr>
            <w:tcW w:w="1679" w:type="dxa"/>
            <w:shd w:val="clear" w:color="auto" w:fill="auto"/>
            <w:noWrap/>
            <w:vAlign w:val="bottom"/>
            <w:hideMark/>
          </w:tcPr>
          <w:p w14:paraId="0FDD903B"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3615.64917</w:t>
            </w:r>
          </w:p>
        </w:tc>
        <w:tc>
          <w:tcPr>
            <w:tcW w:w="1440" w:type="dxa"/>
            <w:shd w:val="clear" w:color="auto" w:fill="auto"/>
            <w:noWrap/>
            <w:vAlign w:val="bottom"/>
            <w:hideMark/>
          </w:tcPr>
          <w:p w14:paraId="41F2D969"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0.348481086</w:t>
            </w:r>
          </w:p>
        </w:tc>
        <w:tc>
          <w:tcPr>
            <w:tcW w:w="1440" w:type="dxa"/>
            <w:shd w:val="clear" w:color="auto" w:fill="auto"/>
            <w:noWrap/>
            <w:vAlign w:val="bottom"/>
            <w:hideMark/>
          </w:tcPr>
          <w:p w14:paraId="1C8B70E8"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2</w:t>
            </w:r>
          </w:p>
        </w:tc>
      </w:tr>
      <w:tr w:rsidR="00880017" w:rsidRPr="00880017" w14:paraId="44E56E4E" w14:textId="77777777" w:rsidTr="00880017">
        <w:trPr>
          <w:trHeight w:val="285"/>
        </w:trPr>
        <w:tc>
          <w:tcPr>
            <w:tcW w:w="1615" w:type="dxa"/>
            <w:shd w:val="clear" w:color="auto" w:fill="auto"/>
            <w:noWrap/>
            <w:vAlign w:val="bottom"/>
            <w:hideMark/>
          </w:tcPr>
          <w:p w14:paraId="73064618"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0.3</w:t>
            </w:r>
          </w:p>
        </w:tc>
        <w:tc>
          <w:tcPr>
            <w:tcW w:w="1620" w:type="dxa"/>
            <w:shd w:val="clear" w:color="auto" w:fill="auto"/>
            <w:noWrap/>
            <w:vAlign w:val="bottom"/>
            <w:hideMark/>
          </w:tcPr>
          <w:p w14:paraId="52BBF28A"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1954.81323</w:t>
            </w:r>
          </w:p>
        </w:tc>
        <w:tc>
          <w:tcPr>
            <w:tcW w:w="1561" w:type="dxa"/>
            <w:shd w:val="clear" w:color="auto" w:fill="auto"/>
            <w:noWrap/>
            <w:vAlign w:val="bottom"/>
            <w:hideMark/>
          </w:tcPr>
          <w:p w14:paraId="0F5480A9"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0.1</w:t>
            </w:r>
          </w:p>
        </w:tc>
        <w:tc>
          <w:tcPr>
            <w:tcW w:w="1679" w:type="dxa"/>
            <w:shd w:val="clear" w:color="auto" w:fill="auto"/>
            <w:noWrap/>
            <w:vAlign w:val="bottom"/>
            <w:hideMark/>
          </w:tcPr>
          <w:p w14:paraId="37D895C8"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3679.11401</w:t>
            </w:r>
          </w:p>
        </w:tc>
        <w:tc>
          <w:tcPr>
            <w:tcW w:w="1440" w:type="dxa"/>
            <w:shd w:val="clear" w:color="auto" w:fill="auto"/>
            <w:noWrap/>
            <w:vAlign w:val="bottom"/>
            <w:hideMark/>
          </w:tcPr>
          <w:p w14:paraId="0AF6F0F4"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0.531327169</w:t>
            </w:r>
          </w:p>
        </w:tc>
        <w:tc>
          <w:tcPr>
            <w:tcW w:w="1440" w:type="dxa"/>
            <w:shd w:val="clear" w:color="auto" w:fill="auto"/>
            <w:noWrap/>
            <w:vAlign w:val="bottom"/>
            <w:hideMark/>
          </w:tcPr>
          <w:p w14:paraId="3E866535"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3</w:t>
            </w:r>
          </w:p>
        </w:tc>
      </w:tr>
      <w:tr w:rsidR="00880017" w:rsidRPr="00880017" w14:paraId="448245BD" w14:textId="77777777" w:rsidTr="00880017">
        <w:trPr>
          <w:trHeight w:val="285"/>
        </w:trPr>
        <w:tc>
          <w:tcPr>
            <w:tcW w:w="1615" w:type="dxa"/>
            <w:shd w:val="clear" w:color="auto" w:fill="auto"/>
            <w:noWrap/>
            <w:vAlign w:val="bottom"/>
            <w:hideMark/>
          </w:tcPr>
          <w:p w14:paraId="30C58E30"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0.4</w:t>
            </w:r>
          </w:p>
        </w:tc>
        <w:tc>
          <w:tcPr>
            <w:tcW w:w="1620" w:type="dxa"/>
            <w:shd w:val="clear" w:color="auto" w:fill="auto"/>
            <w:noWrap/>
            <w:vAlign w:val="bottom"/>
            <w:hideMark/>
          </w:tcPr>
          <w:p w14:paraId="25EC97D6"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2511.604</w:t>
            </w:r>
          </w:p>
        </w:tc>
        <w:tc>
          <w:tcPr>
            <w:tcW w:w="1561" w:type="dxa"/>
            <w:shd w:val="clear" w:color="auto" w:fill="auto"/>
            <w:noWrap/>
            <w:vAlign w:val="bottom"/>
            <w:hideMark/>
          </w:tcPr>
          <w:p w14:paraId="0089C2C4"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0.1</w:t>
            </w:r>
          </w:p>
        </w:tc>
        <w:tc>
          <w:tcPr>
            <w:tcW w:w="1679" w:type="dxa"/>
            <w:shd w:val="clear" w:color="auto" w:fill="auto"/>
            <w:noWrap/>
            <w:vAlign w:val="bottom"/>
            <w:hideMark/>
          </w:tcPr>
          <w:p w14:paraId="40017A66"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3998.70654</w:t>
            </w:r>
          </w:p>
        </w:tc>
        <w:tc>
          <w:tcPr>
            <w:tcW w:w="1440" w:type="dxa"/>
            <w:shd w:val="clear" w:color="auto" w:fill="auto"/>
            <w:noWrap/>
            <w:vAlign w:val="bottom"/>
            <w:hideMark/>
          </w:tcPr>
          <w:p w14:paraId="13C16071"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0.628104107</w:t>
            </w:r>
          </w:p>
        </w:tc>
        <w:tc>
          <w:tcPr>
            <w:tcW w:w="1440" w:type="dxa"/>
            <w:shd w:val="clear" w:color="auto" w:fill="auto"/>
            <w:noWrap/>
            <w:vAlign w:val="bottom"/>
            <w:hideMark/>
          </w:tcPr>
          <w:p w14:paraId="7C9D95A1"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4</w:t>
            </w:r>
          </w:p>
        </w:tc>
      </w:tr>
      <w:tr w:rsidR="00880017" w:rsidRPr="00880017" w14:paraId="2E81A60A" w14:textId="77777777" w:rsidTr="00880017">
        <w:trPr>
          <w:trHeight w:val="285"/>
        </w:trPr>
        <w:tc>
          <w:tcPr>
            <w:tcW w:w="1615" w:type="dxa"/>
            <w:shd w:val="clear" w:color="auto" w:fill="auto"/>
            <w:noWrap/>
            <w:vAlign w:val="bottom"/>
            <w:hideMark/>
          </w:tcPr>
          <w:p w14:paraId="54BA2E10"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Unknown</w:t>
            </w:r>
          </w:p>
        </w:tc>
        <w:tc>
          <w:tcPr>
            <w:tcW w:w="1620" w:type="dxa"/>
            <w:shd w:val="clear" w:color="auto" w:fill="auto"/>
            <w:noWrap/>
            <w:vAlign w:val="bottom"/>
            <w:hideMark/>
          </w:tcPr>
          <w:p w14:paraId="058603D1"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1765.46838</w:t>
            </w:r>
          </w:p>
        </w:tc>
        <w:tc>
          <w:tcPr>
            <w:tcW w:w="1561" w:type="dxa"/>
            <w:shd w:val="clear" w:color="auto" w:fill="auto"/>
            <w:noWrap/>
            <w:vAlign w:val="bottom"/>
            <w:hideMark/>
          </w:tcPr>
          <w:p w14:paraId="014D20E7"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0.1</w:t>
            </w:r>
          </w:p>
        </w:tc>
        <w:tc>
          <w:tcPr>
            <w:tcW w:w="1679" w:type="dxa"/>
            <w:shd w:val="clear" w:color="auto" w:fill="auto"/>
            <w:noWrap/>
            <w:vAlign w:val="bottom"/>
            <w:hideMark/>
          </w:tcPr>
          <w:p w14:paraId="06F3E556"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3562.11084</w:t>
            </w:r>
          </w:p>
        </w:tc>
        <w:tc>
          <w:tcPr>
            <w:tcW w:w="1440" w:type="dxa"/>
            <w:shd w:val="clear" w:color="auto" w:fill="auto"/>
            <w:noWrap/>
            <w:vAlign w:val="bottom"/>
            <w:hideMark/>
          </w:tcPr>
          <w:p w14:paraId="55B1B62F" w14:textId="77777777" w:rsidR="00880017" w:rsidRPr="00880017" w:rsidRDefault="00880017" w:rsidP="00880017">
            <w:pPr>
              <w:spacing w:after="0" w:line="240" w:lineRule="auto"/>
              <w:jc w:val="right"/>
              <w:rPr>
                <w:rFonts w:ascii="Calibri" w:eastAsia="Times New Roman" w:hAnsi="Calibri" w:cs="Calibri"/>
                <w:color w:val="000000"/>
              </w:rPr>
            </w:pPr>
            <w:r w:rsidRPr="00880017">
              <w:rPr>
                <w:rFonts w:ascii="Calibri" w:eastAsia="Times New Roman" w:hAnsi="Calibri" w:cs="Calibri"/>
                <w:color w:val="000000"/>
              </w:rPr>
              <w:t>0.495624213</w:t>
            </w:r>
          </w:p>
        </w:tc>
        <w:tc>
          <w:tcPr>
            <w:tcW w:w="1440" w:type="dxa"/>
            <w:shd w:val="clear" w:color="auto" w:fill="auto"/>
            <w:noWrap/>
            <w:vAlign w:val="bottom"/>
            <w:hideMark/>
          </w:tcPr>
          <w:p w14:paraId="1DA71948" w14:textId="77777777" w:rsidR="00880017" w:rsidRPr="00880017" w:rsidRDefault="00880017" w:rsidP="00880017">
            <w:pPr>
              <w:spacing w:after="0" w:line="240" w:lineRule="auto"/>
              <w:rPr>
                <w:rFonts w:ascii="Calibri" w:eastAsia="Times New Roman" w:hAnsi="Calibri" w:cs="Calibri"/>
                <w:color w:val="000000"/>
              </w:rPr>
            </w:pPr>
            <w:r w:rsidRPr="00880017">
              <w:rPr>
                <w:rFonts w:ascii="Calibri" w:eastAsia="Times New Roman" w:hAnsi="Calibri" w:cs="Calibri"/>
                <w:color w:val="000000"/>
              </w:rPr>
              <w:t>Unknown</w:t>
            </w:r>
          </w:p>
        </w:tc>
      </w:tr>
    </w:tbl>
    <w:p w14:paraId="57399EC7" w14:textId="721FB411" w:rsidR="0091009E" w:rsidRDefault="0091009E" w:rsidP="0091009E"/>
    <w:p w14:paraId="454BD4E1" w14:textId="161FD685" w:rsidR="00491A05" w:rsidRDefault="00491A05" w:rsidP="0091009E">
      <w:r>
        <w:t>By plotting the area ratios against the concentration ratios and creating a regression line</w:t>
      </w:r>
      <w:r w:rsidR="00FD2F9E">
        <w:t xml:space="preserve"> according to the following Equations 1 and 2</w:t>
      </w:r>
      <w:r>
        <w:t>, the following graph was created, depicted in Figure 13.</w:t>
      </w:r>
    </w:p>
    <w:p w14:paraId="5E756EA0" w14:textId="5A21E6CF" w:rsidR="00FD2F9E" w:rsidRDefault="00FD2F9E" w:rsidP="0091009E">
      <w:r>
        <w:rPr>
          <w:noProof/>
        </w:rPr>
        <w:drawing>
          <wp:inline distT="0" distB="0" distL="0" distR="0" wp14:anchorId="61A0889C" wp14:editId="7DA1F1A6">
            <wp:extent cx="5943600" cy="13703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70330"/>
                    </a:xfrm>
                    <a:prstGeom prst="rect">
                      <a:avLst/>
                    </a:prstGeom>
                  </pic:spPr>
                </pic:pic>
              </a:graphicData>
            </a:graphic>
          </wp:inline>
        </w:drawing>
      </w:r>
    </w:p>
    <w:p w14:paraId="77758A9F" w14:textId="77777777" w:rsidR="009004B2" w:rsidRDefault="009004B2" w:rsidP="009004B2">
      <w:pPr>
        <w:keepNext/>
        <w:jc w:val="center"/>
      </w:pPr>
      <w:r>
        <w:rPr>
          <w:noProof/>
        </w:rPr>
        <w:drawing>
          <wp:inline distT="0" distB="0" distL="0" distR="0" wp14:anchorId="69B4ADE7" wp14:editId="52EF7DF1">
            <wp:extent cx="4950619" cy="3162300"/>
            <wp:effectExtent l="0" t="0" r="2540" b="0"/>
            <wp:docPr id="22" name="Chart 22">
              <a:extLst xmlns:a="http://schemas.openxmlformats.org/drawingml/2006/main">
                <a:ext uri="{FF2B5EF4-FFF2-40B4-BE49-F238E27FC236}">
                  <a16:creationId xmlns:a16="http://schemas.microsoft.com/office/drawing/2014/main" id="{62A34E74-C403-400C-B628-3F8AB4D0A7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78C1F9" w14:textId="08238784" w:rsidR="00491A05" w:rsidRDefault="009004B2" w:rsidP="009004B2">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Calibration Plot for Caffeine vs IS</w:t>
      </w:r>
    </w:p>
    <w:p w14:paraId="56129078" w14:textId="065E449E" w:rsidR="009004B2" w:rsidRDefault="009004B2" w:rsidP="009004B2">
      <w:r>
        <w:t xml:space="preserve">Using the area ratio for </w:t>
      </w:r>
      <w:r w:rsidR="00EA61CB">
        <w:t xml:space="preserve">the </w:t>
      </w:r>
      <w:r w:rsidR="00D33CBB">
        <w:t xml:space="preserve">unknown compound, </w:t>
      </w:r>
      <w:r w:rsidR="00FD71B6">
        <w:t>plugging this in for y yields a concentration ratio of 2.982. Multiplying by the benzophenone concentration</w:t>
      </w:r>
      <w:r w:rsidR="008807BB">
        <w:t xml:space="preserve"> of 0.1 mM recovers a caffeine concentration of </w:t>
      </w:r>
      <w:r w:rsidR="0092345A">
        <w:lastRenderedPageBreak/>
        <w:t xml:space="preserve">0.298 mM in the injected mixture. Because this was originally mixed in a 1:1 mixture, doubling this concentration will yield the original concentration of caffeine in the </w:t>
      </w:r>
      <w:r w:rsidR="00DF0AB3">
        <w:t>cola, which is 0.596 mM.</w:t>
      </w:r>
    </w:p>
    <w:p w14:paraId="697B1D30" w14:textId="331BB8B1" w:rsidR="00DF0AB3" w:rsidRDefault="00DF0AB3" w:rsidP="009004B2"/>
    <w:p w14:paraId="49893A9D" w14:textId="4053F423" w:rsidR="00DF0AB3" w:rsidRDefault="00DF0AB3" w:rsidP="009004B2">
      <w:pPr>
        <w:rPr>
          <w:b/>
          <w:bCs/>
        </w:rPr>
      </w:pPr>
      <w:r>
        <w:rPr>
          <w:b/>
          <w:bCs/>
        </w:rPr>
        <w:t>References</w:t>
      </w:r>
    </w:p>
    <w:p w14:paraId="6DB6E47B" w14:textId="52B6CCC3" w:rsidR="00244BB4" w:rsidRPr="00244BB4" w:rsidRDefault="00244BB4" w:rsidP="00244BB4">
      <w:pPr>
        <w:spacing w:after="0" w:line="240" w:lineRule="auto"/>
        <w:jc w:val="right"/>
        <w:rPr>
          <w:rFonts w:ascii="Times New Roman" w:eastAsia="Times New Roman" w:hAnsi="Times New Roman" w:cs="Times New Roman"/>
          <w:sz w:val="24"/>
          <w:szCs w:val="24"/>
        </w:rPr>
      </w:pPr>
    </w:p>
    <w:p w14:paraId="6692F385" w14:textId="5BA88175" w:rsidR="00244BB4" w:rsidRPr="009F545E" w:rsidRDefault="00244BB4" w:rsidP="00244BB4">
      <w:pPr>
        <w:pStyle w:val="ListParagraph"/>
        <w:numPr>
          <w:ilvl w:val="0"/>
          <w:numId w:val="2"/>
        </w:numPr>
        <w:spacing w:after="0" w:line="240" w:lineRule="auto"/>
        <w:rPr>
          <w:rFonts w:eastAsia="Times New Roman" w:cstheme="minorHAnsi"/>
          <w:sz w:val="24"/>
          <w:szCs w:val="24"/>
        </w:rPr>
      </w:pPr>
      <w:r w:rsidRPr="009F545E">
        <w:rPr>
          <w:rFonts w:eastAsia="Times New Roman" w:cstheme="minorHAnsi"/>
          <w:sz w:val="24"/>
          <w:szCs w:val="24"/>
        </w:rPr>
        <w:t xml:space="preserve">Acetophenone | C6H5COCH3 - PubChem </w:t>
      </w:r>
      <w:hyperlink r:id="rId24" w:anchor="section=Other-MS" w:history="1">
        <w:r w:rsidRPr="009F545E">
          <w:rPr>
            <w:rFonts w:eastAsia="Times New Roman" w:cstheme="minorHAnsi"/>
            <w:color w:val="0000FF"/>
            <w:sz w:val="24"/>
            <w:szCs w:val="24"/>
            <w:u w:val="single"/>
          </w:rPr>
          <w:t>https://pubchem.ncbi.nlm.nih.gov/compound/Acetophenone#section=Other-MS</w:t>
        </w:r>
      </w:hyperlink>
      <w:r w:rsidRPr="009F545E">
        <w:rPr>
          <w:rFonts w:eastAsia="Times New Roman" w:cstheme="minorHAnsi"/>
          <w:sz w:val="24"/>
          <w:szCs w:val="24"/>
        </w:rPr>
        <w:t xml:space="preserve"> (accessed Nov 25, 2020).</w:t>
      </w:r>
    </w:p>
    <w:p w14:paraId="6A7B5332" w14:textId="7E4113BB" w:rsidR="002D541D" w:rsidRPr="009F545E" w:rsidRDefault="002D541D" w:rsidP="002D541D">
      <w:pPr>
        <w:pStyle w:val="ListParagraph"/>
        <w:numPr>
          <w:ilvl w:val="0"/>
          <w:numId w:val="2"/>
        </w:numPr>
        <w:spacing w:after="0" w:line="240" w:lineRule="auto"/>
        <w:ind w:right="96"/>
        <w:rPr>
          <w:rFonts w:eastAsia="Times New Roman" w:cstheme="minorHAnsi"/>
          <w:sz w:val="24"/>
          <w:szCs w:val="24"/>
        </w:rPr>
      </w:pPr>
      <w:r w:rsidRPr="009F545E">
        <w:rPr>
          <w:rFonts w:eastAsia="Times New Roman" w:cstheme="minorHAnsi"/>
          <w:sz w:val="24"/>
          <w:szCs w:val="24"/>
        </w:rPr>
        <w:t xml:space="preserve">Attygalle, A. Instrumental Analysis I Lecture and Laboratory Manual </w:t>
      </w:r>
      <w:hyperlink r:id="rId25" w:history="1">
        <w:r w:rsidRPr="009F545E">
          <w:rPr>
            <w:rStyle w:val="Hyperlink"/>
            <w:rFonts w:eastAsia="Times New Roman" w:cstheme="minorHAnsi"/>
            <w:sz w:val="24"/>
            <w:szCs w:val="24"/>
          </w:rPr>
          <w:t>https://sit.instructure.com/courses/38802/files/6982711?module_item_id=1042514</w:t>
        </w:r>
      </w:hyperlink>
      <w:r w:rsidRPr="009F545E">
        <w:rPr>
          <w:rFonts w:eastAsia="Times New Roman" w:cstheme="minorHAnsi"/>
          <w:sz w:val="24"/>
          <w:szCs w:val="24"/>
        </w:rPr>
        <w:t xml:space="preserve"> (accessed Nov </w:t>
      </w:r>
      <w:r w:rsidR="00E534BB">
        <w:rPr>
          <w:rFonts w:eastAsia="Times New Roman" w:cstheme="minorHAnsi"/>
          <w:sz w:val="24"/>
          <w:szCs w:val="24"/>
        </w:rPr>
        <w:t>25</w:t>
      </w:r>
      <w:r w:rsidRPr="009F545E">
        <w:rPr>
          <w:rFonts w:eastAsia="Times New Roman" w:cstheme="minorHAnsi"/>
          <w:sz w:val="24"/>
          <w:szCs w:val="24"/>
        </w:rPr>
        <w:t xml:space="preserve">, 2020). </w:t>
      </w:r>
    </w:p>
    <w:p w14:paraId="27A9E0BF" w14:textId="500DB7A5" w:rsidR="00244BB4" w:rsidRPr="009F545E" w:rsidRDefault="00244BB4" w:rsidP="00244BB4">
      <w:pPr>
        <w:pStyle w:val="ListParagraph"/>
        <w:numPr>
          <w:ilvl w:val="0"/>
          <w:numId w:val="2"/>
        </w:numPr>
        <w:spacing w:after="0" w:line="240" w:lineRule="auto"/>
        <w:rPr>
          <w:rFonts w:eastAsia="Times New Roman" w:cstheme="minorHAnsi"/>
          <w:sz w:val="24"/>
          <w:szCs w:val="24"/>
        </w:rPr>
      </w:pPr>
      <w:r w:rsidRPr="009F545E">
        <w:rPr>
          <w:rFonts w:eastAsia="Times New Roman" w:cstheme="minorHAnsi"/>
          <w:sz w:val="24"/>
          <w:szCs w:val="24"/>
        </w:rPr>
        <w:t xml:space="preserve">Certificate Of Analysis </w:t>
      </w:r>
      <w:hyperlink r:id="rId26" w:history="1">
        <w:r w:rsidRPr="009F545E">
          <w:rPr>
            <w:rFonts w:eastAsia="Times New Roman" w:cstheme="minorHAnsi"/>
            <w:color w:val="0000FF"/>
            <w:sz w:val="24"/>
            <w:szCs w:val="24"/>
            <w:u w:val="single"/>
          </w:rPr>
          <w:t>https://www.sigmaaldrich.com/catalog/CertOfAnalysisPage.do?symbol=U0750&amp;LotNo=55H1068&amp;brandTest=SIGMA</w:t>
        </w:r>
      </w:hyperlink>
      <w:r w:rsidRPr="009F545E">
        <w:rPr>
          <w:rFonts w:eastAsia="Times New Roman" w:cstheme="minorHAnsi"/>
          <w:sz w:val="24"/>
          <w:szCs w:val="24"/>
        </w:rPr>
        <w:t xml:space="preserve"> (accessed Nov 25, 2020).</w:t>
      </w:r>
    </w:p>
    <w:p w14:paraId="394B020B" w14:textId="3727B289" w:rsidR="009F545E" w:rsidRPr="009F545E" w:rsidRDefault="009F545E" w:rsidP="009F545E">
      <w:pPr>
        <w:pStyle w:val="ListParagraph"/>
        <w:numPr>
          <w:ilvl w:val="0"/>
          <w:numId w:val="2"/>
        </w:numPr>
        <w:spacing w:after="0" w:line="240" w:lineRule="auto"/>
        <w:ind w:right="96"/>
        <w:rPr>
          <w:rFonts w:eastAsia="Times New Roman" w:cstheme="minorHAnsi"/>
          <w:sz w:val="24"/>
          <w:szCs w:val="24"/>
        </w:rPr>
      </w:pPr>
      <w:r w:rsidRPr="009F545E">
        <w:rPr>
          <w:rFonts w:eastAsia="Times New Roman" w:cstheme="minorHAnsi"/>
          <w:sz w:val="24"/>
          <w:szCs w:val="24"/>
        </w:rPr>
        <w:t xml:space="preserve">Harris, D. C. </w:t>
      </w:r>
      <w:r w:rsidRPr="009F545E">
        <w:rPr>
          <w:rFonts w:eastAsia="Times New Roman" w:cstheme="minorHAnsi"/>
          <w:i/>
          <w:iCs/>
          <w:sz w:val="24"/>
          <w:szCs w:val="24"/>
        </w:rPr>
        <w:t>Quantitative Chemical Analysis</w:t>
      </w:r>
      <w:r w:rsidRPr="009F545E">
        <w:rPr>
          <w:rFonts w:eastAsia="Times New Roman" w:cstheme="minorHAnsi"/>
          <w:sz w:val="24"/>
          <w:szCs w:val="24"/>
        </w:rPr>
        <w:t>, 8th ed.; W.H. Freeman and Co: New York, 2010. Chapter 24.</w:t>
      </w:r>
    </w:p>
    <w:p w14:paraId="4F8FBB3C" w14:textId="0010041E" w:rsidR="00244BB4" w:rsidRPr="009F545E" w:rsidRDefault="00244BB4" w:rsidP="00244BB4">
      <w:pPr>
        <w:pStyle w:val="ListParagraph"/>
        <w:numPr>
          <w:ilvl w:val="0"/>
          <w:numId w:val="2"/>
        </w:numPr>
        <w:spacing w:after="0" w:line="240" w:lineRule="auto"/>
        <w:rPr>
          <w:rFonts w:eastAsia="Times New Roman" w:cstheme="minorHAnsi"/>
          <w:sz w:val="24"/>
          <w:szCs w:val="24"/>
        </w:rPr>
      </w:pPr>
      <w:r w:rsidRPr="009F545E">
        <w:rPr>
          <w:rFonts w:eastAsia="Times New Roman" w:cstheme="minorHAnsi"/>
          <w:sz w:val="24"/>
          <w:szCs w:val="24"/>
        </w:rPr>
        <w:t xml:space="preserve">Methyl benzoate | C6H5COOCH3 - PubChem </w:t>
      </w:r>
      <w:hyperlink r:id="rId27" w:history="1">
        <w:r w:rsidRPr="009F545E">
          <w:rPr>
            <w:rStyle w:val="Hyperlink"/>
            <w:rFonts w:eastAsia="Times New Roman" w:cstheme="minorHAnsi"/>
            <w:sz w:val="24"/>
            <w:szCs w:val="24"/>
          </w:rPr>
          <w:t>https://pubchem.ncbi.nlm.nih.gov/compound/Methyl-benzoate#section=EI-MS</w:t>
        </w:r>
      </w:hyperlink>
      <w:r w:rsidRPr="009F545E">
        <w:rPr>
          <w:rFonts w:eastAsia="Times New Roman" w:cstheme="minorHAnsi"/>
          <w:sz w:val="24"/>
          <w:szCs w:val="24"/>
        </w:rPr>
        <w:t xml:space="preserve"> (accessed Nov 25, 2020).</w:t>
      </w:r>
    </w:p>
    <w:p w14:paraId="49435442" w14:textId="34D0FC17" w:rsidR="00244BB4" w:rsidRPr="009F545E" w:rsidRDefault="00244BB4" w:rsidP="00244BB4">
      <w:pPr>
        <w:pStyle w:val="ListParagraph"/>
        <w:numPr>
          <w:ilvl w:val="0"/>
          <w:numId w:val="2"/>
        </w:numPr>
        <w:spacing w:after="0" w:line="240" w:lineRule="auto"/>
        <w:rPr>
          <w:rFonts w:eastAsia="Times New Roman" w:cstheme="minorHAnsi"/>
          <w:sz w:val="24"/>
          <w:szCs w:val="24"/>
        </w:rPr>
      </w:pPr>
      <w:r w:rsidRPr="009F545E">
        <w:rPr>
          <w:rFonts w:eastAsia="Times New Roman" w:cstheme="minorHAnsi"/>
          <w:sz w:val="24"/>
          <w:szCs w:val="24"/>
        </w:rPr>
        <w:t xml:space="preserve">Naphthalene | C10H8 - PubChem </w:t>
      </w:r>
      <w:hyperlink r:id="rId28" w:anchor="section=Other-MS" w:history="1">
        <w:r w:rsidRPr="009F545E">
          <w:rPr>
            <w:rFonts w:eastAsia="Times New Roman" w:cstheme="minorHAnsi"/>
            <w:color w:val="0000FF"/>
            <w:sz w:val="24"/>
            <w:szCs w:val="24"/>
            <w:u w:val="single"/>
          </w:rPr>
          <w:t>https://pubchem.ncbi.nlm.nih.gov/compound/Naphthalene#section=Other-MS</w:t>
        </w:r>
      </w:hyperlink>
      <w:r w:rsidRPr="009F545E">
        <w:rPr>
          <w:rFonts w:eastAsia="Times New Roman" w:cstheme="minorHAnsi"/>
          <w:sz w:val="24"/>
          <w:szCs w:val="24"/>
        </w:rPr>
        <w:t xml:space="preserve"> (accessed Nov 25, 2020).</w:t>
      </w:r>
    </w:p>
    <w:p w14:paraId="37044616" w14:textId="77777777" w:rsidR="00244BB4" w:rsidRPr="009F545E" w:rsidRDefault="00244BB4" w:rsidP="00244BB4">
      <w:pPr>
        <w:pStyle w:val="ListParagraph"/>
        <w:numPr>
          <w:ilvl w:val="0"/>
          <w:numId w:val="2"/>
        </w:numPr>
        <w:spacing w:after="0" w:line="240" w:lineRule="auto"/>
        <w:rPr>
          <w:rFonts w:eastAsia="Times New Roman" w:cstheme="minorHAnsi"/>
          <w:sz w:val="24"/>
          <w:szCs w:val="24"/>
        </w:rPr>
      </w:pPr>
      <w:r w:rsidRPr="009F545E">
        <w:rPr>
          <w:rFonts w:eastAsia="Times New Roman" w:cstheme="minorHAnsi"/>
          <w:sz w:val="24"/>
          <w:szCs w:val="24"/>
        </w:rPr>
        <w:t xml:space="preserve">Toluene | C6H5CH3 - PubChem </w:t>
      </w:r>
      <w:hyperlink r:id="rId29" w:anchor="section=EI-MS" w:history="1">
        <w:r w:rsidRPr="009F545E">
          <w:rPr>
            <w:rFonts w:eastAsia="Times New Roman" w:cstheme="minorHAnsi"/>
            <w:color w:val="0000FF"/>
            <w:sz w:val="24"/>
            <w:szCs w:val="24"/>
            <w:u w:val="single"/>
          </w:rPr>
          <w:t>https://pubchem.ncbi.nlm.nih.gov/compound/Toluene#section=EI-MS</w:t>
        </w:r>
      </w:hyperlink>
      <w:r w:rsidRPr="009F545E">
        <w:rPr>
          <w:rFonts w:eastAsia="Times New Roman" w:cstheme="minorHAnsi"/>
          <w:sz w:val="24"/>
          <w:szCs w:val="24"/>
        </w:rPr>
        <w:t xml:space="preserve"> (accessed Nov 25, 2020).</w:t>
      </w:r>
    </w:p>
    <w:p w14:paraId="6FC9B895" w14:textId="77777777" w:rsidR="00DF0AB3" w:rsidRPr="00DF0AB3" w:rsidRDefault="00DF0AB3" w:rsidP="00244BB4"/>
    <w:sectPr w:rsidR="00DF0AB3" w:rsidRPr="00DF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B6C2D"/>
    <w:multiLevelType w:val="hybridMultilevel"/>
    <w:tmpl w:val="7AC8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50B01"/>
    <w:multiLevelType w:val="hybridMultilevel"/>
    <w:tmpl w:val="A094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E8"/>
    <w:rsid w:val="000062D2"/>
    <w:rsid w:val="000746CB"/>
    <w:rsid w:val="000C0A59"/>
    <w:rsid w:val="000D244A"/>
    <w:rsid w:val="000F33B0"/>
    <w:rsid w:val="000F4AE8"/>
    <w:rsid w:val="00114E68"/>
    <w:rsid w:val="00126148"/>
    <w:rsid w:val="001A7BFD"/>
    <w:rsid w:val="002164F4"/>
    <w:rsid w:val="00244BB4"/>
    <w:rsid w:val="00253945"/>
    <w:rsid w:val="00255D92"/>
    <w:rsid w:val="002570F6"/>
    <w:rsid w:val="00267633"/>
    <w:rsid w:val="002A188A"/>
    <w:rsid w:val="002D0F78"/>
    <w:rsid w:val="002D541D"/>
    <w:rsid w:val="002E30E4"/>
    <w:rsid w:val="003176D6"/>
    <w:rsid w:val="00330F93"/>
    <w:rsid w:val="00333AA0"/>
    <w:rsid w:val="003605CA"/>
    <w:rsid w:val="003C16F7"/>
    <w:rsid w:val="003D4E95"/>
    <w:rsid w:val="003E028C"/>
    <w:rsid w:val="004413B0"/>
    <w:rsid w:val="004432E5"/>
    <w:rsid w:val="0046535C"/>
    <w:rsid w:val="00491A05"/>
    <w:rsid w:val="004E206E"/>
    <w:rsid w:val="004F4127"/>
    <w:rsid w:val="00524EBC"/>
    <w:rsid w:val="00544379"/>
    <w:rsid w:val="00580A09"/>
    <w:rsid w:val="005A3DC3"/>
    <w:rsid w:val="005B2B56"/>
    <w:rsid w:val="005C26E3"/>
    <w:rsid w:val="005D6F98"/>
    <w:rsid w:val="005E7F5A"/>
    <w:rsid w:val="005F4D67"/>
    <w:rsid w:val="00605F84"/>
    <w:rsid w:val="00615B37"/>
    <w:rsid w:val="00642DF6"/>
    <w:rsid w:val="00652455"/>
    <w:rsid w:val="006B3775"/>
    <w:rsid w:val="006C00C6"/>
    <w:rsid w:val="006D1A94"/>
    <w:rsid w:val="006E7136"/>
    <w:rsid w:val="007730F7"/>
    <w:rsid w:val="007825BF"/>
    <w:rsid w:val="00800B21"/>
    <w:rsid w:val="00816769"/>
    <w:rsid w:val="00821C0D"/>
    <w:rsid w:val="00853919"/>
    <w:rsid w:val="00860E74"/>
    <w:rsid w:val="00872BA2"/>
    <w:rsid w:val="00880017"/>
    <w:rsid w:val="008807BB"/>
    <w:rsid w:val="008D7B88"/>
    <w:rsid w:val="009004B2"/>
    <w:rsid w:val="00902881"/>
    <w:rsid w:val="0091009E"/>
    <w:rsid w:val="00914EB6"/>
    <w:rsid w:val="0091739D"/>
    <w:rsid w:val="0092345A"/>
    <w:rsid w:val="00924AE9"/>
    <w:rsid w:val="00965252"/>
    <w:rsid w:val="00965A91"/>
    <w:rsid w:val="009758C4"/>
    <w:rsid w:val="009B0A8A"/>
    <w:rsid w:val="009F545E"/>
    <w:rsid w:val="00A07D71"/>
    <w:rsid w:val="00A11608"/>
    <w:rsid w:val="00A167AB"/>
    <w:rsid w:val="00A209AA"/>
    <w:rsid w:val="00A26C35"/>
    <w:rsid w:val="00A44A11"/>
    <w:rsid w:val="00A90DB9"/>
    <w:rsid w:val="00AC35EF"/>
    <w:rsid w:val="00AC4215"/>
    <w:rsid w:val="00B04350"/>
    <w:rsid w:val="00B4667B"/>
    <w:rsid w:val="00B817BD"/>
    <w:rsid w:val="00B93EC6"/>
    <w:rsid w:val="00BB2B8F"/>
    <w:rsid w:val="00BE7484"/>
    <w:rsid w:val="00C05D0B"/>
    <w:rsid w:val="00C25042"/>
    <w:rsid w:val="00C64B1F"/>
    <w:rsid w:val="00C8528A"/>
    <w:rsid w:val="00CB3CC9"/>
    <w:rsid w:val="00CC7BC2"/>
    <w:rsid w:val="00CD0D85"/>
    <w:rsid w:val="00CD731F"/>
    <w:rsid w:val="00D12B94"/>
    <w:rsid w:val="00D33CBB"/>
    <w:rsid w:val="00D455B7"/>
    <w:rsid w:val="00D6790E"/>
    <w:rsid w:val="00DB12E1"/>
    <w:rsid w:val="00DF0AB3"/>
    <w:rsid w:val="00E01C09"/>
    <w:rsid w:val="00E03E8C"/>
    <w:rsid w:val="00E43338"/>
    <w:rsid w:val="00E534BB"/>
    <w:rsid w:val="00E853A7"/>
    <w:rsid w:val="00E87A67"/>
    <w:rsid w:val="00EA61CB"/>
    <w:rsid w:val="00ED34E2"/>
    <w:rsid w:val="00EF2FFB"/>
    <w:rsid w:val="00F10269"/>
    <w:rsid w:val="00F24DFF"/>
    <w:rsid w:val="00F328E8"/>
    <w:rsid w:val="00F54E5A"/>
    <w:rsid w:val="00FB5268"/>
    <w:rsid w:val="00FD2F9E"/>
    <w:rsid w:val="00FD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2330"/>
  <w15:chartTrackingRefBased/>
  <w15:docId w15:val="{BBD8AB43-1BA0-4338-83D1-E18DB604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2B8F"/>
    <w:pPr>
      <w:spacing w:after="200" w:line="240" w:lineRule="auto"/>
    </w:pPr>
    <w:rPr>
      <w:i/>
      <w:iCs/>
      <w:color w:val="44546A" w:themeColor="text2"/>
      <w:sz w:val="18"/>
      <w:szCs w:val="18"/>
    </w:rPr>
  </w:style>
  <w:style w:type="table" w:styleId="TableGrid">
    <w:name w:val="Table Grid"/>
    <w:basedOn w:val="TableNormal"/>
    <w:uiPriority w:val="39"/>
    <w:rsid w:val="00465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C0D"/>
    <w:pPr>
      <w:ind w:left="720"/>
      <w:contextualSpacing/>
    </w:pPr>
  </w:style>
  <w:style w:type="character" w:styleId="Hyperlink">
    <w:name w:val="Hyperlink"/>
    <w:basedOn w:val="DefaultParagraphFont"/>
    <w:uiPriority w:val="99"/>
    <w:unhideWhenUsed/>
    <w:rsid w:val="00244BB4"/>
    <w:rPr>
      <w:color w:val="0000FF"/>
      <w:u w:val="single"/>
    </w:rPr>
  </w:style>
  <w:style w:type="character" w:styleId="UnresolvedMention">
    <w:name w:val="Unresolved Mention"/>
    <w:basedOn w:val="DefaultParagraphFont"/>
    <w:uiPriority w:val="99"/>
    <w:semiHidden/>
    <w:unhideWhenUsed/>
    <w:rsid w:val="00244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968548">
      <w:bodyDiv w:val="1"/>
      <w:marLeft w:val="0"/>
      <w:marRight w:val="0"/>
      <w:marTop w:val="0"/>
      <w:marBottom w:val="0"/>
      <w:divBdr>
        <w:top w:val="none" w:sz="0" w:space="0" w:color="auto"/>
        <w:left w:val="none" w:sz="0" w:space="0" w:color="auto"/>
        <w:bottom w:val="none" w:sz="0" w:space="0" w:color="auto"/>
        <w:right w:val="none" w:sz="0" w:space="0" w:color="auto"/>
      </w:divBdr>
      <w:divsChild>
        <w:div w:id="738404312">
          <w:marLeft w:val="0"/>
          <w:marRight w:val="0"/>
          <w:marTop w:val="0"/>
          <w:marBottom w:val="0"/>
          <w:divBdr>
            <w:top w:val="none" w:sz="0" w:space="0" w:color="auto"/>
            <w:left w:val="none" w:sz="0" w:space="0" w:color="auto"/>
            <w:bottom w:val="none" w:sz="0" w:space="0" w:color="auto"/>
            <w:right w:val="none" w:sz="0" w:space="0" w:color="auto"/>
          </w:divBdr>
          <w:divsChild>
            <w:div w:id="867064705">
              <w:marLeft w:val="0"/>
              <w:marRight w:val="0"/>
              <w:marTop w:val="0"/>
              <w:marBottom w:val="0"/>
              <w:divBdr>
                <w:top w:val="none" w:sz="0" w:space="0" w:color="auto"/>
                <w:left w:val="none" w:sz="0" w:space="0" w:color="auto"/>
                <w:bottom w:val="none" w:sz="0" w:space="0" w:color="auto"/>
                <w:right w:val="none" w:sz="0" w:space="0" w:color="auto"/>
              </w:divBdr>
              <w:divsChild>
                <w:div w:id="1351641830">
                  <w:marLeft w:val="600"/>
                  <w:marRight w:val="96"/>
                  <w:marTop w:val="0"/>
                  <w:marBottom w:val="0"/>
                  <w:divBdr>
                    <w:top w:val="none" w:sz="0" w:space="0" w:color="auto"/>
                    <w:left w:val="none" w:sz="0" w:space="0" w:color="auto"/>
                    <w:bottom w:val="none" w:sz="0" w:space="0" w:color="auto"/>
                    <w:right w:val="none" w:sz="0" w:space="0" w:color="auto"/>
                  </w:divBdr>
                </w:div>
              </w:divsChild>
            </w:div>
            <w:div w:id="382949246">
              <w:marLeft w:val="0"/>
              <w:marRight w:val="0"/>
              <w:marTop w:val="0"/>
              <w:marBottom w:val="0"/>
              <w:divBdr>
                <w:top w:val="none" w:sz="0" w:space="0" w:color="auto"/>
                <w:left w:val="none" w:sz="0" w:space="0" w:color="auto"/>
                <w:bottom w:val="none" w:sz="0" w:space="0" w:color="auto"/>
                <w:right w:val="none" w:sz="0" w:space="0" w:color="auto"/>
              </w:divBdr>
              <w:divsChild>
                <w:div w:id="126701594">
                  <w:marLeft w:val="600"/>
                  <w:marRight w:val="96"/>
                  <w:marTop w:val="0"/>
                  <w:marBottom w:val="0"/>
                  <w:divBdr>
                    <w:top w:val="none" w:sz="0" w:space="0" w:color="auto"/>
                    <w:left w:val="none" w:sz="0" w:space="0" w:color="auto"/>
                    <w:bottom w:val="none" w:sz="0" w:space="0" w:color="auto"/>
                    <w:right w:val="none" w:sz="0" w:space="0" w:color="auto"/>
                  </w:divBdr>
                </w:div>
              </w:divsChild>
            </w:div>
            <w:div w:id="1906917289">
              <w:marLeft w:val="0"/>
              <w:marRight w:val="0"/>
              <w:marTop w:val="0"/>
              <w:marBottom w:val="0"/>
              <w:divBdr>
                <w:top w:val="none" w:sz="0" w:space="0" w:color="auto"/>
                <w:left w:val="none" w:sz="0" w:space="0" w:color="auto"/>
                <w:bottom w:val="none" w:sz="0" w:space="0" w:color="auto"/>
                <w:right w:val="none" w:sz="0" w:space="0" w:color="auto"/>
              </w:divBdr>
              <w:divsChild>
                <w:div w:id="364448421">
                  <w:marLeft w:val="600"/>
                  <w:marRight w:val="96"/>
                  <w:marTop w:val="0"/>
                  <w:marBottom w:val="0"/>
                  <w:divBdr>
                    <w:top w:val="none" w:sz="0" w:space="0" w:color="auto"/>
                    <w:left w:val="none" w:sz="0" w:space="0" w:color="auto"/>
                    <w:bottom w:val="none" w:sz="0" w:space="0" w:color="auto"/>
                    <w:right w:val="none" w:sz="0" w:space="0" w:color="auto"/>
                  </w:divBdr>
                </w:div>
              </w:divsChild>
            </w:div>
            <w:div w:id="1519808767">
              <w:marLeft w:val="0"/>
              <w:marRight w:val="0"/>
              <w:marTop w:val="0"/>
              <w:marBottom w:val="0"/>
              <w:divBdr>
                <w:top w:val="none" w:sz="0" w:space="0" w:color="auto"/>
                <w:left w:val="none" w:sz="0" w:space="0" w:color="auto"/>
                <w:bottom w:val="none" w:sz="0" w:space="0" w:color="auto"/>
                <w:right w:val="none" w:sz="0" w:space="0" w:color="auto"/>
              </w:divBdr>
              <w:divsChild>
                <w:div w:id="1303582230">
                  <w:marLeft w:val="600"/>
                  <w:marRight w:val="96"/>
                  <w:marTop w:val="0"/>
                  <w:marBottom w:val="0"/>
                  <w:divBdr>
                    <w:top w:val="none" w:sz="0" w:space="0" w:color="auto"/>
                    <w:left w:val="none" w:sz="0" w:space="0" w:color="auto"/>
                    <w:bottom w:val="none" w:sz="0" w:space="0" w:color="auto"/>
                    <w:right w:val="none" w:sz="0" w:space="0" w:color="auto"/>
                  </w:divBdr>
                </w:div>
              </w:divsChild>
            </w:div>
            <w:div w:id="2101489104">
              <w:marLeft w:val="0"/>
              <w:marRight w:val="0"/>
              <w:marTop w:val="0"/>
              <w:marBottom w:val="0"/>
              <w:divBdr>
                <w:top w:val="none" w:sz="0" w:space="0" w:color="auto"/>
                <w:left w:val="none" w:sz="0" w:space="0" w:color="auto"/>
                <w:bottom w:val="none" w:sz="0" w:space="0" w:color="auto"/>
                <w:right w:val="none" w:sz="0" w:space="0" w:color="auto"/>
              </w:divBdr>
              <w:divsChild>
                <w:div w:id="201342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0953302">
      <w:bodyDiv w:val="1"/>
      <w:marLeft w:val="0"/>
      <w:marRight w:val="0"/>
      <w:marTop w:val="0"/>
      <w:marBottom w:val="0"/>
      <w:divBdr>
        <w:top w:val="none" w:sz="0" w:space="0" w:color="auto"/>
        <w:left w:val="none" w:sz="0" w:space="0" w:color="auto"/>
        <w:bottom w:val="none" w:sz="0" w:space="0" w:color="auto"/>
        <w:right w:val="none" w:sz="0" w:space="0" w:color="auto"/>
      </w:divBdr>
      <w:divsChild>
        <w:div w:id="1320233327">
          <w:marLeft w:val="0"/>
          <w:marRight w:val="0"/>
          <w:marTop w:val="0"/>
          <w:marBottom w:val="0"/>
          <w:divBdr>
            <w:top w:val="none" w:sz="0" w:space="0" w:color="auto"/>
            <w:left w:val="none" w:sz="0" w:space="0" w:color="auto"/>
            <w:bottom w:val="none" w:sz="0" w:space="0" w:color="auto"/>
            <w:right w:val="none" w:sz="0" w:space="0" w:color="auto"/>
          </w:divBdr>
          <w:divsChild>
            <w:div w:id="1869174083">
              <w:marLeft w:val="0"/>
              <w:marRight w:val="0"/>
              <w:marTop w:val="0"/>
              <w:marBottom w:val="0"/>
              <w:divBdr>
                <w:top w:val="none" w:sz="0" w:space="0" w:color="auto"/>
                <w:left w:val="none" w:sz="0" w:space="0" w:color="auto"/>
                <w:bottom w:val="none" w:sz="0" w:space="0" w:color="auto"/>
                <w:right w:val="none" w:sz="0" w:space="0" w:color="auto"/>
              </w:divBdr>
              <w:divsChild>
                <w:div w:id="1426069682">
                  <w:marLeft w:val="600"/>
                  <w:marRight w:val="96"/>
                  <w:marTop w:val="0"/>
                  <w:marBottom w:val="0"/>
                  <w:divBdr>
                    <w:top w:val="none" w:sz="0" w:space="0" w:color="auto"/>
                    <w:left w:val="none" w:sz="0" w:space="0" w:color="auto"/>
                    <w:bottom w:val="none" w:sz="0" w:space="0" w:color="auto"/>
                    <w:right w:val="none" w:sz="0" w:space="0" w:color="auto"/>
                  </w:divBdr>
                </w:div>
              </w:divsChild>
            </w:div>
            <w:div w:id="1701516091">
              <w:marLeft w:val="0"/>
              <w:marRight w:val="0"/>
              <w:marTop w:val="0"/>
              <w:marBottom w:val="0"/>
              <w:divBdr>
                <w:top w:val="none" w:sz="0" w:space="0" w:color="auto"/>
                <w:left w:val="none" w:sz="0" w:space="0" w:color="auto"/>
                <w:bottom w:val="none" w:sz="0" w:space="0" w:color="auto"/>
                <w:right w:val="none" w:sz="0" w:space="0" w:color="auto"/>
              </w:divBdr>
              <w:divsChild>
                <w:div w:id="174614845">
                  <w:marLeft w:val="600"/>
                  <w:marRight w:val="96"/>
                  <w:marTop w:val="0"/>
                  <w:marBottom w:val="0"/>
                  <w:divBdr>
                    <w:top w:val="none" w:sz="0" w:space="0" w:color="auto"/>
                    <w:left w:val="none" w:sz="0" w:space="0" w:color="auto"/>
                    <w:bottom w:val="none" w:sz="0" w:space="0" w:color="auto"/>
                    <w:right w:val="none" w:sz="0" w:space="0" w:color="auto"/>
                  </w:divBdr>
                </w:div>
              </w:divsChild>
            </w:div>
            <w:div w:id="1948385913">
              <w:marLeft w:val="0"/>
              <w:marRight w:val="0"/>
              <w:marTop w:val="0"/>
              <w:marBottom w:val="0"/>
              <w:divBdr>
                <w:top w:val="none" w:sz="0" w:space="0" w:color="auto"/>
                <w:left w:val="none" w:sz="0" w:space="0" w:color="auto"/>
                <w:bottom w:val="none" w:sz="0" w:space="0" w:color="auto"/>
                <w:right w:val="none" w:sz="0" w:space="0" w:color="auto"/>
              </w:divBdr>
              <w:divsChild>
                <w:div w:id="1486436185">
                  <w:marLeft w:val="600"/>
                  <w:marRight w:val="96"/>
                  <w:marTop w:val="0"/>
                  <w:marBottom w:val="0"/>
                  <w:divBdr>
                    <w:top w:val="none" w:sz="0" w:space="0" w:color="auto"/>
                    <w:left w:val="none" w:sz="0" w:space="0" w:color="auto"/>
                    <w:bottom w:val="none" w:sz="0" w:space="0" w:color="auto"/>
                    <w:right w:val="none" w:sz="0" w:space="0" w:color="auto"/>
                  </w:divBdr>
                </w:div>
              </w:divsChild>
            </w:div>
            <w:div w:id="1009330066">
              <w:marLeft w:val="0"/>
              <w:marRight w:val="0"/>
              <w:marTop w:val="0"/>
              <w:marBottom w:val="0"/>
              <w:divBdr>
                <w:top w:val="none" w:sz="0" w:space="0" w:color="auto"/>
                <w:left w:val="none" w:sz="0" w:space="0" w:color="auto"/>
                <w:bottom w:val="none" w:sz="0" w:space="0" w:color="auto"/>
                <w:right w:val="none" w:sz="0" w:space="0" w:color="auto"/>
              </w:divBdr>
              <w:divsChild>
                <w:div w:id="1546335968">
                  <w:marLeft w:val="600"/>
                  <w:marRight w:val="96"/>
                  <w:marTop w:val="0"/>
                  <w:marBottom w:val="0"/>
                  <w:divBdr>
                    <w:top w:val="none" w:sz="0" w:space="0" w:color="auto"/>
                    <w:left w:val="none" w:sz="0" w:space="0" w:color="auto"/>
                    <w:bottom w:val="none" w:sz="0" w:space="0" w:color="auto"/>
                    <w:right w:val="none" w:sz="0" w:space="0" w:color="auto"/>
                  </w:divBdr>
                </w:div>
              </w:divsChild>
            </w:div>
            <w:div w:id="443117891">
              <w:marLeft w:val="0"/>
              <w:marRight w:val="0"/>
              <w:marTop w:val="0"/>
              <w:marBottom w:val="0"/>
              <w:divBdr>
                <w:top w:val="none" w:sz="0" w:space="0" w:color="auto"/>
                <w:left w:val="none" w:sz="0" w:space="0" w:color="auto"/>
                <w:bottom w:val="none" w:sz="0" w:space="0" w:color="auto"/>
                <w:right w:val="none" w:sz="0" w:space="0" w:color="auto"/>
              </w:divBdr>
              <w:divsChild>
                <w:div w:id="38542225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6087221">
      <w:bodyDiv w:val="1"/>
      <w:marLeft w:val="0"/>
      <w:marRight w:val="0"/>
      <w:marTop w:val="0"/>
      <w:marBottom w:val="0"/>
      <w:divBdr>
        <w:top w:val="none" w:sz="0" w:space="0" w:color="auto"/>
        <w:left w:val="none" w:sz="0" w:space="0" w:color="auto"/>
        <w:bottom w:val="none" w:sz="0" w:space="0" w:color="auto"/>
        <w:right w:val="none" w:sz="0" w:space="0" w:color="auto"/>
      </w:divBdr>
    </w:div>
    <w:div w:id="737290414">
      <w:bodyDiv w:val="1"/>
      <w:marLeft w:val="0"/>
      <w:marRight w:val="0"/>
      <w:marTop w:val="0"/>
      <w:marBottom w:val="0"/>
      <w:divBdr>
        <w:top w:val="none" w:sz="0" w:space="0" w:color="auto"/>
        <w:left w:val="none" w:sz="0" w:space="0" w:color="auto"/>
        <w:bottom w:val="none" w:sz="0" w:space="0" w:color="auto"/>
        <w:right w:val="none" w:sz="0" w:space="0" w:color="auto"/>
      </w:divBdr>
    </w:div>
    <w:div w:id="1499154641">
      <w:bodyDiv w:val="1"/>
      <w:marLeft w:val="0"/>
      <w:marRight w:val="0"/>
      <w:marTop w:val="0"/>
      <w:marBottom w:val="0"/>
      <w:divBdr>
        <w:top w:val="none" w:sz="0" w:space="0" w:color="auto"/>
        <w:left w:val="none" w:sz="0" w:space="0" w:color="auto"/>
        <w:bottom w:val="none" w:sz="0" w:space="0" w:color="auto"/>
        <w:right w:val="none" w:sz="0" w:space="0" w:color="auto"/>
      </w:divBdr>
      <w:divsChild>
        <w:div w:id="1759281040">
          <w:marLeft w:val="0"/>
          <w:marRight w:val="0"/>
          <w:marTop w:val="0"/>
          <w:marBottom w:val="0"/>
          <w:divBdr>
            <w:top w:val="none" w:sz="0" w:space="0" w:color="auto"/>
            <w:left w:val="none" w:sz="0" w:space="0" w:color="auto"/>
            <w:bottom w:val="none" w:sz="0" w:space="0" w:color="auto"/>
            <w:right w:val="none" w:sz="0" w:space="0" w:color="auto"/>
          </w:divBdr>
          <w:divsChild>
            <w:div w:id="575213717">
              <w:marLeft w:val="0"/>
              <w:marRight w:val="0"/>
              <w:marTop w:val="0"/>
              <w:marBottom w:val="0"/>
              <w:divBdr>
                <w:top w:val="none" w:sz="0" w:space="0" w:color="auto"/>
                <w:left w:val="none" w:sz="0" w:space="0" w:color="auto"/>
                <w:bottom w:val="none" w:sz="0" w:space="0" w:color="auto"/>
                <w:right w:val="none" w:sz="0" w:space="0" w:color="auto"/>
              </w:divBdr>
              <w:divsChild>
                <w:div w:id="1519615062">
                  <w:marLeft w:val="600"/>
                  <w:marRight w:val="96"/>
                  <w:marTop w:val="0"/>
                  <w:marBottom w:val="0"/>
                  <w:divBdr>
                    <w:top w:val="none" w:sz="0" w:space="0" w:color="auto"/>
                    <w:left w:val="none" w:sz="0" w:space="0" w:color="auto"/>
                    <w:bottom w:val="none" w:sz="0" w:space="0" w:color="auto"/>
                    <w:right w:val="none" w:sz="0" w:space="0" w:color="auto"/>
                  </w:divBdr>
                </w:div>
              </w:divsChild>
            </w:div>
            <w:div w:id="1455831337">
              <w:marLeft w:val="0"/>
              <w:marRight w:val="0"/>
              <w:marTop w:val="0"/>
              <w:marBottom w:val="0"/>
              <w:divBdr>
                <w:top w:val="none" w:sz="0" w:space="0" w:color="auto"/>
                <w:left w:val="none" w:sz="0" w:space="0" w:color="auto"/>
                <w:bottom w:val="none" w:sz="0" w:space="0" w:color="auto"/>
                <w:right w:val="none" w:sz="0" w:space="0" w:color="auto"/>
              </w:divBdr>
              <w:divsChild>
                <w:div w:id="570964671">
                  <w:marLeft w:val="600"/>
                  <w:marRight w:val="96"/>
                  <w:marTop w:val="0"/>
                  <w:marBottom w:val="0"/>
                  <w:divBdr>
                    <w:top w:val="none" w:sz="0" w:space="0" w:color="auto"/>
                    <w:left w:val="none" w:sz="0" w:space="0" w:color="auto"/>
                    <w:bottom w:val="none" w:sz="0" w:space="0" w:color="auto"/>
                    <w:right w:val="none" w:sz="0" w:space="0" w:color="auto"/>
                  </w:divBdr>
                </w:div>
              </w:divsChild>
            </w:div>
            <w:div w:id="472867199">
              <w:marLeft w:val="0"/>
              <w:marRight w:val="0"/>
              <w:marTop w:val="0"/>
              <w:marBottom w:val="0"/>
              <w:divBdr>
                <w:top w:val="none" w:sz="0" w:space="0" w:color="auto"/>
                <w:left w:val="none" w:sz="0" w:space="0" w:color="auto"/>
                <w:bottom w:val="none" w:sz="0" w:space="0" w:color="auto"/>
                <w:right w:val="none" w:sz="0" w:space="0" w:color="auto"/>
              </w:divBdr>
              <w:divsChild>
                <w:div w:id="2062749891">
                  <w:marLeft w:val="600"/>
                  <w:marRight w:val="96"/>
                  <w:marTop w:val="0"/>
                  <w:marBottom w:val="0"/>
                  <w:divBdr>
                    <w:top w:val="none" w:sz="0" w:space="0" w:color="auto"/>
                    <w:left w:val="none" w:sz="0" w:space="0" w:color="auto"/>
                    <w:bottom w:val="none" w:sz="0" w:space="0" w:color="auto"/>
                    <w:right w:val="none" w:sz="0" w:space="0" w:color="auto"/>
                  </w:divBdr>
                </w:div>
              </w:divsChild>
            </w:div>
            <w:div w:id="145979043">
              <w:marLeft w:val="0"/>
              <w:marRight w:val="0"/>
              <w:marTop w:val="0"/>
              <w:marBottom w:val="0"/>
              <w:divBdr>
                <w:top w:val="none" w:sz="0" w:space="0" w:color="auto"/>
                <w:left w:val="none" w:sz="0" w:space="0" w:color="auto"/>
                <w:bottom w:val="none" w:sz="0" w:space="0" w:color="auto"/>
                <w:right w:val="none" w:sz="0" w:space="0" w:color="auto"/>
              </w:divBdr>
              <w:divsChild>
                <w:div w:id="1974097963">
                  <w:marLeft w:val="600"/>
                  <w:marRight w:val="96"/>
                  <w:marTop w:val="0"/>
                  <w:marBottom w:val="0"/>
                  <w:divBdr>
                    <w:top w:val="none" w:sz="0" w:space="0" w:color="auto"/>
                    <w:left w:val="none" w:sz="0" w:space="0" w:color="auto"/>
                    <w:bottom w:val="none" w:sz="0" w:space="0" w:color="auto"/>
                    <w:right w:val="none" w:sz="0" w:space="0" w:color="auto"/>
                  </w:divBdr>
                </w:div>
              </w:divsChild>
            </w:div>
            <w:div w:id="894199257">
              <w:marLeft w:val="0"/>
              <w:marRight w:val="0"/>
              <w:marTop w:val="0"/>
              <w:marBottom w:val="0"/>
              <w:divBdr>
                <w:top w:val="none" w:sz="0" w:space="0" w:color="auto"/>
                <w:left w:val="none" w:sz="0" w:space="0" w:color="auto"/>
                <w:bottom w:val="none" w:sz="0" w:space="0" w:color="auto"/>
                <w:right w:val="none" w:sz="0" w:space="0" w:color="auto"/>
              </w:divBdr>
              <w:divsChild>
                <w:div w:id="181020201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7206199">
      <w:bodyDiv w:val="1"/>
      <w:marLeft w:val="0"/>
      <w:marRight w:val="0"/>
      <w:marTop w:val="0"/>
      <w:marBottom w:val="0"/>
      <w:divBdr>
        <w:top w:val="none" w:sz="0" w:space="0" w:color="auto"/>
        <w:left w:val="none" w:sz="0" w:space="0" w:color="auto"/>
        <w:bottom w:val="none" w:sz="0" w:space="0" w:color="auto"/>
        <w:right w:val="none" w:sz="0" w:space="0" w:color="auto"/>
      </w:divBdr>
    </w:div>
    <w:div w:id="204787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sigmaaldrich.com/catalog/CertOfAnalysisPage.do?symbol=U0750&amp;LotNo=55H1068&amp;brandTest=SIGMA"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it.instructure.com/courses/38802/files/6982711?module_item_id=104251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pubchem.ncbi.nlm.nih.gov/compound/Tolue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ubchem.ncbi.nlm.nih.gov/compound/Acetophenone" TargetMode="Externa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chart" Target="charts/chart1.xml"/><Relationship Id="rId28" Type="http://schemas.openxmlformats.org/officeDocument/2006/relationships/hyperlink" Target="https://pubchem.ncbi.nlm.nih.gov/compound/Naphthalen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ubchem.ncbi.nlm.nih.gov/compound/Methyl-benzoate#section=EI-MS"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20362%20HPLC%20Lab%20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Plot for Caffeine</a:t>
            </a:r>
            <a:r>
              <a:rPr lang="en-US" baseline="0"/>
              <a:t> vs Benzophenone Internal Standard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Sheet1!$G$32:$G$35</c:f>
              <c:numCache>
                <c:formatCode>General</c:formatCode>
                <c:ptCount val="4"/>
                <c:pt idx="0">
                  <c:v>1</c:v>
                </c:pt>
                <c:pt idx="1">
                  <c:v>2</c:v>
                </c:pt>
                <c:pt idx="2">
                  <c:v>2.9999999999999996</c:v>
                </c:pt>
                <c:pt idx="3">
                  <c:v>4</c:v>
                </c:pt>
              </c:numCache>
            </c:numRef>
          </c:xVal>
          <c:yVal>
            <c:numRef>
              <c:f>Sheet1!$F$32:$F$35</c:f>
              <c:numCache>
                <c:formatCode>General</c:formatCode>
                <c:ptCount val="4"/>
                <c:pt idx="0">
                  <c:v>0.17974934157042738</c:v>
                </c:pt>
                <c:pt idx="1">
                  <c:v>0.34848108617794904</c:v>
                </c:pt>
                <c:pt idx="2">
                  <c:v>0.5313271686299279</c:v>
                </c:pt>
                <c:pt idx="3">
                  <c:v>0.62810410688452267</c:v>
                </c:pt>
              </c:numCache>
            </c:numRef>
          </c:yVal>
          <c:smooth val="0"/>
          <c:extLst>
            <c:ext xmlns:c16="http://schemas.microsoft.com/office/drawing/2014/chart" uri="{C3380CC4-5D6E-409C-BE32-E72D297353CC}">
              <c16:uniqueId val="{00000001-EDCA-4B77-AE95-2865DFB362D2}"/>
            </c:ext>
          </c:extLst>
        </c:ser>
        <c:dLbls>
          <c:showLegendKey val="0"/>
          <c:showVal val="0"/>
          <c:showCatName val="0"/>
          <c:showSerName val="0"/>
          <c:showPercent val="0"/>
          <c:showBubbleSize val="0"/>
        </c:dLbls>
        <c:axId val="1562099791"/>
        <c:axId val="1562099375"/>
      </c:scatterChart>
      <c:valAx>
        <c:axId val="1562099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 (Caffeine</a:t>
                </a:r>
                <a:r>
                  <a:rPr lang="en-US" baseline="0"/>
                  <a:t>) / Conc. (Benzophenone)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99375"/>
        <c:crosses val="autoZero"/>
        <c:crossBetween val="midCat"/>
      </c:valAx>
      <c:valAx>
        <c:axId val="156209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 (Caffeine)</a:t>
                </a:r>
                <a:r>
                  <a:rPr lang="en-US" baseline="0"/>
                  <a:t> / Area (Benzophenone)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99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13</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115</cp:revision>
  <dcterms:created xsi:type="dcterms:W3CDTF">2020-11-25T19:06:00Z</dcterms:created>
  <dcterms:modified xsi:type="dcterms:W3CDTF">2020-11-25T21:25:00Z</dcterms:modified>
</cp:coreProperties>
</file>