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D0C68" w14:textId="7BA92CFE" w:rsidR="00FA0FB8" w:rsidRDefault="00FA0FB8">
      <w:r>
        <w:t>Max Shi</w:t>
      </w:r>
      <w:r w:rsidR="006212E4">
        <w:br/>
      </w:r>
      <w:r>
        <w:t>CH 362</w:t>
      </w:r>
      <w:r w:rsidR="006212E4">
        <w:br/>
      </w:r>
      <w:r>
        <w:t>Professor Attygalle</w:t>
      </w:r>
      <w:r w:rsidR="006212E4">
        <w:br/>
        <w:t>I pledge my honor that I have abided by the Stevens Honor System.</w:t>
      </w:r>
    </w:p>
    <w:p w14:paraId="2430098E" w14:textId="0C32A86F" w:rsidR="006212E4" w:rsidRDefault="006212E4" w:rsidP="006212E4">
      <w:r>
        <w:t>1) Title of Experiment:</w:t>
      </w:r>
    </w:p>
    <w:p w14:paraId="0E744F6B" w14:textId="1442A812" w:rsidR="006212E4" w:rsidRDefault="00751E90" w:rsidP="006212E4">
      <w:r>
        <w:t xml:space="preserve">Determination of </w:t>
      </w:r>
      <w:r w:rsidR="00E40327">
        <w:t xml:space="preserve">Concentration of Sucrose </w:t>
      </w:r>
      <w:r w:rsidR="00BA7D8B">
        <w:t xml:space="preserve">in </w:t>
      </w:r>
      <w:r w:rsidR="00EF4101">
        <w:t xml:space="preserve">Unknown Solution, Diet Beverage, and Regular Beverage </w:t>
      </w:r>
      <w:r w:rsidR="00E40327">
        <w:t>by Polarimetry</w:t>
      </w:r>
    </w:p>
    <w:p w14:paraId="6F7566F1" w14:textId="6EAAC701" w:rsidR="00E40327" w:rsidRDefault="00FF66EF" w:rsidP="006212E4">
      <w:r>
        <w:t>Date: October 30, 2020</w:t>
      </w:r>
      <w:r>
        <w:br/>
        <w:t>Name of Technique: Polarimetry</w:t>
      </w:r>
    </w:p>
    <w:p w14:paraId="28A150E6" w14:textId="4C92D986" w:rsidR="00FF66EF" w:rsidRDefault="00FF66EF" w:rsidP="006212E4">
      <w:r>
        <w:t>2) Technique:</w:t>
      </w:r>
    </w:p>
    <w:p w14:paraId="1FE502DA" w14:textId="6444A105" w:rsidR="00906789" w:rsidRDefault="000E242A" w:rsidP="00223FC8">
      <w:pPr>
        <w:ind w:firstLine="720"/>
      </w:pPr>
      <w:r>
        <w:t>Polarimetry is used to measure the concentration of chiral molecules</w:t>
      </w:r>
      <w:r w:rsidR="00A87B61">
        <w:t>, particularly sugars, peptides, and some volatile oils,</w:t>
      </w:r>
      <w:r>
        <w:t xml:space="preserve"> inside </w:t>
      </w:r>
      <w:r w:rsidR="00516DBD">
        <w:t xml:space="preserve">solutions. </w:t>
      </w:r>
      <w:r w:rsidR="00143432">
        <w:t xml:space="preserve">Chiral molecules exhibit a phenomenon called optical activity, where </w:t>
      </w:r>
      <w:r w:rsidR="00223FC8">
        <w:t xml:space="preserve">a solution of a </w:t>
      </w:r>
      <w:r w:rsidR="00EF6CAB">
        <w:t>chiral molecule has a specific rotation</w:t>
      </w:r>
      <w:r w:rsidR="00223FC8">
        <w:t xml:space="preserve"> when plane polarized light is passed through it.</w:t>
      </w:r>
      <w:r w:rsidR="00EF6CAB">
        <w:t xml:space="preserve"> </w:t>
      </w:r>
      <w:r w:rsidR="007C1A48">
        <w:t xml:space="preserve">Chiral molecules </w:t>
      </w:r>
      <w:r w:rsidR="00E243D0">
        <w:t>rotate plane polarized light according to Equation 1</w:t>
      </w:r>
      <w:r w:rsidR="00771988">
        <w:t>:</w:t>
      </w:r>
    </w:p>
    <w:p w14:paraId="340DF0A2" w14:textId="77777777" w:rsidR="00E76B04" w:rsidRDefault="0049421E" w:rsidP="00E76B04">
      <w:pPr>
        <w:keepNext/>
        <w:jc w:val="center"/>
      </w:pPr>
      <w:r>
        <w:rPr>
          <w:noProof/>
        </w:rPr>
        <w:drawing>
          <wp:inline distT="0" distB="0" distL="0" distR="0" wp14:anchorId="29379CB3" wp14:editId="55833726">
            <wp:extent cx="539115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A21D" w14:textId="77AB4476" w:rsidR="00906789" w:rsidRDefault="00E76B04" w:rsidP="00E76B04">
      <w:pPr>
        <w:pStyle w:val="Caption"/>
        <w:jc w:val="center"/>
      </w:pPr>
      <w:r>
        <w:t>Equation</w:t>
      </w:r>
      <w:r w:rsidR="0058546F">
        <w:t xml:space="preserve"> 1</w:t>
      </w:r>
      <w:r>
        <w:rPr>
          <w:noProof/>
        </w:rPr>
        <w:t>: Rotation of Plane Polarized Light by Chiral Compounds</w:t>
      </w:r>
    </w:p>
    <w:p w14:paraId="6189ECB8" w14:textId="3CFCAF25" w:rsidR="005436D3" w:rsidRDefault="00351A33" w:rsidP="006212E4">
      <w:r>
        <w:t xml:space="preserve">Because the angle of </w:t>
      </w:r>
      <w:r w:rsidR="00ED6E98">
        <w:t>rotation is based on the concentration, calibration solutions can be used to create a</w:t>
      </w:r>
      <w:r w:rsidR="00394755">
        <w:t xml:space="preserve">n ordinary linear </w:t>
      </w:r>
      <w:r w:rsidR="00ED6E98">
        <w:t>calibration plot to calculate the unknown concentration</w:t>
      </w:r>
      <w:r w:rsidR="00166F51">
        <w:t xml:space="preserve">, as long as the other variables in the equation are held constant. </w:t>
      </w:r>
      <w:r w:rsidR="00200BCA">
        <w:t>Due to the angle of rotation changing depending on the wavelength of the light used, as well as the path length of the cell, the sodium D line wavelength is generally used for all experiments, and the path length of the cell will be held constant</w:t>
      </w:r>
      <w:r w:rsidR="006C4D87">
        <w:t>.</w:t>
      </w:r>
    </w:p>
    <w:p w14:paraId="78BF8EDD" w14:textId="318FA39F" w:rsidR="002F5E24" w:rsidRDefault="006C4D87" w:rsidP="006C4D87">
      <w:pPr>
        <w:ind w:firstLine="720"/>
      </w:pPr>
      <w:r>
        <w:t>The setup for the pola</w:t>
      </w:r>
      <w:r w:rsidR="00BC2D2A">
        <w:t xml:space="preserve">rimeter begins with a lamp emitting light at the sodium D line, </w:t>
      </w:r>
      <w:r w:rsidR="00943E28">
        <w:t xml:space="preserve">about 589 nm. The light then goes through a polarizer, which plane-polarizes the light. Then, the plane polarized light passes through a polarimetry cell, </w:t>
      </w:r>
      <w:r w:rsidR="00447328">
        <w:t xml:space="preserve">which is filled with the chiral sample solution. </w:t>
      </w:r>
      <w:r w:rsidR="00154C6E">
        <w:t xml:space="preserve">Then, the light passes through an analyzer, which </w:t>
      </w:r>
      <w:r w:rsidR="00B5653D">
        <w:t>is rotated until the angle of rotation is found, measured by the maximum light reading read by a detector at the end of the line. This process is detailed in more detail in Figure 1.</w:t>
      </w:r>
    </w:p>
    <w:p w14:paraId="09434BC9" w14:textId="77777777" w:rsidR="0058546F" w:rsidRDefault="0058546F" w:rsidP="0058546F">
      <w:pPr>
        <w:keepNext/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00B4C907" wp14:editId="43F45EC0">
            <wp:extent cx="4143375" cy="1143000"/>
            <wp:effectExtent l="0" t="0" r="9525" b="0"/>
            <wp:docPr id="3" name="Picture 3" descr="RP Photonics Encyclopedia - polarimeters, polarimetry, operation principle,  accuracy, refinements, Lippich polarimeter, saccharimeter, automated  measurements, appl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P Photonics Encyclopedia - polarimeters, polarimetry, operation principle,  accuracy, refinements, Lippich polarimeter, saccharimeter, automated  measurements, applica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4D563" w14:textId="33C4DDB4" w:rsidR="00B5653D" w:rsidRDefault="0058546F" w:rsidP="0058546F">
      <w:pPr>
        <w:pStyle w:val="Caption"/>
        <w:jc w:val="center"/>
      </w:pPr>
      <w:r>
        <w:t xml:space="preserve">Figure </w:t>
      </w:r>
      <w:r w:rsidR="00E12144">
        <w:t>1</w:t>
      </w:r>
      <w:r>
        <w:t>: Diagram of Polarimeter</w:t>
      </w:r>
    </w:p>
    <w:p w14:paraId="191F0CAF" w14:textId="1DB8E46D" w:rsidR="0058546F" w:rsidRDefault="0058546F" w:rsidP="0058546F">
      <w:r>
        <w:t>3) Application of the Technique to my Experiment</w:t>
      </w:r>
    </w:p>
    <w:p w14:paraId="591FF559" w14:textId="5C9A4661" w:rsidR="00EA03CD" w:rsidRDefault="00EA03CD" w:rsidP="0058546F">
      <w:r>
        <w:tab/>
      </w:r>
      <w:r w:rsidR="00E12144">
        <w:t>Sucrose, depicted in Figure 2, is chiral and is optically active in solution</w:t>
      </w:r>
      <w:r w:rsidR="0080583E">
        <w:t xml:space="preserve">, and therefore, the concentration of sucrose in solution can be measured by polarimetry. </w:t>
      </w:r>
      <w:r w:rsidR="00206A0B">
        <w:t xml:space="preserve">First, five calibration solutions will be prepared </w:t>
      </w:r>
      <w:r w:rsidR="003C1734">
        <w:t xml:space="preserve">from a stock solution prepared from sucrose and deionized water. </w:t>
      </w:r>
      <w:r w:rsidR="002A33D1">
        <w:t xml:space="preserve">Then, the path length of the cell will be noted, and the machine will be first zeroed by taking a measurement </w:t>
      </w:r>
      <w:r w:rsidR="00DF3814">
        <w:t xml:space="preserve">with the cell filled with only </w:t>
      </w:r>
      <w:r w:rsidR="002A33D1">
        <w:t xml:space="preserve">deionized water. </w:t>
      </w:r>
      <w:r w:rsidR="003C1734">
        <w:t xml:space="preserve">Then, the five solutions’ optical activity will be measured with </w:t>
      </w:r>
      <w:r w:rsidR="00360570">
        <w:t>the</w:t>
      </w:r>
      <w:r w:rsidR="003C1734">
        <w:t xml:space="preserve"> polarimeter, and </w:t>
      </w:r>
      <w:r w:rsidR="005F4AAC">
        <w:t xml:space="preserve">a calibration plot will be </w:t>
      </w:r>
      <w:r w:rsidR="00A20380">
        <w:t>constructed from the</w:t>
      </w:r>
      <w:r w:rsidR="00360570">
        <w:t xml:space="preserve"> concentration and</w:t>
      </w:r>
      <w:r w:rsidR="00A20380">
        <w:t xml:space="preserve"> </w:t>
      </w:r>
      <w:r w:rsidR="00360570">
        <w:t>angle of rotation measured</w:t>
      </w:r>
      <w:r w:rsidR="00A20380">
        <w:t xml:space="preserve"> of each solution. </w:t>
      </w:r>
    </w:p>
    <w:p w14:paraId="3A849E36" w14:textId="77777777" w:rsidR="004C0638" w:rsidRDefault="004C0638" w:rsidP="004C0638">
      <w:pPr>
        <w:keepNext/>
        <w:jc w:val="center"/>
      </w:pPr>
      <w:r>
        <w:rPr>
          <w:noProof/>
        </w:rPr>
        <w:drawing>
          <wp:inline distT="0" distB="0" distL="0" distR="0" wp14:anchorId="3BC28F72" wp14:editId="5CEEC772">
            <wp:extent cx="4457700" cy="2299335"/>
            <wp:effectExtent l="0" t="0" r="0" b="5715"/>
            <wp:docPr id="2" name="Picture 2" descr="Sucros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crose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476" cy="231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9D746" w14:textId="49211EC0" w:rsidR="004C0638" w:rsidRDefault="004C0638" w:rsidP="004C0638">
      <w:pPr>
        <w:pStyle w:val="Caption"/>
        <w:jc w:val="center"/>
      </w:pPr>
      <w:r>
        <w:t>Figure 2: Structure of Sucrose</w:t>
      </w:r>
    </w:p>
    <w:p w14:paraId="1D712EF4" w14:textId="1B0B3839" w:rsidR="00DB51FA" w:rsidRDefault="005C54DE" w:rsidP="0058546F">
      <w:r>
        <w:tab/>
        <w:t xml:space="preserve">After the calibration plot has been created, </w:t>
      </w:r>
      <w:r w:rsidR="00DF3814">
        <w:t>each of the unknown solutions</w:t>
      </w:r>
      <w:r w:rsidR="009831A6">
        <w:t>, the sugar solution, the diet beverage, and the regular beverage,</w:t>
      </w:r>
      <w:r w:rsidR="00DF3814">
        <w:t xml:space="preserve"> will be </w:t>
      </w:r>
      <w:r w:rsidR="004F60DA">
        <w:t>put into the polarimetry cell and their angle of rotation will be taken</w:t>
      </w:r>
      <w:r w:rsidR="009831A6">
        <w:t>, one at a time</w:t>
      </w:r>
      <w:r w:rsidR="004F60DA">
        <w:t xml:space="preserve">. By plotting the angle of rotation on the calibration curve, </w:t>
      </w:r>
      <w:r w:rsidR="0064429E">
        <w:t xml:space="preserve">the concentration of sucrose in each of the solutions can be calculated. </w:t>
      </w:r>
    </w:p>
    <w:p w14:paraId="1878A073" w14:textId="40BE0ADF" w:rsidR="009831A6" w:rsidRDefault="007070A6" w:rsidP="0058546F">
      <w:r>
        <w:t>4) Calculations</w:t>
      </w:r>
    </w:p>
    <w:p w14:paraId="55B3EAF9" w14:textId="2AAD5102" w:rsidR="007070A6" w:rsidRDefault="001D1EE3" w:rsidP="0058546F">
      <w:r>
        <w:t>As concentration in Equation 1 is measured in g/mL, it is important to prepare solution in terms of w/v.</w:t>
      </w:r>
    </w:p>
    <w:p w14:paraId="56097764" w14:textId="7A328F12" w:rsidR="001D1EE3" w:rsidRDefault="001D1EE3" w:rsidP="0058546F">
      <w:r>
        <w:t xml:space="preserve">To produce a </w:t>
      </w:r>
      <w:r w:rsidR="000B7C9F">
        <w:t>10.0% w/v solution, 25 g of sucrose must be dissolved into deionized water to create a 250.0 mL solution.</w:t>
      </w:r>
    </w:p>
    <w:p w14:paraId="00A78CA5" w14:textId="05860C47" w:rsidR="000B7C9F" w:rsidRDefault="000B7C9F" w:rsidP="0058546F">
      <w:pPr>
        <w:rPr>
          <w:b/>
          <w:bCs/>
        </w:rPr>
      </w:pPr>
      <w:r w:rsidRPr="000B7C9F">
        <w:rPr>
          <w:b/>
          <w:bCs/>
        </w:rPr>
        <w:t>Preparation of calibration solutions from 250.0 mL 10.0% w/v solution</w:t>
      </w:r>
    </w:p>
    <w:p w14:paraId="4952F270" w14:textId="77777777" w:rsidR="005825B0" w:rsidRDefault="005825B0" w:rsidP="0058546F"/>
    <w:p w14:paraId="0291B37F" w14:textId="176C1F9D" w:rsidR="000B7C9F" w:rsidRPr="00D772DC" w:rsidRDefault="00051F66" w:rsidP="0058546F">
      <w:r>
        <w:lastRenderedPageBreak/>
        <w:t xml:space="preserve">Each mL of stock solution contains </w:t>
      </w:r>
      <w:r w:rsidR="00DD42E5">
        <w:t>0.1 g of sucrose.</w:t>
      </w:r>
      <w:r w:rsidR="00DD42E5">
        <w:br/>
      </w:r>
      <w:r w:rsidR="00D772DC">
        <w:t xml:space="preserve">To prepare </w:t>
      </w:r>
      <w:r w:rsidR="00D2496E">
        <w:t xml:space="preserve">50.0 mL solutions of x% w/v solution from stock solution, </w:t>
      </w:r>
      <w:r w:rsidR="005825B0">
        <w:t xml:space="preserve">each solution </w:t>
      </w:r>
      <w:r w:rsidR="00DD42E5">
        <w:t xml:space="preserve">requires </w:t>
      </w:r>
      <w:r w:rsidR="009052BB">
        <w:t xml:space="preserve">5*x mL of stock solution, diluted to </w:t>
      </w:r>
      <w:r w:rsidR="0069041F">
        <w:t>50.0 mL.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7C9F" w14:paraId="2502E1AD" w14:textId="77777777" w:rsidTr="000B7C9F">
        <w:tc>
          <w:tcPr>
            <w:tcW w:w="3116" w:type="dxa"/>
          </w:tcPr>
          <w:p w14:paraId="3ED7E839" w14:textId="2F3CABA3" w:rsidR="000B7C9F" w:rsidRDefault="0069041F" w:rsidP="0058546F">
            <w:r>
              <w:t>Desired Concentration (w/v)</w:t>
            </w:r>
          </w:p>
        </w:tc>
        <w:tc>
          <w:tcPr>
            <w:tcW w:w="3117" w:type="dxa"/>
          </w:tcPr>
          <w:p w14:paraId="7BF4B6F5" w14:textId="1DCDFC76" w:rsidR="000B7C9F" w:rsidRDefault="0069041F" w:rsidP="0058546F">
            <w:r>
              <w:t>Amount of stock solution (mL)</w:t>
            </w:r>
          </w:p>
        </w:tc>
        <w:tc>
          <w:tcPr>
            <w:tcW w:w="3117" w:type="dxa"/>
          </w:tcPr>
          <w:p w14:paraId="761BD68D" w14:textId="2215F4B4" w:rsidR="000B7C9F" w:rsidRDefault="0069041F" w:rsidP="0058546F">
            <w:r>
              <w:t>Amount of deionized water (mL)</w:t>
            </w:r>
          </w:p>
        </w:tc>
      </w:tr>
      <w:tr w:rsidR="000B7C9F" w14:paraId="25D71EF6" w14:textId="77777777" w:rsidTr="000B7C9F">
        <w:tc>
          <w:tcPr>
            <w:tcW w:w="3116" w:type="dxa"/>
          </w:tcPr>
          <w:p w14:paraId="7A986676" w14:textId="5DFBDFE5" w:rsidR="000B7C9F" w:rsidRDefault="0069041F" w:rsidP="0058546F">
            <w:r>
              <w:t>1.0</w:t>
            </w:r>
          </w:p>
        </w:tc>
        <w:tc>
          <w:tcPr>
            <w:tcW w:w="3117" w:type="dxa"/>
          </w:tcPr>
          <w:p w14:paraId="439FBB0C" w14:textId="7FD6F0CC" w:rsidR="000B7C9F" w:rsidRDefault="00056100" w:rsidP="0058546F">
            <w:r>
              <w:t>5.0</w:t>
            </w:r>
          </w:p>
        </w:tc>
        <w:tc>
          <w:tcPr>
            <w:tcW w:w="3117" w:type="dxa"/>
          </w:tcPr>
          <w:p w14:paraId="61D790B3" w14:textId="4D98123C" w:rsidR="000B7C9F" w:rsidRDefault="002928EF" w:rsidP="0058546F">
            <w:r>
              <w:t>45.0</w:t>
            </w:r>
          </w:p>
        </w:tc>
      </w:tr>
      <w:tr w:rsidR="000B7C9F" w14:paraId="2734DAD6" w14:textId="77777777" w:rsidTr="000B7C9F">
        <w:tc>
          <w:tcPr>
            <w:tcW w:w="3116" w:type="dxa"/>
          </w:tcPr>
          <w:p w14:paraId="48CB877A" w14:textId="6741B05A" w:rsidR="000B7C9F" w:rsidRDefault="0069041F" w:rsidP="0058546F">
            <w:r>
              <w:t>2.0</w:t>
            </w:r>
          </w:p>
        </w:tc>
        <w:tc>
          <w:tcPr>
            <w:tcW w:w="3117" w:type="dxa"/>
          </w:tcPr>
          <w:p w14:paraId="4319316E" w14:textId="55A7B1AF" w:rsidR="000B7C9F" w:rsidRDefault="00056100" w:rsidP="0058546F">
            <w:r>
              <w:t>10.0</w:t>
            </w:r>
          </w:p>
        </w:tc>
        <w:tc>
          <w:tcPr>
            <w:tcW w:w="3117" w:type="dxa"/>
          </w:tcPr>
          <w:p w14:paraId="388A2832" w14:textId="29C495AA" w:rsidR="000B7C9F" w:rsidRDefault="002928EF" w:rsidP="0058546F">
            <w:r>
              <w:t>40.0</w:t>
            </w:r>
          </w:p>
        </w:tc>
      </w:tr>
      <w:tr w:rsidR="000B7C9F" w14:paraId="37E58A0E" w14:textId="77777777" w:rsidTr="000B7C9F">
        <w:tc>
          <w:tcPr>
            <w:tcW w:w="3116" w:type="dxa"/>
          </w:tcPr>
          <w:p w14:paraId="31BC00F6" w14:textId="78AFDA57" w:rsidR="000B7C9F" w:rsidRDefault="0069041F" w:rsidP="0058546F">
            <w:r>
              <w:t>4.0</w:t>
            </w:r>
          </w:p>
        </w:tc>
        <w:tc>
          <w:tcPr>
            <w:tcW w:w="3117" w:type="dxa"/>
          </w:tcPr>
          <w:p w14:paraId="147DA035" w14:textId="68B02EFE" w:rsidR="000B7C9F" w:rsidRDefault="00056100" w:rsidP="0058546F">
            <w:r>
              <w:t>20.0</w:t>
            </w:r>
          </w:p>
        </w:tc>
        <w:tc>
          <w:tcPr>
            <w:tcW w:w="3117" w:type="dxa"/>
          </w:tcPr>
          <w:p w14:paraId="3277C5A1" w14:textId="7B1C3EF9" w:rsidR="000B7C9F" w:rsidRDefault="002928EF" w:rsidP="0058546F">
            <w:r>
              <w:t>30.0</w:t>
            </w:r>
          </w:p>
        </w:tc>
      </w:tr>
      <w:tr w:rsidR="000B7C9F" w14:paraId="219B8D15" w14:textId="77777777" w:rsidTr="000B7C9F">
        <w:tc>
          <w:tcPr>
            <w:tcW w:w="3116" w:type="dxa"/>
          </w:tcPr>
          <w:p w14:paraId="7BEE0962" w14:textId="130FA2AE" w:rsidR="000B7C9F" w:rsidRDefault="0069041F" w:rsidP="0058546F">
            <w:r>
              <w:t>6.0</w:t>
            </w:r>
          </w:p>
        </w:tc>
        <w:tc>
          <w:tcPr>
            <w:tcW w:w="3117" w:type="dxa"/>
          </w:tcPr>
          <w:p w14:paraId="75EAEDAF" w14:textId="751B75E5" w:rsidR="000B7C9F" w:rsidRDefault="00056100" w:rsidP="0058546F">
            <w:r>
              <w:t>30.0</w:t>
            </w:r>
          </w:p>
        </w:tc>
        <w:tc>
          <w:tcPr>
            <w:tcW w:w="3117" w:type="dxa"/>
          </w:tcPr>
          <w:p w14:paraId="50AD40CB" w14:textId="386010F8" w:rsidR="000B7C9F" w:rsidRDefault="002928EF" w:rsidP="0058546F">
            <w:r>
              <w:t>20.0</w:t>
            </w:r>
          </w:p>
        </w:tc>
      </w:tr>
      <w:tr w:rsidR="0069041F" w14:paraId="2661A5D0" w14:textId="77777777" w:rsidTr="000B7C9F">
        <w:tc>
          <w:tcPr>
            <w:tcW w:w="3116" w:type="dxa"/>
          </w:tcPr>
          <w:p w14:paraId="2001C516" w14:textId="2477AE2B" w:rsidR="0069041F" w:rsidRDefault="0069041F" w:rsidP="0058546F">
            <w:r>
              <w:t>8.0</w:t>
            </w:r>
          </w:p>
        </w:tc>
        <w:tc>
          <w:tcPr>
            <w:tcW w:w="3117" w:type="dxa"/>
          </w:tcPr>
          <w:p w14:paraId="7EF29F26" w14:textId="4A196BA2" w:rsidR="0069041F" w:rsidRDefault="00056100" w:rsidP="0058546F">
            <w:r>
              <w:t>40.0</w:t>
            </w:r>
          </w:p>
        </w:tc>
        <w:tc>
          <w:tcPr>
            <w:tcW w:w="3117" w:type="dxa"/>
          </w:tcPr>
          <w:p w14:paraId="3CD083EB" w14:textId="7A58DF8C" w:rsidR="0069041F" w:rsidRDefault="002928EF" w:rsidP="0058546F">
            <w:r>
              <w:t>10.0</w:t>
            </w:r>
          </w:p>
        </w:tc>
      </w:tr>
    </w:tbl>
    <w:p w14:paraId="6C0D6FC1" w14:textId="251541F2" w:rsidR="000B7C9F" w:rsidRDefault="000B7C9F" w:rsidP="0058546F"/>
    <w:p w14:paraId="3B8FACAB" w14:textId="4FF7EC68" w:rsidR="00BA743D" w:rsidRDefault="00BA743D" w:rsidP="0058546F">
      <w:r>
        <w:t>5) References:</w:t>
      </w:r>
    </w:p>
    <w:p w14:paraId="45E1D96F" w14:textId="41702E8F" w:rsidR="00A102CF" w:rsidRPr="00833EE7" w:rsidRDefault="00A102CF" w:rsidP="00833EE7">
      <w:pPr>
        <w:pStyle w:val="ListParagraph"/>
        <w:numPr>
          <w:ilvl w:val="0"/>
          <w:numId w:val="3"/>
        </w:numPr>
        <w:spacing w:after="0" w:line="240" w:lineRule="auto"/>
        <w:ind w:right="96"/>
        <w:rPr>
          <w:rFonts w:ascii="Times New Roman" w:eastAsia="Times New Roman" w:hAnsi="Times New Roman" w:cs="Times New Roman"/>
          <w:sz w:val="24"/>
          <w:szCs w:val="24"/>
        </w:rPr>
      </w:pPr>
      <w:r w:rsidRPr="00A71769">
        <w:rPr>
          <w:rFonts w:ascii="Times New Roman" w:eastAsia="Times New Roman" w:hAnsi="Times New Roman" w:cs="Times New Roman"/>
          <w:sz w:val="24"/>
          <w:szCs w:val="24"/>
        </w:rPr>
        <w:t>1920px-Saccharose2.svg.png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(PNG Image, 1920 x 991 pixels) </w:t>
      </w:r>
      <w:hyperlink r:id="rId8" w:history="1">
        <w:r w:rsidRPr="00F1772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https://upload.wikimedia.org/wikipedia/commons/thumb/1/1a/Saccharose2.svg/1920px-Saccharose2.svg.png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(accessed Oct 31, 2020).</w:t>
      </w:r>
    </w:p>
    <w:p w14:paraId="5817DF77" w14:textId="07B6F45A" w:rsidR="00F07E57" w:rsidRPr="00833EE7" w:rsidRDefault="00EB0003" w:rsidP="00F07E57">
      <w:pPr>
        <w:pStyle w:val="ListParagraph"/>
        <w:numPr>
          <w:ilvl w:val="0"/>
          <w:numId w:val="3"/>
        </w:numPr>
        <w:spacing w:after="0" w:line="240" w:lineRule="auto"/>
        <w:ind w:right="96"/>
        <w:rPr>
          <w:rFonts w:eastAsia="Times New Roman" w:cstheme="minorHAnsi"/>
          <w:sz w:val="24"/>
          <w:szCs w:val="24"/>
        </w:rPr>
      </w:pPr>
      <w:r w:rsidRPr="00400F04">
        <w:rPr>
          <w:rFonts w:eastAsia="Times New Roman" w:cstheme="minorHAnsi"/>
          <w:sz w:val="24"/>
          <w:szCs w:val="24"/>
        </w:rPr>
        <w:t xml:space="preserve">Attygalle, A. Instrumental Analysis I Lecture and Laboratory Manual </w:t>
      </w:r>
      <w:hyperlink r:id="rId9" w:history="1">
        <w:r w:rsidRPr="00400F04">
          <w:rPr>
            <w:rStyle w:val="Hyperlink"/>
            <w:rFonts w:eastAsia="Times New Roman" w:cstheme="minorHAnsi"/>
            <w:sz w:val="24"/>
            <w:szCs w:val="24"/>
          </w:rPr>
          <w:t>https://sit.instructure.com/courses/38802/files/6982711?module_item_id=1042514</w:t>
        </w:r>
      </w:hyperlink>
      <w:r w:rsidRPr="00400F04">
        <w:rPr>
          <w:rFonts w:eastAsia="Times New Roman" w:cstheme="minorHAnsi"/>
          <w:sz w:val="24"/>
          <w:szCs w:val="24"/>
        </w:rPr>
        <w:t xml:space="preserve"> (accessed Oct </w:t>
      </w:r>
      <w:r>
        <w:rPr>
          <w:rFonts w:eastAsia="Times New Roman" w:cstheme="minorHAnsi"/>
          <w:sz w:val="24"/>
          <w:szCs w:val="24"/>
        </w:rPr>
        <w:t>31</w:t>
      </w:r>
      <w:r w:rsidRPr="00400F04">
        <w:rPr>
          <w:rFonts w:eastAsia="Times New Roman" w:cstheme="minorHAnsi"/>
          <w:sz w:val="24"/>
          <w:szCs w:val="24"/>
        </w:rPr>
        <w:t>, 2020).</w:t>
      </w:r>
      <w:r w:rsidR="00F07E57" w:rsidRPr="00F07E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C8D05A" w14:textId="61E3A620" w:rsidR="00833EE7" w:rsidRPr="00AF0A36" w:rsidRDefault="00833EE7" w:rsidP="00F07E57">
      <w:pPr>
        <w:pStyle w:val="ListParagraph"/>
        <w:numPr>
          <w:ilvl w:val="0"/>
          <w:numId w:val="3"/>
        </w:numPr>
        <w:spacing w:after="0" w:line="240" w:lineRule="auto"/>
        <w:ind w:right="96"/>
        <w:rPr>
          <w:rFonts w:eastAsia="Times New Roman" w:cstheme="minorHAns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polarimeter.png</w:t>
      </w:r>
      <w:r w:rsidR="005C3C13">
        <w:rPr>
          <w:rFonts w:ascii="Times New Roman" w:eastAsia="Times New Roman" w:hAnsi="Times New Roman" w:cs="Times New Roman"/>
          <w:sz w:val="24"/>
          <w:szCs w:val="24"/>
        </w:rPr>
        <w:t xml:space="preserve"> (PNG Image, 435 x 120 pixels) </w:t>
      </w:r>
      <w:hyperlink r:id="rId10" w:history="1">
        <w:r w:rsidR="005C3C13" w:rsidRPr="00F1772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https://www.rp-photonics.com/img/polarimeter.png</w:t>
        </w:r>
      </w:hyperlink>
      <w:r w:rsidR="005C3C13">
        <w:rPr>
          <w:rFonts w:ascii="Times New Roman" w:eastAsia="Times New Roman" w:hAnsi="Times New Roman" w:cs="Times New Roman"/>
          <w:sz w:val="24"/>
          <w:szCs w:val="24"/>
        </w:rPr>
        <w:t xml:space="preserve"> (accessed Oct 31, 2020).</w:t>
      </w:r>
    </w:p>
    <w:p w14:paraId="7568F988" w14:textId="31E822BF" w:rsidR="00AF0A36" w:rsidRDefault="00AF0A36" w:rsidP="00AF0A36">
      <w:pPr>
        <w:spacing w:after="0" w:line="240" w:lineRule="auto"/>
        <w:ind w:right="96"/>
        <w:rPr>
          <w:rFonts w:eastAsia="Times New Roman" w:cstheme="minorHAnsi"/>
          <w:sz w:val="24"/>
          <w:szCs w:val="24"/>
        </w:rPr>
      </w:pPr>
    </w:p>
    <w:p w14:paraId="29205103" w14:textId="32EF31AD" w:rsidR="00F604F6" w:rsidRDefault="00AF0A36" w:rsidP="00AF0A36">
      <w:pPr>
        <w:spacing w:after="0" w:line="240" w:lineRule="auto"/>
        <w:ind w:right="96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6) MSDS:</w:t>
      </w:r>
    </w:p>
    <w:p w14:paraId="1D517917" w14:textId="77777777" w:rsidR="00F604F6" w:rsidRDefault="00F604F6" w:rsidP="00AF0A36">
      <w:pPr>
        <w:spacing w:after="0" w:line="240" w:lineRule="auto"/>
        <w:ind w:right="96"/>
        <w:rPr>
          <w:rFonts w:eastAsia="Times New Roman" w:cstheme="minorHAnsi"/>
          <w:sz w:val="24"/>
          <w:szCs w:val="24"/>
        </w:rPr>
      </w:pPr>
    </w:p>
    <w:p w14:paraId="4BFF8517" w14:textId="7B375406" w:rsidR="00F604F6" w:rsidRDefault="00F604F6" w:rsidP="00F604F6">
      <w:pPr>
        <w:rPr>
          <w:b/>
          <w:bCs/>
        </w:rPr>
      </w:pPr>
      <w:r>
        <w:rPr>
          <w:b/>
          <w:bCs/>
        </w:rPr>
        <w:t>Sucrose</w:t>
      </w:r>
    </w:p>
    <w:p w14:paraId="24A1A7D6" w14:textId="16C1F35F" w:rsidR="00F604F6" w:rsidRPr="00FA0D86" w:rsidRDefault="00F604F6" w:rsidP="00F604F6">
      <w:pPr>
        <w:ind w:left="720"/>
      </w:pPr>
      <w:r>
        <w:t xml:space="preserve">CAS No.: </w:t>
      </w:r>
      <w:r>
        <w:t>57-50-1</w:t>
      </w:r>
      <w:r>
        <w:br/>
        <w:t xml:space="preserve">Molecular Weight: </w:t>
      </w:r>
      <w:r w:rsidRPr="00F604F6">
        <w:t>342.1474</w:t>
      </w:r>
      <w:r>
        <w:br/>
        <w:t>Chemical Formula: C</w:t>
      </w:r>
      <w:r w:rsidR="00366DDB">
        <w:rPr>
          <w:vertAlign w:val="subscript"/>
        </w:rPr>
        <w:t>12</w:t>
      </w:r>
      <w:r>
        <w:t>H</w:t>
      </w:r>
      <w:r w:rsidR="00366DDB">
        <w:rPr>
          <w:vertAlign w:val="subscript"/>
        </w:rPr>
        <w:t>2</w:t>
      </w:r>
      <w:r>
        <w:rPr>
          <w:vertAlign w:val="subscript"/>
        </w:rPr>
        <w:t>2</w:t>
      </w:r>
      <w:r w:rsidR="00366DDB">
        <w:t>O</w:t>
      </w:r>
      <w:r w:rsidR="00366DDB">
        <w:rPr>
          <w:vertAlign w:val="subscript"/>
        </w:rPr>
        <w:t>11</w:t>
      </w:r>
      <w:r>
        <w:br/>
        <w:t xml:space="preserve">Appearance: </w:t>
      </w:r>
      <w:r w:rsidR="00366DDB">
        <w:t xml:space="preserve">white solid </w:t>
      </w:r>
      <w:r>
        <w:br/>
        <w:t>Lab Protective Equipment: Lab coat, goggles</w:t>
      </w:r>
    </w:p>
    <w:p w14:paraId="68B08678" w14:textId="328B0D84" w:rsidR="00F604F6" w:rsidRDefault="00F604F6" w:rsidP="00F604F6">
      <w:pPr>
        <w:ind w:left="720"/>
      </w:pPr>
      <w:r w:rsidRPr="00BE0F18">
        <w:rPr>
          <w:b/>
          <w:bCs/>
        </w:rPr>
        <w:t>Health effects:</w:t>
      </w:r>
      <w:r w:rsidRPr="00BE0F18">
        <w:rPr>
          <w:b/>
          <w:bCs/>
        </w:rPr>
        <w:br/>
      </w:r>
      <w:r w:rsidR="00366DDB">
        <w:t>May cause skin and eye irritation, may cause respiratory and digestive tract irritation.</w:t>
      </w:r>
    </w:p>
    <w:p w14:paraId="57239F9B" w14:textId="297DDA40" w:rsidR="00F604F6" w:rsidRDefault="00F604F6" w:rsidP="00F604F6">
      <w:pPr>
        <w:ind w:left="720"/>
      </w:pPr>
      <w:r w:rsidRPr="00BE0F18">
        <w:rPr>
          <w:b/>
          <w:bCs/>
        </w:rPr>
        <w:t>First Aid measures:</w:t>
      </w:r>
      <w:r w:rsidRPr="00BE0F18">
        <w:rPr>
          <w:b/>
          <w:bCs/>
        </w:rPr>
        <w:br/>
      </w:r>
      <w:r>
        <w:t>Eye contact: rinse immediately with water, especially under eyelids, for &gt;15 minutes. Get medical attention.</w:t>
      </w:r>
      <w:r>
        <w:br/>
        <w:t>Skin contact: Obtain medical attention</w:t>
      </w:r>
      <w:r w:rsidR="00366DDB">
        <w:t xml:space="preserve"> if irritation develops or persists.</w:t>
      </w:r>
      <w:r>
        <w:br/>
        <w:t>Inhalation: Move to fresh air. If breathing if difficult, give oxygen. If not breathing, give artificial respiration. Get medical attention immediately if symptoms occur.</w:t>
      </w:r>
      <w:r>
        <w:br/>
        <w:t>Ingestion: Do not induce vomiting.</w:t>
      </w:r>
      <w:r w:rsidR="00FB55C3">
        <w:t xml:space="preserve"> If victim is conscious and alert, give 2-4 cupfuls of milk or water.</w:t>
      </w:r>
      <w:r>
        <w:t xml:space="preserve"> </w:t>
      </w:r>
      <w:r w:rsidR="00FB55C3">
        <w:t>Get medical attention if irritation or symptoms occur</w:t>
      </w:r>
      <w:r>
        <w:t>.</w:t>
      </w:r>
    </w:p>
    <w:p w14:paraId="0CAEDA5F" w14:textId="063B759B" w:rsidR="00F604F6" w:rsidRPr="005873E8" w:rsidRDefault="00F604F6" w:rsidP="00F604F6">
      <w:pPr>
        <w:ind w:left="720"/>
      </w:pPr>
      <w:r w:rsidRPr="00BE0F18">
        <w:rPr>
          <w:b/>
          <w:bCs/>
        </w:rPr>
        <w:t>Other hazards:</w:t>
      </w:r>
      <w:r w:rsidRPr="00BE0F18">
        <w:rPr>
          <w:b/>
          <w:bCs/>
        </w:rPr>
        <w:br/>
      </w:r>
      <w:r>
        <w:t xml:space="preserve">Fire: </w:t>
      </w:r>
      <w:r w:rsidR="00FB55C3">
        <w:t>not known to be a fire hazard</w:t>
      </w:r>
      <w:r>
        <w:t>.</w:t>
      </w:r>
      <w:r>
        <w:br/>
        <w:t xml:space="preserve">Explosion: </w:t>
      </w:r>
      <w:r w:rsidR="00FB55C3">
        <w:t>not known to be an explosion hazard</w:t>
      </w:r>
      <w:r>
        <w:t>.</w:t>
      </w:r>
    </w:p>
    <w:p w14:paraId="70496DA0" w14:textId="77777777" w:rsidR="00F604F6" w:rsidRPr="00AF0A36" w:rsidRDefault="00F604F6" w:rsidP="00AF0A36">
      <w:pPr>
        <w:spacing w:after="0" w:line="240" w:lineRule="auto"/>
        <w:ind w:right="96"/>
        <w:rPr>
          <w:rFonts w:eastAsia="Times New Roman" w:cstheme="minorHAnsi"/>
          <w:sz w:val="24"/>
          <w:szCs w:val="24"/>
        </w:rPr>
      </w:pPr>
    </w:p>
    <w:p w14:paraId="7535343C" w14:textId="283CBAD3" w:rsidR="00BA743D" w:rsidRDefault="00FB55C3" w:rsidP="0058546F">
      <w:r>
        <w:t>7) Pre-lab questions:</w:t>
      </w:r>
    </w:p>
    <w:p w14:paraId="3CD8052C" w14:textId="45D354D3" w:rsidR="00FB55C3" w:rsidRDefault="003B0B86" w:rsidP="003B0B86">
      <w:pPr>
        <w:pStyle w:val="ListParagraph"/>
        <w:numPr>
          <w:ilvl w:val="0"/>
          <w:numId w:val="4"/>
        </w:numPr>
      </w:pPr>
      <w:r>
        <w:t xml:space="preserve">Anomers are cyclic </w:t>
      </w:r>
      <w:r w:rsidR="009E43E3">
        <w:t xml:space="preserve">sugars which differ from each other in the configuration of </w:t>
      </w:r>
      <w:r w:rsidR="00D3492C">
        <w:t xml:space="preserve">one </w:t>
      </w:r>
      <w:r w:rsidR="009E43E3">
        <w:t>carbon</w:t>
      </w:r>
      <w:r w:rsidR="00D3492C">
        <w:t xml:space="preserve"> in the cyclic ring</w:t>
      </w:r>
      <w:r w:rsidR="009E43E3">
        <w:t>, where</w:t>
      </w:r>
      <w:r w:rsidR="00C246B0">
        <w:t xml:space="preserve"> </w:t>
      </w:r>
      <w:r w:rsidR="0068127B">
        <w:t>one</w:t>
      </w:r>
      <w:r w:rsidR="00D3492C">
        <w:t xml:space="preserve"> anomer will have a functional group on one side of the ring, and the other anomer will have the functional group on the other side of the ring. This differs from enantiomers</w:t>
      </w:r>
      <w:r w:rsidR="00A72F4F">
        <w:t xml:space="preserve"> because anomers form when simple sugars convert to their cyclic </w:t>
      </w:r>
      <w:r w:rsidR="0068127B">
        <w:t>forms and</w:t>
      </w:r>
      <w:r w:rsidR="005E0112">
        <w:t xml:space="preserve"> is not represented in the open form</w:t>
      </w:r>
      <w:r w:rsidR="003C7702">
        <w:t xml:space="preserve"> (Fischer Projection)</w:t>
      </w:r>
      <w:r w:rsidR="005E0112">
        <w:t xml:space="preserve"> of the sugar</w:t>
      </w:r>
      <w:r w:rsidR="00E35B80">
        <w:t>. Thus, D-glucose, for example, can form a</w:t>
      </w:r>
      <w:r w:rsidR="0068127B">
        <w:t xml:space="preserve"> pair of </w:t>
      </w:r>
      <w:r w:rsidR="00E35B80">
        <w:t>anomer</w:t>
      </w:r>
      <w:r w:rsidR="0068127B">
        <w:t>s</w:t>
      </w:r>
      <w:r w:rsidR="00E35B80">
        <w:t xml:space="preserve"> when converted to cyclic form, outside of its four chiral carbons represented in the Fischer projection that determine its identity as D-glucose. </w:t>
      </w:r>
    </w:p>
    <w:p w14:paraId="576A087B" w14:textId="50F55C63" w:rsidR="00ED06AD" w:rsidRPr="0058546F" w:rsidRDefault="00B77B74" w:rsidP="003B0B86">
      <w:pPr>
        <w:pStyle w:val="ListParagraph"/>
        <w:numPr>
          <w:ilvl w:val="0"/>
          <w:numId w:val="4"/>
        </w:numPr>
      </w:pPr>
      <w:r>
        <w:br/>
      </w:r>
      <m:oMathPara>
        <m:oMath>
          <m:r>
            <w:rPr>
              <w:rFonts w:ascii="Cambria Math" w:hAnsi="Cambria Math"/>
            </w:rPr>
            <m:t>a=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20</m:t>
              </m:r>
            </m:sup>
          </m:sSubSup>
          <m:r>
            <w:rPr>
              <w:rFonts w:ascii="Cambria Math" w:hAnsi="Cambria Math"/>
            </w:rPr>
            <m:t>*l*C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70.00 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10.00 mL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g</m:t>
              </m:r>
            </m:num>
            <m:den>
              <m:r>
                <w:rPr>
                  <w:rFonts w:ascii="Cambria Math" w:hAnsi="Cambria Math"/>
                </w:rPr>
                <m:t>1000 mg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.00</m:t>
          </m:r>
          <m:r>
            <w:rPr>
              <w:rFonts w:ascii="Cambria Math" w:hAnsi="Cambria Math"/>
            </w:rPr>
            <m:t>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mL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l=2.0 cm=0.2 dm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a=0.087°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0.087=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20</m:t>
              </m:r>
            </m:sup>
          </m:sSubSup>
          <m:r>
            <w:rPr>
              <w:rFonts w:ascii="Cambria Math" w:hAnsi="Cambria Math"/>
            </w:rPr>
            <m:t>*0.2*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.00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20</m:t>
              </m:r>
            </m:sup>
          </m:sSubSup>
          <m:r>
            <w:rPr>
              <w:rFonts w:ascii="Cambria Math" w:hAnsi="Cambria Math"/>
            </w:rPr>
            <m:t>=6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.14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°*mL</m:t>
              </m:r>
            </m:num>
            <m:den>
              <m:r>
                <w:rPr>
                  <w:rFonts w:ascii="Cambria Math" w:hAnsi="Cambria Math"/>
                </w:rPr>
                <m:t>dm*g</m:t>
              </m:r>
            </m:den>
          </m:f>
        </m:oMath>
      </m:oMathPara>
    </w:p>
    <w:sectPr w:rsidR="00ED06AD" w:rsidRPr="00585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B54C7"/>
    <w:multiLevelType w:val="hybridMultilevel"/>
    <w:tmpl w:val="00FE5E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831DF"/>
    <w:multiLevelType w:val="hybridMultilevel"/>
    <w:tmpl w:val="F27AE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95958"/>
    <w:multiLevelType w:val="hybridMultilevel"/>
    <w:tmpl w:val="B5620E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85E26"/>
    <w:multiLevelType w:val="hybridMultilevel"/>
    <w:tmpl w:val="3D184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75"/>
    <w:rsid w:val="00051F66"/>
    <w:rsid w:val="00056100"/>
    <w:rsid w:val="000B7C9F"/>
    <w:rsid w:val="000E242A"/>
    <w:rsid w:val="00143432"/>
    <w:rsid w:val="00154C6E"/>
    <w:rsid w:val="00166F51"/>
    <w:rsid w:val="001D1EE3"/>
    <w:rsid w:val="00200BCA"/>
    <w:rsid w:val="00206A0B"/>
    <w:rsid w:val="00223FC8"/>
    <w:rsid w:val="002811AD"/>
    <w:rsid w:val="002928EF"/>
    <w:rsid w:val="002A33D1"/>
    <w:rsid w:val="002F5E24"/>
    <w:rsid w:val="00351A33"/>
    <w:rsid w:val="00360570"/>
    <w:rsid w:val="00366DDB"/>
    <w:rsid w:val="00394755"/>
    <w:rsid w:val="003B0B86"/>
    <w:rsid w:val="003C1734"/>
    <w:rsid w:val="003C7702"/>
    <w:rsid w:val="00447328"/>
    <w:rsid w:val="0049421E"/>
    <w:rsid w:val="004C0638"/>
    <w:rsid w:val="004F60DA"/>
    <w:rsid w:val="00516DBD"/>
    <w:rsid w:val="005436D3"/>
    <w:rsid w:val="00571301"/>
    <w:rsid w:val="005825B0"/>
    <w:rsid w:val="0058546F"/>
    <w:rsid w:val="005C3C13"/>
    <w:rsid w:val="005C54DE"/>
    <w:rsid w:val="005E0112"/>
    <w:rsid w:val="005F4AAC"/>
    <w:rsid w:val="006212E4"/>
    <w:rsid w:val="0064429E"/>
    <w:rsid w:val="0068127B"/>
    <w:rsid w:val="0069041F"/>
    <w:rsid w:val="006C4D87"/>
    <w:rsid w:val="007070A6"/>
    <w:rsid w:val="00751E90"/>
    <w:rsid w:val="00771988"/>
    <w:rsid w:val="007C1A48"/>
    <w:rsid w:val="0080559C"/>
    <w:rsid w:val="0080583E"/>
    <w:rsid w:val="008203D0"/>
    <w:rsid w:val="00833EE7"/>
    <w:rsid w:val="00860CDF"/>
    <w:rsid w:val="008F27F8"/>
    <w:rsid w:val="008F30F2"/>
    <w:rsid w:val="009052BB"/>
    <w:rsid w:val="00906789"/>
    <w:rsid w:val="00943E28"/>
    <w:rsid w:val="009543E3"/>
    <w:rsid w:val="009831A6"/>
    <w:rsid w:val="00983A27"/>
    <w:rsid w:val="009903EA"/>
    <w:rsid w:val="009E43E3"/>
    <w:rsid w:val="00A102CF"/>
    <w:rsid w:val="00A20380"/>
    <w:rsid w:val="00A71769"/>
    <w:rsid w:val="00A72F4F"/>
    <w:rsid w:val="00A87B61"/>
    <w:rsid w:val="00AF0A36"/>
    <w:rsid w:val="00B4702F"/>
    <w:rsid w:val="00B5653D"/>
    <w:rsid w:val="00B77B74"/>
    <w:rsid w:val="00BA743D"/>
    <w:rsid w:val="00BA7D8B"/>
    <w:rsid w:val="00BC2D2A"/>
    <w:rsid w:val="00C246B0"/>
    <w:rsid w:val="00D2496E"/>
    <w:rsid w:val="00D3492C"/>
    <w:rsid w:val="00D772DC"/>
    <w:rsid w:val="00D97C61"/>
    <w:rsid w:val="00DA7300"/>
    <w:rsid w:val="00DB51FA"/>
    <w:rsid w:val="00DD42E5"/>
    <w:rsid w:val="00DF3814"/>
    <w:rsid w:val="00E12144"/>
    <w:rsid w:val="00E243D0"/>
    <w:rsid w:val="00E35B80"/>
    <w:rsid w:val="00E40327"/>
    <w:rsid w:val="00E76B04"/>
    <w:rsid w:val="00EA03CD"/>
    <w:rsid w:val="00EB0003"/>
    <w:rsid w:val="00ED06AD"/>
    <w:rsid w:val="00ED6E98"/>
    <w:rsid w:val="00EF4101"/>
    <w:rsid w:val="00EF6CAB"/>
    <w:rsid w:val="00F07E57"/>
    <w:rsid w:val="00F178AA"/>
    <w:rsid w:val="00F43975"/>
    <w:rsid w:val="00F604F6"/>
    <w:rsid w:val="00F71BB6"/>
    <w:rsid w:val="00FA0FB8"/>
    <w:rsid w:val="00FB55C3"/>
    <w:rsid w:val="00FF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1803"/>
  <w15:chartTrackingRefBased/>
  <w15:docId w15:val="{22C7C449-D13F-4FD7-9E0F-DC70FE91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2E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76B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B7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0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7F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77B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4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40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8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5262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thumb/1/1a/Saccharose2.svg/1920px-Saccharose2.svg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rp-photonics.com/img/polarimeter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.instructure.com/courses/38802/files/6982711?module_item_id=10425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908</Words>
  <Characters>5179</Characters>
  <Application>Microsoft Office Word</Application>
  <DocSecurity>0</DocSecurity>
  <Lines>43</Lines>
  <Paragraphs>12</Paragraphs>
  <ScaleCrop>false</ScaleCrop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 Shi</dc:creator>
  <cp:keywords/>
  <dc:description/>
  <cp:lastModifiedBy>Max A Shi</cp:lastModifiedBy>
  <cp:revision>98</cp:revision>
  <dcterms:created xsi:type="dcterms:W3CDTF">2020-10-31T03:44:00Z</dcterms:created>
  <dcterms:modified xsi:type="dcterms:W3CDTF">2020-10-31T17:39:00Z</dcterms:modified>
</cp:coreProperties>
</file>