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Figure Captions</w:t>
      </w:r>
    </w:p>
    <w:p/>
    <w:p>
      <w:r>
        <w:t>Manuscript: Book-Exit Decision Cost in Chess</w:t>
      </w:r>
    </w:p>
    <w:p/>
    <w:p>
      <w:r>
        <w:rPr>
          <w:b/>
        </w:rPr>
        <w:t>Figure 1.</w:t>
      </w:r>
      <w:r>
        <w:t xml:space="preserve"> Mean log thinking time at each of the player’s own moves relative to the first out-of-book move (position 0), by rating band, with the same axes in every panel. Confidence intervals (95%) use standard errors clustered by player. Means use 11,973,188 moves from 956,454 player-games (271,327 players); position −1 is present in 87.4% of player-games and position −5 in 7.4%. Each player’s first move of the game is excluded because Lichess does not time it.</w:t>
      </w:r>
    </w:p>
    <w:p/>
    <w:p>
      <w:r>
        <w:rPr>
          <w:b/>
        </w:rPr>
        <w:t>Figure 2.</w:t>
      </w:r>
      <w:r>
        <w:t xml:space="preserve"> The curves in Figure 1 for all five rating bands on shared axes. The right axis gives the same values as geometric mean thinking times in seconds. Confidence intervals (95%) use standard errors clustered by player.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