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666666"/>
          <w:sz w:val="18"/>
          <w:szCs w:val="18"/>
        </w:rPr>
        <w:t xml:space="preserve">FZD GLOBAL GMBH</w:t>
      </w:r>
    </w:p>
    <w:p>
      <w:pPr>
        <w:pStyle w:val="Heading1"/>
        <w:spacing w:after="100" w:before="0"/>
      </w:pPr>
      <w:r>
        <w:rPr>
          <w:rFonts w:ascii="Arial" w:cs="Arial" w:eastAsia="Arial" w:hAnsi="Arial"/>
          <w:b/>
          <w:bCs/>
          <w:color w:val="1A3C6E"/>
          <w:sz w:val="42"/>
          <w:szCs w:val="42"/>
        </w:rPr>
        <w:t xml:space="preserve">General Terms and Conditions</w:t>
      </w:r>
    </w:p>
    <w:p>
      <w:pPr>
        <w:spacing w:after="60"/>
      </w:pPr>
      <w:r>
        <w:rPr>
          <w:rFonts w:ascii="Arial" w:cs="Arial" w:eastAsia="Arial" w:hAnsi="Arial"/>
          <w:i/>
          <w:iCs/>
          <w:color w:val="666666"/>
          <w:sz w:val="20"/>
          <w:szCs w:val="20"/>
        </w:rPr>
        <w:t xml:space="preserve">English Version  |  Effective date: May 2026</w:t>
      </w:r>
    </w:p>
    <w:p>
      <w:pPr>
        <w:spacing w:after="100" w:line="280"/>
      </w:pPr>
      <w:r>
        <w:rPr>
          <w:rFonts w:ascii="Arial" w:cs="Arial" w:eastAsia="Arial" w:hAnsi="Arial"/>
          <w:color w:val="333333"/>
          <w:sz w:val="21"/>
          <w:szCs w:val="21"/>
        </w:rPr>
        <w:t xml:space="preserve">These General Terms and Conditions (“GTC”) apply exclusively to all consulting, data, technology and related services provided by FZD Global GmbH to business clients. They govern the contractual relationship between the parties unless an individual written agreement expressly derogates from them.</w:t>
      </w:r>
    </w:p>
    <w:p>
      <w:pPr>
        <w:pBdr>
          <w:bottom w:val="single" w:color="C5D8EE" w:sz="4" w:space="1"/>
        </w:pBdr>
        <w:spacing w:after="60" w:before="60"/>
      </w:pP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ABFE0" w:sz="2"/>
              <w:left w:val="single" w:color="9ABFE0" w:sz="2"/>
              <w:bottom w:val="single" w:color="9ABFE0" w:sz="2"/>
              <w:right w:val="single" w:color="9ABFE0" w:sz="2"/>
            </w:tcBorders>
            <w:shd w:fill="EBF2FA" w:val="clear"/>
            <w:tcMar>
              <w:top w:type="dxa" w:w="120"/>
              <w:left w:type="dxa" w:w="160"/>
              <w:bottom w:type="dxa" w:w="120"/>
              <w:right w:type="dxa" w:w="160"/>
            </w:tcMar>
          </w:tcPr>
          <w:p>
            <w:pPr>
              <w:spacing w:after="60"/>
            </w:pPr>
            <w:r>
              <w:rPr>
                <w:rFonts w:ascii="Arial" w:cs="Arial" w:eastAsia="Arial" w:hAnsi="Arial"/>
                <w:color w:val="1A3C6E"/>
                <w:sz w:val="20"/>
                <w:szCs w:val="20"/>
              </w:rPr>
              <w:t xml:space="preserve">FZD Global GmbH</w:t>
            </w:r>
          </w:p>
          <w:p>
            <w:pPr>
              <w:spacing w:after="60"/>
            </w:pPr>
            <w:r>
              <w:rPr>
                <w:rFonts w:ascii="Arial" w:cs="Arial" w:eastAsia="Arial" w:hAnsi="Arial"/>
                <w:color w:val="1A3C6E"/>
                <w:sz w:val="20"/>
                <w:szCs w:val="20"/>
              </w:rPr>
              <w:t xml:space="preserve">Neuenheimer Landstr. 5, 69120 Heidelberg, Germany</w:t>
            </w:r>
          </w:p>
          <w:p>
            <w:pPr>
              <w:spacing w:after="60"/>
            </w:pPr>
            <w:r>
              <w:rPr>
                <w:rFonts w:ascii="Arial" w:cs="Arial" w:eastAsia="Arial" w:hAnsi="Arial"/>
                <w:color w:val="1A3C6E"/>
                <w:sz w:val="20"/>
                <w:szCs w:val="20"/>
              </w:rPr>
              <w:t xml:space="preserve">E-Mail: info@fzd-global.de  |  Phone: +49 6221 6736786</w:t>
            </w:r>
          </w:p>
          <w:p>
            <w:pPr>
              <w:spacing w:after="60"/>
            </w:pPr>
            <w:r>
              <w:rPr>
                <w:rFonts w:ascii="Arial" w:cs="Arial" w:eastAsia="Arial" w:hAnsi="Arial"/>
                <w:color w:val="1A3C6E"/>
                <w:sz w:val="20"/>
                <w:szCs w:val="20"/>
              </w:rPr>
              <w:t xml:space="preserve">Handelsregister: [TO BE FILLED]  |  Amtsgericht: [TO BE FILLED]</w:t>
            </w:r>
          </w:p>
          <w:p>
            <w:pPr>
              <w:spacing w:after="60"/>
            </w:pPr>
            <w:r>
              <w:rPr>
                <w:rFonts w:ascii="Arial" w:cs="Arial" w:eastAsia="Arial" w:hAnsi="Arial"/>
                <w:color w:val="1A3C6E"/>
                <w:sz w:val="20"/>
                <w:szCs w:val="20"/>
              </w:rPr>
              <w:t xml:space="preserve">VAT ID (USt-IdNr.): [TO BE FILLED]</w:t>
            </w:r>
          </w:p>
          <w:p>
            <w:pPr>
              <w:spacing w:after="60"/>
            </w:pPr>
            <w:r>
              <w:rPr>
                <w:rFonts w:ascii="Arial" w:cs="Arial" w:eastAsia="Arial" w:hAnsi="Arial"/>
                <w:color w:val="1A3C6E"/>
                <w:sz w:val="20"/>
                <w:szCs w:val="20"/>
              </w:rPr>
              <w:t xml:space="preserve">Managing Director: [TO BE FILLED]</w:t>
            </w:r>
          </w:p>
        </w:tc>
      </w:tr>
    </w:tbl>
    <w:p>
      <w:pPr>
        <w:spacing w:after="160"/>
      </w:pPr>
    </w:p>
    <w:p>
      <w:pPr>
        <w:pStyle w:val="Heading2"/>
        <w:spacing w:after="120" w:before="340"/>
      </w:pPr>
      <w:r>
        <w:rPr>
          <w:rFonts w:ascii="Arial" w:cs="Arial" w:eastAsia="Arial" w:hAnsi="Arial"/>
          <w:b/>
          <w:bCs/>
          <w:color w:val="2E6DB4"/>
          <w:sz w:val="26"/>
          <w:szCs w:val="26"/>
        </w:rPr>
        <w:t xml:space="preserve">§ 1  </w:t>
      </w:r>
      <w:r>
        <w:rPr>
          <w:rFonts w:ascii="Arial" w:cs="Arial" w:eastAsia="Arial" w:hAnsi="Arial"/>
          <w:b/>
          <w:bCs/>
          <w:color w:val="1A3C6E"/>
          <w:sz w:val="26"/>
          <w:szCs w:val="26"/>
        </w:rPr>
        <w:t xml:space="preserve">Scope of Application</w:t>
      </w:r>
    </w:p>
    <w:p>
      <w:pPr>
        <w:spacing w:after="100" w:line="280"/>
      </w:pPr>
      <w:r>
        <w:rPr>
          <w:rFonts w:ascii="Arial" w:cs="Arial" w:eastAsia="Arial" w:hAnsi="Arial"/>
          <w:color w:val="333333"/>
          <w:sz w:val="21"/>
          <w:szCs w:val="21"/>
        </w:rPr>
        <w:t xml:space="preserve">(1)  These GTC apply to all contracts for consulting, data engineering, analytics, business intelligence, AI, automation, governance, and related advisory services (“Services”) concluded between FZD Global GmbH (“FZD” or “Contractor”) and the Client.</w:t>
      </w:r>
    </w:p>
    <w:p>
      <w:pPr>
        <w:spacing w:after="100" w:line="280"/>
      </w:pPr>
      <w:r>
        <w:rPr>
          <w:rFonts w:ascii="Arial" w:cs="Arial" w:eastAsia="Arial" w:hAnsi="Arial"/>
          <w:color w:val="333333"/>
          <w:sz w:val="21"/>
          <w:szCs w:val="21"/>
        </w:rPr>
        <w:t xml:space="preserve">(2)  These GTC apply exclusively to entrepreneurs within the meaning of § 14 BGB (German Civil Code). FZD does not contract with consumers (§ 13 BGB). Any purchase or payment on the website requires the Client to confirm it is acting as a business.</w:t>
      </w:r>
    </w:p>
    <w:p>
      <w:pPr>
        <w:spacing w:after="100" w:line="280"/>
      </w:pPr>
      <w:r>
        <w:rPr>
          <w:rFonts w:ascii="Arial" w:cs="Arial" w:eastAsia="Arial" w:hAnsi="Arial"/>
          <w:color w:val="333333"/>
          <w:sz w:val="21"/>
          <w:szCs w:val="21"/>
        </w:rPr>
        <w:t xml:space="preserve">(3)  Conflicting or deviating general terms and conditions of the Client are hereby rejected and shall not become part of the contract, even if FZD does not object to them again after receiving them.</w:t>
      </w:r>
    </w:p>
    <w:p>
      <w:pPr>
        <w:spacing w:after="100" w:line="280"/>
      </w:pPr>
      <w:r>
        <w:rPr>
          <w:rFonts w:ascii="Arial" w:cs="Arial" w:eastAsia="Arial" w:hAnsi="Arial"/>
          <w:color w:val="333333"/>
          <w:sz w:val="21"/>
          <w:szCs w:val="21"/>
        </w:rPr>
        <w:t xml:space="preserve">(4)  Individual written agreements (“Statement of Work”, “Project Order”, “Service Agreement”) take precedence over these GTC in the event of any conflict.</w:t>
      </w:r>
    </w:p>
    <w:p>
      <w:pPr>
        <w:pStyle w:val="Heading2"/>
        <w:spacing w:after="120" w:before="340"/>
      </w:pPr>
      <w:r>
        <w:rPr>
          <w:rFonts w:ascii="Arial" w:cs="Arial" w:eastAsia="Arial" w:hAnsi="Arial"/>
          <w:b/>
          <w:bCs/>
          <w:color w:val="2E6DB4"/>
          <w:sz w:val="26"/>
          <w:szCs w:val="26"/>
        </w:rPr>
        <w:t xml:space="preserve">§ 2  </w:t>
      </w:r>
      <w:r>
        <w:rPr>
          <w:rFonts w:ascii="Arial" w:cs="Arial" w:eastAsia="Arial" w:hAnsi="Arial"/>
          <w:b/>
          <w:bCs/>
          <w:color w:val="1A3C6E"/>
          <w:sz w:val="26"/>
          <w:szCs w:val="26"/>
        </w:rPr>
        <w:t xml:space="preserve">Conclusion of Contract</w:t>
      </w:r>
    </w:p>
    <w:p>
      <w:pPr>
        <w:spacing w:after="100" w:line="280"/>
      </w:pPr>
      <w:r>
        <w:rPr>
          <w:rFonts w:ascii="Arial" w:cs="Arial" w:eastAsia="Arial" w:hAnsi="Arial"/>
          <w:color w:val="333333"/>
          <w:sz w:val="21"/>
          <w:szCs w:val="21"/>
        </w:rPr>
        <w:t xml:space="preserve">(1)  All descriptions of services on FZD’s website or in proposals are non-binding invitations to submit an offer (invitatio ad offerendum).</w:t>
      </w:r>
    </w:p>
    <w:p>
      <w:pPr>
        <w:spacing w:after="100" w:line="280"/>
      </w:pPr>
      <w:r>
        <w:rPr>
          <w:rFonts w:ascii="Arial" w:cs="Arial" w:eastAsia="Arial" w:hAnsi="Arial"/>
          <w:color w:val="333333"/>
          <w:sz w:val="21"/>
          <w:szCs w:val="21"/>
        </w:rPr>
        <w:t xml:space="preserve">(2)  A binding contract is concluded only when FZD sends a written order confirmation, signs a Statement of Work, or commences performance with the Client’s knowledge and without objection.</w:t>
      </w:r>
    </w:p>
    <w:p>
      <w:pPr>
        <w:spacing w:after="100" w:line="280"/>
      </w:pPr>
      <w:r>
        <w:rPr>
          <w:rFonts w:ascii="Arial" w:cs="Arial" w:eastAsia="Arial" w:hAnsi="Arial"/>
          <w:color w:val="333333"/>
          <w:sz w:val="21"/>
          <w:szCs w:val="21"/>
        </w:rPr>
        <w:t xml:space="preserve">(3)  The Client’s acceptance of a proposal or Statement of Work constitutes the offer; FZD’s written confirmation constitutes acceptance.</w:t>
      </w:r>
    </w:p>
    <w:p>
      <w:pPr>
        <w:pStyle w:val="Heading2"/>
        <w:spacing w:after="120" w:before="340"/>
      </w:pPr>
      <w:r>
        <w:rPr>
          <w:rFonts w:ascii="Arial" w:cs="Arial" w:eastAsia="Arial" w:hAnsi="Arial"/>
          <w:b/>
          <w:bCs/>
          <w:color w:val="2E6DB4"/>
          <w:sz w:val="26"/>
          <w:szCs w:val="26"/>
        </w:rPr>
        <w:t xml:space="preserve">§ 3  </w:t>
      </w:r>
      <w:r>
        <w:rPr>
          <w:rFonts w:ascii="Arial" w:cs="Arial" w:eastAsia="Arial" w:hAnsi="Arial"/>
          <w:b/>
          <w:bCs/>
          <w:color w:val="1A3C6E"/>
          <w:sz w:val="26"/>
          <w:szCs w:val="26"/>
        </w:rPr>
        <w:t xml:space="preserve">Scope of Services</w:t>
      </w:r>
    </w:p>
    <w:p>
      <w:pPr>
        <w:spacing w:after="100" w:line="280"/>
      </w:pPr>
      <w:r>
        <w:rPr>
          <w:rFonts w:ascii="Arial" w:cs="Arial" w:eastAsia="Arial" w:hAnsi="Arial"/>
          <w:color w:val="333333"/>
          <w:sz w:val="21"/>
          <w:szCs w:val="21"/>
        </w:rPr>
        <w:t xml:space="preserve">(1)  The precise scope, deliverables, timelines, and acceptance criteria for each engagement are defined in the applicable Statement of Work (“SoW”) or Project Order agreed by both parties in writing.</w:t>
      </w:r>
    </w:p>
    <w:p>
      <w:pPr>
        <w:spacing w:after="100" w:line="280"/>
      </w:pPr>
      <w:r>
        <w:rPr>
          <w:rFonts w:ascii="Arial" w:cs="Arial" w:eastAsia="Arial" w:hAnsi="Arial"/>
          <w:color w:val="333333"/>
          <w:sz w:val="21"/>
          <w:szCs w:val="21"/>
        </w:rPr>
        <w:t xml:space="preserve">(2)  FZD’s obligations are obligations of means (Dienstvertrag, §§ 611 et seq. BGB) unless the SoW expressly designates a specific result as a guaranteed work product (Werkvertrag, §§ 631 et seq. BGB). Advisory and consulting services are generally classified as service contracts.</w:t>
      </w:r>
    </w:p>
    <w:p>
      <w:pPr>
        <w:spacing w:after="100" w:line="280"/>
      </w:pPr>
      <w:r>
        <w:rPr>
          <w:rFonts w:ascii="Arial" w:cs="Arial" w:eastAsia="Arial" w:hAnsi="Arial"/>
          <w:color w:val="333333"/>
          <w:sz w:val="21"/>
          <w:szCs w:val="21"/>
        </w:rPr>
        <w:t xml:space="preserve">(3)  Changes to the agreed scope require a written change order signed by both parties. FZD is entitled to adjust timelines and fees accordingly.</w:t>
      </w:r>
    </w:p>
    <w:p>
      <w:pPr>
        <w:spacing w:after="100" w:line="280"/>
      </w:pPr>
      <w:r>
        <w:rPr>
          <w:rFonts w:ascii="Arial" w:cs="Arial" w:eastAsia="Arial" w:hAnsi="Arial"/>
          <w:color w:val="333333"/>
          <w:sz w:val="21"/>
          <w:szCs w:val="21"/>
        </w:rPr>
        <w:t xml:space="preserve">(4)  FZD is entitled to engage qualified subcontractors for partial performance. FZD remains fully responsible to the Client for all subcontracted work.</w:t>
      </w:r>
    </w:p>
    <w:p>
      <w:pPr>
        <w:spacing w:after="100" w:line="280"/>
      </w:pPr>
      <w:r>
        <w:rPr>
          <w:rFonts w:ascii="Arial" w:cs="Arial" w:eastAsia="Arial" w:hAnsi="Arial"/>
          <w:color w:val="333333"/>
          <w:sz w:val="21"/>
          <w:szCs w:val="21"/>
        </w:rPr>
        <w:t xml:space="preserve">(5)  The Client shall provide all information, access, data, test environments, and personnel cooperation reasonably necessary for FZD to perform the Services. Delays caused by the Client’s failure to cooperate will extend agreed timelines and may entitle FZD to invoice for waiting time at the applicable day rate.</w:t>
      </w:r>
    </w:p>
    <w:p>
      <w:pPr>
        <w:pStyle w:val="Heading2"/>
        <w:spacing w:after="120" w:before="340"/>
      </w:pPr>
      <w:r>
        <w:rPr>
          <w:rFonts w:ascii="Arial" w:cs="Arial" w:eastAsia="Arial" w:hAnsi="Arial"/>
          <w:b/>
          <w:bCs/>
          <w:color w:val="2E6DB4"/>
          <w:sz w:val="26"/>
          <w:szCs w:val="26"/>
        </w:rPr>
        <w:t xml:space="preserve">§ 4  </w:t>
      </w:r>
      <w:r>
        <w:rPr>
          <w:rFonts w:ascii="Arial" w:cs="Arial" w:eastAsia="Arial" w:hAnsi="Arial"/>
          <w:b/>
          <w:bCs/>
          <w:color w:val="1A3C6E"/>
          <w:sz w:val="26"/>
          <w:szCs w:val="26"/>
        </w:rPr>
        <w:t xml:space="preserve">Fees, Payment, and Default</w:t>
      </w:r>
    </w:p>
    <w:p>
      <w:pPr>
        <w:spacing w:after="100" w:line="280"/>
      </w:pPr>
      <w:r>
        <w:rPr>
          <w:rFonts w:ascii="Arial" w:cs="Arial" w:eastAsia="Arial" w:hAnsi="Arial"/>
          <w:color w:val="333333"/>
          <w:sz w:val="21"/>
          <w:szCs w:val="21"/>
        </w:rPr>
        <w:t xml:space="preserve">(1)  FZD operates two standard pricing models, which are defined in the applicable SoW:</w:t>
      </w:r>
    </w:p>
    <w:p>
      <w:pPr>
        <w:pStyle w:val="ListParagraph"/>
        <w:numPr>
          <w:ilvl w:val="0"/>
          <w:numId w:val="2"/>
        </w:numPr>
        <w:spacing w:after="80"/>
      </w:pPr>
      <w:r>
        <w:rPr>
          <w:rFonts w:ascii="Arial" w:cs="Arial" w:eastAsia="Arial" w:hAnsi="Arial"/>
          <w:color w:val="333333"/>
          <w:sz w:val="21"/>
          <w:szCs w:val="21"/>
        </w:rPr>
        <w:t xml:space="preserve">Fixed-Price Projects: A lump-sum fee for a defined scope and deliverables. Payment is structured in milestones as set out in the SoW (typically 30 % on contract signature, intermediate milestone payments, and a final payment on acceptance or go-live).</w:t>
      </w:r>
    </w:p>
    <w:p>
      <w:pPr>
        <w:pStyle w:val="ListParagraph"/>
        <w:numPr>
          <w:ilvl w:val="0"/>
          <w:numId w:val="2"/>
        </w:numPr>
        <w:spacing w:after="80"/>
      </w:pPr>
      <w:r>
        <w:rPr>
          <w:rFonts w:ascii="Arial" w:cs="Arial" w:eastAsia="Arial" w:hAnsi="Arial"/>
          <w:color w:val="333333"/>
          <w:sz w:val="21"/>
          <w:szCs w:val="21"/>
        </w:rPr>
        <w:t xml:space="preserve">Time &amp; Materials (T&amp;M): Services are invoiced based on actual time spent at the agreed day or hourly rates, plus reimbursable expenses. Invoices are issued monthly in arrears unless agreed otherwise.</w:t>
      </w:r>
    </w:p>
    <w:p>
      <w:pPr>
        <w:spacing w:after="80"/>
      </w:pPr>
    </w:p>
    <w:p>
      <w:pPr>
        <w:spacing w:after="100" w:line="280"/>
      </w:pPr>
      <w:r>
        <w:rPr>
          <w:rFonts w:ascii="Arial" w:cs="Arial" w:eastAsia="Arial" w:hAnsi="Arial"/>
          <w:color w:val="333333"/>
          <w:sz w:val="21"/>
          <w:szCs w:val="21"/>
        </w:rPr>
        <w:t xml:space="preserve">(2)  All prices are stated net of statutory value-added tax (VAT). VAT is added at the applicable rate on each invoice.</w:t>
      </w:r>
    </w:p>
    <w:p>
      <w:pPr>
        <w:spacing w:after="100" w:line="280"/>
      </w:pPr>
      <w:r>
        <w:rPr>
          <w:rFonts w:ascii="Arial" w:cs="Arial" w:eastAsia="Arial" w:hAnsi="Arial"/>
          <w:color w:val="333333"/>
          <w:sz w:val="21"/>
          <w:szCs w:val="21"/>
        </w:rPr>
        <w:t xml:space="preserve">(3)  Invoices are payable within 14 days of the invoice date without deduction, unless a different period is specified in the SoW. Payment is deemed made when the full amount is credited to FZD’s bank account.</w:t>
      </w:r>
    </w:p>
    <w:p>
      <w:pPr>
        <w:spacing w:after="100" w:line="280"/>
      </w:pPr>
      <w:r>
        <w:rPr>
          <w:rFonts w:ascii="Arial" w:cs="Arial" w:eastAsia="Arial" w:hAnsi="Arial"/>
          <w:color w:val="333333"/>
          <w:sz w:val="21"/>
          <w:szCs w:val="21"/>
        </w:rPr>
        <w:t xml:space="preserve">(4)  If the Client fails to pay within the agreed period, the Client enters into default without the need for a reminder (pursuant to § 286 BGB). From the date of default, FZD is entitled to charge default interest at the statutory rate applicable to B2B transactions (§ 288 Abs. 2 BGB: base rate + 9 percentage points p.a., currently 10.27 % p.a. as of 1 July 2025) plus a flat collection fee of EUR 40 pursuant to § 288 Abs. 5 BGB. The right to claim further proven damages is reserved.</w:t>
      </w:r>
    </w:p>
    <w:p>
      <w:pPr>
        <w:spacing w:after="100" w:line="280"/>
      </w:pPr>
      <w:r>
        <w:rPr>
          <w:rFonts w:ascii="Arial" w:cs="Arial" w:eastAsia="Arial" w:hAnsi="Arial"/>
          <w:color w:val="333333"/>
          <w:sz w:val="21"/>
          <w:szCs w:val="21"/>
        </w:rPr>
        <w:t xml:space="preserve">(5)  FZD reserves the right to suspend performance if the Client is more than 30 days overdue on any undisputed invoice, upon 5 business days’ prior written notice.</w:t>
      </w:r>
    </w:p>
    <w:p>
      <w:pPr>
        <w:spacing w:after="100" w:line="280"/>
      </w:pPr>
      <w:r>
        <w:rPr>
          <w:rFonts w:ascii="Arial" w:cs="Arial" w:eastAsia="Arial" w:hAnsi="Arial"/>
          <w:color w:val="333333"/>
          <w:sz w:val="21"/>
          <w:szCs w:val="21"/>
        </w:rPr>
        <w:t xml:space="preserve">(6)  The Client may only offset amounts against FZD’s claims if the counterclaim is undisputed, legally established by a court, or ready for decision. The right of retention is limited to the same contractual relationship.</w:t>
      </w:r>
    </w:p>
    <w:p>
      <w:pPr>
        <w:pStyle w:val="Heading2"/>
        <w:spacing w:after="120" w:before="340"/>
      </w:pPr>
      <w:r>
        <w:rPr>
          <w:rFonts w:ascii="Arial" w:cs="Arial" w:eastAsia="Arial" w:hAnsi="Arial"/>
          <w:b/>
          <w:bCs/>
          <w:color w:val="2E6DB4"/>
          <w:sz w:val="26"/>
          <w:szCs w:val="26"/>
        </w:rPr>
        <w:t xml:space="preserve">§ 5  </w:t>
      </w:r>
      <w:r>
        <w:rPr>
          <w:rFonts w:ascii="Arial" w:cs="Arial" w:eastAsia="Arial" w:hAnsi="Arial"/>
          <w:b/>
          <w:bCs/>
          <w:color w:val="1A3C6E"/>
          <w:sz w:val="26"/>
          <w:szCs w:val="26"/>
        </w:rPr>
        <w:t xml:space="preserve">Intellectual Property and Licence Rights</w:t>
      </w:r>
    </w:p>
    <w:p>
      <w:pPr>
        <w:spacing w:after="100" w:line="280"/>
      </w:pPr>
      <w:r>
        <w:rPr>
          <w:rFonts w:ascii="Arial" w:cs="Arial" w:eastAsia="Arial" w:hAnsi="Arial"/>
          <w:color w:val="333333"/>
          <w:sz w:val="21"/>
          <w:szCs w:val="21"/>
        </w:rPr>
        <w:t xml:space="preserve">(1)  Ownership of intellectual property rights in deliverables is a commercially significant matter and shall be expressly addressed in each SoW. If the SoW is silent, the default rules in paragraphs (2)–(4) apply.</w:t>
      </w:r>
    </w:p>
    <w:p>
      <w:pPr>
        <w:spacing w:after="100" w:line="280"/>
      </w:pPr>
      <w:r>
        <w:rPr>
          <w:rFonts w:ascii="Arial" w:cs="Arial" w:eastAsia="Arial" w:hAnsi="Arial"/>
          <w:color w:val="333333"/>
          <w:sz w:val="21"/>
          <w:szCs w:val="21"/>
        </w:rPr>
        <w:t xml:space="preserve">(2)  Pre-existing IP (background IP): All tools, frameworks, methodologies, templates, code libraries, and know-how developed by FZD prior to or independently of a specific engagement remain the exclusive property of FZD. To the extent FZD incorporates background IP into deliverables, FZD grants the Client a non-exclusive, non-transferable, perpetual licence to use such background IP solely as embedded in the deliverables and solely for the Client’s internal business purposes, conditional on full payment.</w:t>
      </w:r>
    </w:p>
    <w:p>
      <w:pPr>
        <w:spacing w:after="100" w:line="280"/>
      </w:pPr>
      <w:r>
        <w:rPr>
          <w:rFonts w:ascii="Arial" w:cs="Arial" w:eastAsia="Arial" w:hAnsi="Arial"/>
          <w:color w:val="333333"/>
          <w:sz w:val="21"/>
          <w:szCs w:val="21"/>
        </w:rPr>
        <w:t xml:space="preserve">(3)  Project-specific deliverables: Where the SoW expressly provides that the Client shall own project-specific deliverables (foreground IP), such ownership vests in the Client upon receipt of full payment for the relevant deliverable. FZD retains the right to use anonymised, aggregated learnings and methodologies derived from the engagement for its own practice development.</w:t>
      </w:r>
    </w:p>
    <w:p>
      <w:pPr>
        <w:spacing w:after="100" w:line="280"/>
      </w:pPr>
      <w:r>
        <w:rPr>
          <w:rFonts w:ascii="Arial" w:cs="Arial" w:eastAsia="Arial" w:hAnsi="Arial"/>
          <w:color w:val="333333"/>
          <w:sz w:val="21"/>
          <w:szCs w:val="21"/>
        </w:rPr>
        <w:t xml:space="preserve">(4)  If the SoW does not specify ownership, FZD retains all intellectual property rights in the deliverables and grants the Client an exclusive, perpetual, royalty-free licence to use the deliverables for its internal business purposes, conditional on full payment.</w:t>
      </w:r>
    </w:p>
    <w:p>
      <w:pPr>
        <w:spacing w:after="100" w:line="280"/>
      </w:pPr>
      <w:r>
        <w:rPr>
          <w:rFonts w:ascii="Arial" w:cs="Arial" w:eastAsia="Arial" w:hAnsi="Arial"/>
          <w:color w:val="333333"/>
          <w:sz w:val="21"/>
          <w:szCs w:val="21"/>
        </w:rPr>
        <w:t xml:space="preserve">(5)  Third-party components: Where deliverables incorporate open-source software or third-party licensed components, the respective third-party licence terms apply. FZD will disclose material third-party licences in the SoW or project documentation.</w:t>
      </w:r>
    </w:p>
    <w:p>
      <w:pPr>
        <w:spacing w:after="100" w:line="280"/>
      </w:pPr>
      <w:r>
        <w:rPr>
          <w:rFonts w:ascii="Arial" w:cs="Arial" w:eastAsia="Arial" w:hAnsi="Arial"/>
          <w:color w:val="333333"/>
          <w:sz w:val="21"/>
          <w:szCs w:val="21"/>
        </w:rPr>
        <w:t xml:space="preserve">(6)  The Client grants FZD a non-exclusive licence to process, analyse, and transform the Client’s data and materials to the extent necessary to perform the Services.</w:t>
      </w:r>
    </w:p>
    <w:p>
      <w:pPr>
        <w:pStyle w:val="Heading2"/>
        <w:spacing w:after="120" w:before="340"/>
      </w:pPr>
      <w:r>
        <w:rPr>
          <w:rFonts w:ascii="Arial" w:cs="Arial" w:eastAsia="Arial" w:hAnsi="Arial"/>
          <w:b/>
          <w:bCs/>
          <w:color w:val="2E6DB4"/>
          <w:sz w:val="26"/>
          <w:szCs w:val="26"/>
        </w:rPr>
        <w:t xml:space="preserve">§ 6  </w:t>
      </w:r>
      <w:r>
        <w:rPr>
          <w:rFonts w:ascii="Arial" w:cs="Arial" w:eastAsia="Arial" w:hAnsi="Arial"/>
          <w:b/>
          <w:bCs/>
          <w:color w:val="1A3C6E"/>
          <w:sz w:val="26"/>
          <w:szCs w:val="26"/>
        </w:rPr>
        <w:t xml:space="preserve">Confidentiality</w:t>
      </w:r>
    </w:p>
    <w:p>
      <w:pPr>
        <w:spacing w:after="100" w:line="280"/>
      </w:pPr>
      <w:r>
        <w:rPr>
          <w:rFonts w:ascii="Arial" w:cs="Arial" w:eastAsia="Arial" w:hAnsi="Arial"/>
          <w:color w:val="333333"/>
          <w:sz w:val="21"/>
          <w:szCs w:val="21"/>
        </w:rPr>
        <w:t xml:space="preserve">(1)  Each party shall keep confidential all non-public information disclosed by the other party in connection with the engagement (“Confidential Information”) and shall use it exclusively for the purpose of performing or receiving the Services.</w:t>
      </w:r>
    </w:p>
    <w:p>
      <w:pPr>
        <w:spacing w:after="100" w:line="280"/>
      </w:pPr>
      <w:r>
        <w:rPr>
          <w:rFonts w:ascii="Arial" w:cs="Arial" w:eastAsia="Arial" w:hAnsi="Arial"/>
          <w:color w:val="333333"/>
          <w:sz w:val="21"/>
          <w:szCs w:val="21"/>
        </w:rPr>
        <w:t xml:space="preserve">(2)  Confidential Information does not include information that:</w:t>
      </w:r>
    </w:p>
    <w:p>
      <w:pPr>
        <w:pStyle w:val="ListParagraph"/>
        <w:numPr>
          <w:ilvl w:val="0"/>
          <w:numId w:val="3"/>
        </w:numPr>
        <w:spacing w:after="80"/>
      </w:pPr>
      <w:r>
        <w:rPr>
          <w:rFonts w:ascii="Arial" w:cs="Arial" w:eastAsia="Arial" w:hAnsi="Arial"/>
          <w:color w:val="333333"/>
          <w:sz w:val="21"/>
          <w:szCs w:val="21"/>
        </w:rPr>
        <w:t xml:space="preserve">was already publicly known at the time of disclosure or becomes publicly known through no fault of the receiving party;</w:t>
      </w:r>
    </w:p>
    <w:p>
      <w:pPr>
        <w:pStyle w:val="ListParagraph"/>
        <w:numPr>
          <w:ilvl w:val="0"/>
          <w:numId w:val="3"/>
        </w:numPr>
        <w:spacing w:after="80"/>
      </w:pPr>
      <w:r>
        <w:rPr>
          <w:rFonts w:ascii="Arial" w:cs="Arial" w:eastAsia="Arial" w:hAnsi="Arial"/>
          <w:color w:val="333333"/>
          <w:sz w:val="21"/>
          <w:szCs w:val="21"/>
        </w:rPr>
        <w:t xml:space="preserve">was already lawfully known to the receiving party prior to disclosure;</w:t>
      </w:r>
    </w:p>
    <w:p>
      <w:pPr>
        <w:pStyle w:val="ListParagraph"/>
        <w:numPr>
          <w:ilvl w:val="0"/>
          <w:numId w:val="3"/>
        </w:numPr>
        <w:spacing w:after="80"/>
      </w:pPr>
      <w:r>
        <w:rPr>
          <w:rFonts w:ascii="Arial" w:cs="Arial" w:eastAsia="Arial" w:hAnsi="Arial"/>
          <w:color w:val="333333"/>
          <w:sz w:val="21"/>
          <w:szCs w:val="21"/>
        </w:rPr>
        <w:t xml:space="preserve">is received from a third party who is not under a duty of confidentiality; or</w:t>
      </w:r>
    </w:p>
    <w:p>
      <w:pPr>
        <w:pStyle w:val="ListParagraph"/>
        <w:numPr>
          <w:ilvl w:val="0"/>
          <w:numId w:val="3"/>
        </w:numPr>
        <w:spacing w:after="80"/>
      </w:pPr>
      <w:r>
        <w:rPr>
          <w:rFonts w:ascii="Arial" w:cs="Arial" w:eastAsia="Arial" w:hAnsi="Arial"/>
          <w:color w:val="333333"/>
          <w:sz w:val="21"/>
          <w:szCs w:val="21"/>
        </w:rPr>
        <w:t xml:space="preserve">is independently developed without reference to the Confidential Information.</w:t>
      </w:r>
    </w:p>
    <w:p>
      <w:pPr>
        <w:spacing w:after="80"/>
      </w:pPr>
    </w:p>
    <w:p>
      <w:pPr>
        <w:spacing w:after="100" w:line="280"/>
      </w:pPr>
      <w:r>
        <w:rPr>
          <w:rFonts w:ascii="Arial" w:cs="Arial" w:eastAsia="Arial" w:hAnsi="Arial"/>
          <w:color w:val="333333"/>
          <w:sz w:val="21"/>
          <w:szCs w:val="21"/>
        </w:rPr>
        <w:t xml:space="preserve">(3)  Each party shall disclose Confidential Information only to those employees, contractors, or advisors who have a need to know and are bound by equivalent confidentiality obligations.</w:t>
      </w:r>
    </w:p>
    <w:p>
      <w:pPr>
        <w:spacing w:after="100" w:line="280"/>
      </w:pPr>
      <w:r>
        <w:rPr>
          <w:rFonts w:ascii="Arial" w:cs="Arial" w:eastAsia="Arial" w:hAnsi="Arial"/>
          <w:color w:val="333333"/>
          <w:sz w:val="21"/>
          <w:szCs w:val="21"/>
        </w:rPr>
        <w:t xml:space="preserve">(4)  The confidentiality obligation survives termination of the contract for a period of five (5) years.</w:t>
      </w:r>
    </w:p>
    <w:p>
      <w:pPr>
        <w:spacing w:after="100" w:line="280"/>
      </w:pPr>
      <w:r>
        <w:rPr>
          <w:rFonts w:ascii="Arial" w:cs="Arial" w:eastAsia="Arial" w:hAnsi="Arial"/>
          <w:color w:val="333333"/>
          <w:sz w:val="21"/>
          <w:szCs w:val="21"/>
        </w:rPr>
        <w:t xml:space="preserve">(5)  Disclosures required by law, court order, or regulatory authority are permitted provided the disclosing party notifies the other party without undue delay to allow it to seek protective relief where possible.</w:t>
      </w:r>
    </w:p>
    <w:p>
      <w:pPr>
        <w:pStyle w:val="Heading2"/>
        <w:spacing w:after="120" w:before="340"/>
      </w:pPr>
      <w:r>
        <w:rPr>
          <w:rFonts w:ascii="Arial" w:cs="Arial" w:eastAsia="Arial" w:hAnsi="Arial"/>
          <w:b/>
          <w:bCs/>
          <w:color w:val="2E6DB4"/>
          <w:sz w:val="26"/>
          <w:szCs w:val="26"/>
        </w:rPr>
        <w:t xml:space="preserve">§ 7  </w:t>
      </w:r>
      <w:r>
        <w:rPr>
          <w:rFonts w:ascii="Arial" w:cs="Arial" w:eastAsia="Arial" w:hAnsi="Arial"/>
          <w:b/>
          <w:bCs/>
          <w:color w:val="1A3C6E"/>
          <w:sz w:val="26"/>
          <w:szCs w:val="26"/>
        </w:rPr>
        <w:t xml:space="preserve">Data Protection</w:t>
      </w:r>
    </w:p>
    <w:p>
      <w:pPr>
        <w:spacing w:after="100" w:line="280"/>
      </w:pPr>
      <w:r>
        <w:rPr>
          <w:rFonts w:ascii="Arial" w:cs="Arial" w:eastAsia="Arial" w:hAnsi="Arial"/>
          <w:color w:val="333333"/>
          <w:sz w:val="21"/>
          <w:szCs w:val="21"/>
        </w:rPr>
        <w:t xml:space="preserve">(1)  Both parties shall comply with all applicable data protection laws, in particular the EU General Data Protection Regulation (GDPR) and the Federal Data Protection Act (BDSG).</w:t>
      </w:r>
    </w:p>
    <w:p>
      <w:pPr>
        <w:spacing w:after="100" w:line="280"/>
      </w:pPr>
      <w:r>
        <w:rPr>
          <w:rFonts w:ascii="Arial" w:cs="Arial" w:eastAsia="Arial" w:hAnsi="Arial"/>
          <w:color w:val="333333"/>
          <w:sz w:val="21"/>
          <w:szCs w:val="21"/>
        </w:rPr>
        <w:t xml:space="preserve">(2)  Where FZD processes personal data on behalf of the Client in the course of providing the Services (order processing), the parties shall conclude a Data Processing Agreement (“DPA”) pursuant to Art. 28 GDPR prior to the commencement of such processing.</w:t>
      </w:r>
    </w:p>
    <w:p>
      <w:pPr>
        <w:spacing w:after="100" w:line="280"/>
      </w:pPr>
      <w:r>
        <w:rPr>
          <w:rFonts w:ascii="Arial" w:cs="Arial" w:eastAsia="Arial" w:hAnsi="Arial"/>
          <w:color w:val="333333"/>
          <w:sz w:val="21"/>
          <w:szCs w:val="21"/>
        </w:rPr>
        <w:t xml:space="preserve">(3)  FZD’s general data practices are described in the Privacy Policy available at https://fzd-global.de.</w:t>
      </w:r>
    </w:p>
    <w:p>
      <w:pPr>
        <w:pStyle w:val="Heading2"/>
        <w:spacing w:after="120" w:before="340"/>
      </w:pPr>
      <w:r>
        <w:rPr>
          <w:rFonts w:ascii="Arial" w:cs="Arial" w:eastAsia="Arial" w:hAnsi="Arial"/>
          <w:b/>
          <w:bCs/>
          <w:color w:val="2E6DB4"/>
          <w:sz w:val="26"/>
          <w:szCs w:val="26"/>
        </w:rPr>
        <w:t xml:space="preserve">§ 8  </w:t>
      </w:r>
      <w:r>
        <w:rPr>
          <w:rFonts w:ascii="Arial" w:cs="Arial" w:eastAsia="Arial" w:hAnsi="Arial"/>
          <w:b/>
          <w:bCs/>
          <w:color w:val="1A3C6E"/>
          <w:sz w:val="26"/>
          <w:szCs w:val="26"/>
        </w:rPr>
        <w:t xml:space="preserve">Liability</w:t>
      </w:r>
    </w:p>
    <w:p>
      <w:pPr>
        <w:spacing w:after="100" w:line="280"/>
      </w:pPr>
      <w:r>
        <w:rPr>
          <w:rFonts w:ascii="Arial" w:cs="Arial" w:eastAsia="Arial" w:hAnsi="Arial"/>
          <w:color w:val="333333"/>
          <w:sz w:val="21"/>
          <w:szCs w:val="21"/>
        </w:rPr>
        <w:t xml:space="preserve">(1)  FZD’s liability for damages is governed by the following provisions, which reflect the current state of German law on AGB liability limitations in B2B contracts.</w:t>
      </w:r>
    </w:p>
    <w:p>
      <w:pPr>
        <w:spacing w:after="100" w:line="280"/>
      </w:pPr>
      <w:r>
        <w:rPr>
          <w:rFonts w:ascii="Arial" w:cs="Arial" w:eastAsia="Arial" w:hAnsi="Arial"/>
          <w:color w:val="333333"/>
          <w:sz w:val="21"/>
          <w:szCs w:val="21"/>
        </w:rPr>
        <w:t xml:space="preserve">(2)  Unlimited liability: FZD is fully liable without limitation for:</w:t>
      </w:r>
    </w:p>
    <w:p>
      <w:pPr>
        <w:pStyle w:val="ListParagraph"/>
        <w:numPr>
          <w:ilvl w:val="0"/>
          <w:numId w:val="4"/>
        </w:numPr>
        <w:spacing w:after="80"/>
      </w:pPr>
      <w:r>
        <w:rPr>
          <w:rFonts w:ascii="Arial" w:cs="Arial" w:eastAsia="Arial" w:hAnsi="Arial"/>
          <w:color w:val="333333"/>
          <w:sz w:val="21"/>
          <w:szCs w:val="21"/>
        </w:rPr>
        <w:t xml:space="preserve">damages caused by intent (Vorsatz) or gross negligence (grobe Fahrlässigkeit);</w:t>
      </w:r>
    </w:p>
    <w:p>
      <w:pPr>
        <w:pStyle w:val="ListParagraph"/>
        <w:numPr>
          <w:ilvl w:val="0"/>
          <w:numId w:val="4"/>
        </w:numPr>
        <w:spacing w:after="80"/>
      </w:pPr>
      <w:r>
        <w:rPr>
          <w:rFonts w:ascii="Arial" w:cs="Arial" w:eastAsia="Arial" w:hAnsi="Arial"/>
          <w:color w:val="333333"/>
          <w:sz w:val="21"/>
          <w:szCs w:val="21"/>
        </w:rPr>
        <w:t xml:space="preserve">injury to life, body, or health;</w:t>
      </w:r>
    </w:p>
    <w:p>
      <w:pPr>
        <w:pStyle w:val="ListParagraph"/>
        <w:numPr>
          <w:ilvl w:val="0"/>
          <w:numId w:val="4"/>
        </w:numPr>
        <w:spacing w:after="80"/>
      </w:pPr>
      <w:r>
        <w:rPr>
          <w:rFonts w:ascii="Arial" w:cs="Arial" w:eastAsia="Arial" w:hAnsi="Arial"/>
          <w:color w:val="333333"/>
          <w:sz w:val="21"/>
          <w:szCs w:val="21"/>
        </w:rPr>
        <w:t xml:space="preserve">liability under the German Product Liability Act (ProdHaftG);</w:t>
      </w:r>
    </w:p>
    <w:p>
      <w:pPr>
        <w:pStyle w:val="ListParagraph"/>
        <w:numPr>
          <w:ilvl w:val="0"/>
          <w:numId w:val="4"/>
        </w:numPr>
        <w:spacing w:after="80"/>
      </w:pPr>
      <w:r>
        <w:rPr>
          <w:rFonts w:ascii="Arial" w:cs="Arial" w:eastAsia="Arial" w:hAnsi="Arial"/>
          <w:color w:val="333333"/>
          <w:sz w:val="21"/>
          <w:szCs w:val="21"/>
        </w:rPr>
        <w:t xml:space="preserve">fraudulent concealment of a defect; and</w:t>
      </w:r>
    </w:p>
    <w:p>
      <w:pPr>
        <w:pStyle w:val="ListParagraph"/>
        <w:numPr>
          <w:ilvl w:val="0"/>
          <w:numId w:val="4"/>
        </w:numPr>
        <w:spacing w:after="80"/>
      </w:pPr>
      <w:r>
        <w:rPr>
          <w:rFonts w:ascii="Arial" w:cs="Arial" w:eastAsia="Arial" w:hAnsi="Arial"/>
          <w:color w:val="333333"/>
          <w:sz w:val="21"/>
          <w:szCs w:val="21"/>
        </w:rPr>
        <w:t xml:space="preserve">any other mandatory statutory liability that cannot be excluded by contract.</w:t>
      </w:r>
    </w:p>
    <w:p>
      <w:pPr>
        <w:spacing w:after="80"/>
      </w:pPr>
    </w:p>
    <w:p>
      <w:pPr>
        <w:spacing w:after="100" w:line="280"/>
      </w:pPr>
      <w:r>
        <w:rPr>
          <w:rFonts w:ascii="Arial" w:cs="Arial" w:eastAsia="Arial" w:hAnsi="Arial"/>
          <w:color w:val="333333"/>
          <w:sz w:val="21"/>
          <w:szCs w:val="21"/>
        </w:rPr>
        <w:t xml:space="preserve">(3)  Limitation for slight negligence: For damages caused by slight negligence (leichte Fahrlässigkeit), FZD is only liable if a material contractual obligation (Kardinalpflicht) has been breached — i.e. an obligation whose fulfilment is essential to the proper performance of the contract and on which the Client regularly relies. In such cases, liability is limited to the foreseeable, contract-typical damage.</w:t>
      </w:r>
    </w:p>
    <w:p>
      <w:pPr>
        <w:spacing w:after="100" w:line="280"/>
      </w:pPr>
      <w:r>
        <w:rPr>
          <w:rFonts w:ascii="Arial" w:cs="Arial" w:eastAsia="Arial" w:hAnsi="Arial"/>
          <w:color w:val="333333"/>
          <w:sz w:val="21"/>
          <w:szCs w:val="21"/>
        </w:rPr>
        <w:t xml:space="preserve">(4)  Exclusion for slight negligence on non-cardinal duties: FZD’s liability for slight negligence in respect of non-cardinal duties is excluded to the extent permitted by law.</w:t>
      </w:r>
    </w:p>
    <w:p>
      <w:pPr>
        <w:spacing w:after="100" w:line="280"/>
      </w:pPr>
      <w:r>
        <w:rPr>
          <w:rFonts w:ascii="Arial" w:cs="Arial" w:eastAsia="Arial" w:hAnsi="Arial"/>
          <w:color w:val="333333"/>
          <w:sz w:val="21"/>
          <w:szCs w:val="21"/>
        </w:rPr>
        <w:t xml:space="preserve">(5)  Consequential and indirect damages: To the extent that liability for slight negligence is not already excluded under paragraph (4), liability for loss of profit, indirect damages, or consequential damages is excluded unless caused by wilful misconduct or gross negligence.</w:t>
      </w:r>
    </w:p>
    <w:p>
      <w:pPr>
        <w:spacing w:after="100" w:line="280"/>
      </w:pPr>
      <w:r>
        <w:rPr>
          <w:rFonts w:ascii="Arial" w:cs="Arial" w:eastAsia="Arial" w:hAnsi="Arial"/>
          <w:color w:val="333333"/>
          <w:sz w:val="21"/>
          <w:szCs w:val="21"/>
        </w:rPr>
        <w:t xml:space="preserve">(6)  Aggregate cap: Where liability for slight negligence on Kardinalpflichten is established, the aggregate liability per project engagement is limited to the total fees paid by the Client under the relevant SoW, unless the damage was caused by gross negligence or intent.</w:t>
      </w:r>
    </w:p>
    <w:p>
      <w:pPr>
        <w:spacing w:after="100" w:line="280"/>
      </w:pPr>
      <w:r>
        <w:rPr>
          <w:rFonts w:ascii="Arial" w:cs="Arial" w:eastAsia="Arial" w:hAnsi="Arial"/>
          <w:color w:val="333333"/>
          <w:sz w:val="21"/>
          <w:szCs w:val="21"/>
        </w:rPr>
        <w:t xml:space="preserve">(7)  Limitation period: Claims for defects in services classified as Werkvertrag expire in 12 months from acceptance, unless caused by intent or fraudulent concealment, in which case the statutory period applies. This does not apply to injury to life, body, or health.</w:t>
      </w:r>
    </w:p>
    <w:p>
      <w:pPr>
        <w:spacing w:after="100" w:line="280"/>
      </w:pPr>
      <w:r>
        <w:rPr>
          <w:rFonts w:ascii="Arial" w:cs="Arial" w:eastAsia="Arial" w:hAnsi="Arial"/>
          <w:color w:val="333333"/>
          <w:sz w:val="21"/>
          <w:szCs w:val="21"/>
        </w:rPr>
        <w:t xml:space="preserve">(8)  The Client is responsible for implementing appropriate backup and recovery procedures for its own data. FZD’s liability for data loss is limited to the cost of recovery from the most recent backup that the Client should have made under reasonable data management practices.</w:t>
      </w:r>
    </w:p>
    <w:p>
      <w:pPr>
        <w:pStyle w:val="Heading2"/>
        <w:spacing w:after="120" w:before="340"/>
      </w:pPr>
      <w:r>
        <w:rPr>
          <w:rFonts w:ascii="Arial" w:cs="Arial" w:eastAsia="Arial" w:hAnsi="Arial"/>
          <w:b/>
          <w:bCs/>
          <w:color w:val="2E6DB4"/>
          <w:sz w:val="26"/>
          <w:szCs w:val="26"/>
        </w:rPr>
        <w:t xml:space="preserve">§ 9  </w:t>
      </w:r>
      <w:r>
        <w:rPr>
          <w:rFonts w:ascii="Arial" w:cs="Arial" w:eastAsia="Arial" w:hAnsi="Arial"/>
          <w:b/>
          <w:bCs/>
          <w:color w:val="1A3C6E"/>
          <w:sz w:val="26"/>
          <w:szCs w:val="26"/>
        </w:rPr>
        <w:t xml:space="preserve">Force Majeure</w:t>
      </w:r>
    </w:p>
    <w:p>
      <w:pPr>
        <w:spacing w:after="100" w:line="280"/>
      </w:pPr>
      <w:r>
        <w:rPr>
          <w:rFonts w:ascii="Arial" w:cs="Arial" w:eastAsia="Arial" w:hAnsi="Arial"/>
          <w:color w:val="333333"/>
          <w:sz w:val="21"/>
          <w:szCs w:val="21"/>
        </w:rPr>
        <w:t xml:space="preserve">(1)  Neither party shall be liable for failure or delay in performing its obligations if such failure or delay is caused by circumstances beyond its reasonable control, including but not limited to acts of God, war, pandemic, governmental restrictions, power outages, or failures of third-party infrastructure (“Force Majeure Event”).</w:t>
      </w:r>
    </w:p>
    <w:p>
      <w:pPr>
        <w:spacing w:after="100" w:line="280"/>
      </w:pPr>
      <w:r>
        <w:rPr>
          <w:rFonts w:ascii="Arial" w:cs="Arial" w:eastAsia="Arial" w:hAnsi="Arial"/>
          <w:color w:val="333333"/>
          <w:sz w:val="21"/>
          <w:szCs w:val="21"/>
        </w:rPr>
        <w:t xml:space="preserve">(2)  The affected party shall notify the other party without undue delay and use commercially reasonable efforts to mitigate the impact. If a Force Majeure Event continues for more than 60 consecutive calendar days, either party may terminate the affected SoW by written notice without liability, save that the Client shall pay for Services properly performed up to the date of termination.</w:t>
      </w:r>
    </w:p>
    <w:p>
      <w:pPr>
        <w:pStyle w:val="Heading2"/>
        <w:spacing w:after="120" w:before="340"/>
      </w:pPr>
      <w:r>
        <w:rPr>
          <w:rFonts w:ascii="Arial" w:cs="Arial" w:eastAsia="Arial" w:hAnsi="Arial"/>
          <w:b/>
          <w:bCs/>
          <w:color w:val="2E6DB4"/>
          <w:sz w:val="26"/>
          <w:szCs w:val="26"/>
        </w:rPr>
        <w:t xml:space="preserve">§ 10  </w:t>
      </w:r>
      <w:r>
        <w:rPr>
          <w:rFonts w:ascii="Arial" w:cs="Arial" w:eastAsia="Arial" w:hAnsi="Arial"/>
          <w:b/>
          <w:bCs/>
          <w:color w:val="1A3C6E"/>
          <w:sz w:val="26"/>
          <w:szCs w:val="26"/>
        </w:rPr>
        <w:t xml:space="preserve">Non-Solicitation</w:t>
      </w:r>
    </w:p>
    <w:p>
      <w:pPr>
        <w:spacing w:after="100" w:line="280"/>
      </w:pPr>
      <w:r>
        <w:rPr>
          <w:rFonts w:ascii="Arial" w:cs="Arial" w:eastAsia="Arial" w:hAnsi="Arial"/>
          <w:color w:val="333333"/>
          <w:sz w:val="21"/>
          <w:szCs w:val="21"/>
        </w:rPr>
        <w:t xml:space="preserve">(1)  During the term of any active engagement and for twelve (12) months thereafter, neither party shall directly solicit or recruit for employment the other party’s employees or key subcontractors who were personally involved in the engagement, without prior written consent.</w:t>
      </w:r>
    </w:p>
    <w:p>
      <w:pPr>
        <w:spacing w:after="100" w:line="280"/>
      </w:pPr>
      <w:r>
        <w:rPr>
          <w:rFonts w:ascii="Arial" w:cs="Arial" w:eastAsia="Arial" w:hAnsi="Arial"/>
          <w:color w:val="333333"/>
          <w:sz w:val="21"/>
          <w:szCs w:val="21"/>
        </w:rPr>
        <w:t xml:space="preserve">(2)  General public job advertising not targeted at the other party’s personnel does not constitute a breach of this clause.</w:t>
      </w:r>
    </w:p>
    <w:p>
      <w:pPr>
        <w:pStyle w:val="Heading2"/>
        <w:spacing w:after="120" w:before="340"/>
      </w:pPr>
      <w:r>
        <w:rPr>
          <w:rFonts w:ascii="Arial" w:cs="Arial" w:eastAsia="Arial" w:hAnsi="Arial"/>
          <w:b/>
          <w:bCs/>
          <w:color w:val="2E6DB4"/>
          <w:sz w:val="26"/>
          <w:szCs w:val="26"/>
        </w:rPr>
        <w:t xml:space="preserve">§ 11  </w:t>
      </w:r>
      <w:r>
        <w:rPr>
          <w:rFonts w:ascii="Arial" w:cs="Arial" w:eastAsia="Arial" w:hAnsi="Arial"/>
          <w:b/>
          <w:bCs/>
          <w:color w:val="1A3C6E"/>
          <w:sz w:val="26"/>
          <w:szCs w:val="26"/>
        </w:rPr>
        <w:t xml:space="preserve">Reference and Portfolio</w:t>
      </w:r>
    </w:p>
    <w:p>
      <w:pPr>
        <w:spacing w:after="100" w:line="280"/>
      </w:pPr>
      <w:r>
        <w:rPr>
          <w:rFonts w:ascii="Arial" w:cs="Arial" w:eastAsia="Arial" w:hAnsi="Arial"/>
          <w:color w:val="333333"/>
          <w:sz w:val="21"/>
          <w:szCs w:val="21"/>
        </w:rPr>
        <w:t xml:space="preserve">FZD may, unless the Client expressly objects in writing, name the Client as a reference client and describe the nature of the engagement (without disclosing confidential project details) in FZD’s marketing materials, website, and pitch decks. The Client may revoke this permission in writing at any time with effect for the future.</w:t>
      </w:r>
    </w:p>
    <w:p>
      <w:pPr>
        <w:pStyle w:val="Heading2"/>
        <w:spacing w:after="120" w:before="340"/>
      </w:pPr>
      <w:r>
        <w:rPr>
          <w:rFonts w:ascii="Arial" w:cs="Arial" w:eastAsia="Arial" w:hAnsi="Arial"/>
          <w:b/>
          <w:bCs/>
          <w:color w:val="2E6DB4"/>
          <w:sz w:val="26"/>
          <w:szCs w:val="26"/>
        </w:rPr>
        <w:t xml:space="preserve">§ 12  </w:t>
      </w:r>
      <w:r>
        <w:rPr>
          <w:rFonts w:ascii="Arial" w:cs="Arial" w:eastAsia="Arial" w:hAnsi="Arial"/>
          <w:b/>
          <w:bCs/>
          <w:color w:val="1A3C6E"/>
          <w:sz w:val="26"/>
          <w:szCs w:val="26"/>
        </w:rPr>
        <w:t xml:space="preserve">Term and Termination</w:t>
      </w:r>
    </w:p>
    <w:p>
      <w:pPr>
        <w:spacing w:after="100" w:line="280"/>
      </w:pPr>
      <w:r>
        <w:rPr>
          <w:rFonts w:ascii="Arial" w:cs="Arial" w:eastAsia="Arial" w:hAnsi="Arial"/>
          <w:color w:val="333333"/>
          <w:sz w:val="21"/>
          <w:szCs w:val="21"/>
        </w:rPr>
        <w:t xml:space="preserve">(1)  Each engagement commences on the date specified in the SoW and continues until completion of the agreed deliverables or the expiry of the agreed term.</w:t>
      </w:r>
    </w:p>
    <w:p>
      <w:pPr>
        <w:spacing w:after="100" w:line="280"/>
      </w:pPr>
      <w:r>
        <w:rPr>
          <w:rFonts w:ascii="Arial" w:cs="Arial" w:eastAsia="Arial" w:hAnsi="Arial"/>
          <w:color w:val="333333"/>
          <w:sz w:val="21"/>
          <w:szCs w:val="21"/>
        </w:rPr>
        <w:t xml:space="preserve">(2)  Either party may terminate an engagement for cause (außerordentliche Kündigung) with immediate effect if:</w:t>
      </w:r>
    </w:p>
    <w:p>
      <w:pPr>
        <w:pStyle w:val="ListParagraph"/>
        <w:numPr>
          <w:ilvl w:val="0"/>
          <w:numId w:val="5"/>
        </w:numPr>
        <w:spacing w:after="80"/>
      </w:pPr>
      <w:r>
        <w:rPr>
          <w:rFonts w:ascii="Arial" w:cs="Arial" w:eastAsia="Arial" w:hAnsi="Arial"/>
          <w:color w:val="333333"/>
          <w:sz w:val="21"/>
          <w:szCs w:val="21"/>
        </w:rPr>
        <w:t xml:space="preserve">the other party materially breaches the contract and fails to cure the breach within 14 calendar days of written notice;</w:t>
      </w:r>
    </w:p>
    <w:p>
      <w:pPr>
        <w:pStyle w:val="ListParagraph"/>
        <w:numPr>
          <w:ilvl w:val="0"/>
          <w:numId w:val="5"/>
        </w:numPr>
        <w:spacing w:after="80"/>
      </w:pPr>
      <w:r>
        <w:rPr>
          <w:rFonts w:ascii="Arial" w:cs="Arial" w:eastAsia="Arial" w:hAnsi="Arial"/>
          <w:color w:val="333333"/>
          <w:sz w:val="21"/>
          <w:szCs w:val="21"/>
        </w:rPr>
        <w:t xml:space="preserve">insolvency proceedings are opened against the other party’s assets, or such proceedings are rejected for lack of assets.</w:t>
      </w:r>
    </w:p>
    <w:p>
      <w:pPr>
        <w:spacing w:after="80"/>
      </w:pPr>
    </w:p>
    <w:p>
      <w:pPr>
        <w:spacing w:after="100" w:line="280"/>
      </w:pPr>
      <w:r>
        <w:rPr>
          <w:rFonts w:ascii="Arial" w:cs="Arial" w:eastAsia="Arial" w:hAnsi="Arial"/>
          <w:color w:val="333333"/>
          <w:sz w:val="21"/>
          <w:szCs w:val="21"/>
        </w:rPr>
        <w:t xml:space="preserve">(3)  For T&amp;M engagements without a fixed end date, either party may terminate with 30 days’ written notice to the end of a calendar month, unless a different notice period is specified in the SoW.</w:t>
      </w:r>
    </w:p>
    <w:p>
      <w:pPr>
        <w:spacing w:after="100" w:line="280"/>
      </w:pPr>
      <w:r>
        <w:rPr>
          <w:rFonts w:ascii="Arial" w:cs="Arial" w:eastAsia="Arial" w:hAnsi="Arial"/>
          <w:color w:val="333333"/>
          <w:sz w:val="21"/>
          <w:szCs w:val="21"/>
        </w:rPr>
        <w:t xml:space="preserve">(4)  Upon termination for any reason: (i) the Client shall pay for all Services performed up to the effective date of termination at the agreed rates; (ii) each party shall return or destroy the other party’s Confidential Information upon request; (iii) any licence granted under § 5 is conditional on full payment having been received.</w:t>
      </w:r>
    </w:p>
    <w:p>
      <w:pPr>
        <w:pStyle w:val="Heading2"/>
        <w:spacing w:after="120" w:before="340"/>
      </w:pPr>
      <w:r>
        <w:rPr>
          <w:rFonts w:ascii="Arial" w:cs="Arial" w:eastAsia="Arial" w:hAnsi="Arial"/>
          <w:b/>
          <w:bCs/>
          <w:color w:val="2E6DB4"/>
          <w:sz w:val="26"/>
          <w:szCs w:val="26"/>
        </w:rPr>
        <w:t xml:space="preserve">§ 13  </w:t>
      </w:r>
      <w:r>
        <w:rPr>
          <w:rFonts w:ascii="Arial" w:cs="Arial" w:eastAsia="Arial" w:hAnsi="Arial"/>
          <w:b/>
          <w:bCs/>
          <w:color w:val="1A3C6E"/>
          <w:sz w:val="26"/>
          <w:szCs w:val="26"/>
        </w:rPr>
        <w:t xml:space="preserve">Amendments to These GTC</w:t>
      </w:r>
    </w:p>
    <w:p>
      <w:pPr>
        <w:spacing w:after="100" w:line="280"/>
      </w:pPr>
      <w:r>
        <w:rPr>
          <w:rFonts w:ascii="Arial" w:cs="Arial" w:eastAsia="Arial" w:hAnsi="Arial"/>
          <w:color w:val="333333"/>
          <w:sz w:val="21"/>
          <w:szCs w:val="21"/>
        </w:rPr>
        <w:t xml:space="preserve">(1)  FZD reserves the right to amend these GTC. Amendments will be communicated to the Client in text form at least 30 days before they take effect.</w:t>
      </w:r>
    </w:p>
    <w:p>
      <w:pPr>
        <w:spacing w:after="100" w:line="280"/>
      </w:pPr>
      <w:r>
        <w:rPr>
          <w:rFonts w:ascii="Arial" w:cs="Arial" w:eastAsia="Arial" w:hAnsi="Arial"/>
          <w:color w:val="333333"/>
          <w:sz w:val="21"/>
          <w:szCs w:val="21"/>
        </w:rPr>
        <w:t xml:space="preserve">(2)  Amendments are deemed accepted if the Client does not object in writing within 30 days of receipt of the notification and continues to use FZD’s services. FZD will draw the Client’s attention to this deemed-acceptance mechanism in the notification.</w:t>
      </w:r>
    </w:p>
    <w:p>
      <w:pPr>
        <w:pStyle w:val="Heading2"/>
        <w:spacing w:after="120" w:before="340"/>
      </w:pPr>
      <w:r>
        <w:rPr>
          <w:rFonts w:ascii="Arial" w:cs="Arial" w:eastAsia="Arial" w:hAnsi="Arial"/>
          <w:b/>
          <w:bCs/>
          <w:color w:val="2E6DB4"/>
          <w:sz w:val="26"/>
          <w:szCs w:val="26"/>
        </w:rPr>
        <w:t xml:space="preserve">§ 14  </w:t>
      </w:r>
      <w:r>
        <w:rPr>
          <w:rFonts w:ascii="Arial" w:cs="Arial" w:eastAsia="Arial" w:hAnsi="Arial"/>
          <w:b/>
          <w:bCs/>
          <w:color w:val="1A3C6E"/>
          <w:sz w:val="26"/>
          <w:szCs w:val="26"/>
        </w:rPr>
        <w:t xml:space="preserve">Governing Law and Jurisdiction</w:t>
      </w:r>
    </w:p>
    <w:p>
      <w:pPr>
        <w:spacing w:after="100" w:line="280"/>
      </w:pPr>
      <w:r>
        <w:rPr>
          <w:rFonts w:ascii="Arial" w:cs="Arial" w:eastAsia="Arial" w:hAnsi="Arial"/>
          <w:color w:val="333333"/>
          <w:sz w:val="21"/>
          <w:szCs w:val="21"/>
        </w:rPr>
        <w:t xml:space="preserve">(1)  These GTC and all contracts concluded under them are governed exclusively by the law of the Federal Republic of Germany, excluding the UN Convention on Contracts for the International Sale of Goods (CISG).</w:t>
      </w:r>
    </w:p>
    <w:p>
      <w:pPr>
        <w:spacing w:after="100" w:line="280"/>
      </w:pPr>
      <w:r>
        <w:rPr>
          <w:rFonts w:ascii="Arial" w:cs="Arial" w:eastAsia="Arial" w:hAnsi="Arial"/>
          <w:color w:val="333333"/>
          <w:sz w:val="21"/>
          <w:szCs w:val="21"/>
        </w:rPr>
        <w:t xml:space="preserve">(2)  The exclusive place of jurisdiction for all disputes arising from or in connection with these GTC or any contract concluded under them is Heidelberg, Germany, provided the Client is a merchant (Kaufmann), a legal entity under public law, or a public-law special fund. FZD also reserves the right to bring proceedings at the Client’s place of business.</w:t>
      </w:r>
    </w:p>
    <w:p>
      <w:pPr>
        <w:pStyle w:val="Heading2"/>
        <w:spacing w:after="120" w:before="340"/>
      </w:pPr>
      <w:r>
        <w:rPr>
          <w:rFonts w:ascii="Arial" w:cs="Arial" w:eastAsia="Arial" w:hAnsi="Arial"/>
          <w:b/>
          <w:bCs/>
          <w:color w:val="2E6DB4"/>
          <w:sz w:val="26"/>
          <w:szCs w:val="26"/>
        </w:rPr>
        <w:t xml:space="preserve">§ 15  </w:t>
      </w:r>
      <w:r>
        <w:rPr>
          <w:rFonts w:ascii="Arial" w:cs="Arial" w:eastAsia="Arial" w:hAnsi="Arial"/>
          <w:b/>
          <w:bCs/>
          <w:color w:val="1A3C6E"/>
          <w:sz w:val="26"/>
          <w:szCs w:val="26"/>
        </w:rPr>
        <w:t xml:space="preserve">Miscellaneous</w:t>
      </w:r>
    </w:p>
    <w:p>
      <w:pPr>
        <w:spacing w:after="100" w:line="280"/>
      </w:pPr>
      <w:r>
        <w:rPr>
          <w:rFonts w:ascii="Arial" w:cs="Arial" w:eastAsia="Arial" w:hAnsi="Arial"/>
          <w:color w:val="333333"/>
          <w:sz w:val="21"/>
          <w:szCs w:val="21"/>
        </w:rPr>
        <w:t xml:space="preserve">(1)  Severability: If any provision of these GTC is or becomes invalid or unenforceable, the remaining provisions remain in full force. The parties shall replace the invalid provision with a valid provision that most closely reflects the commercial intent of the original.</w:t>
      </w:r>
    </w:p>
    <w:p>
      <w:pPr>
        <w:spacing w:after="100" w:line="280"/>
      </w:pPr>
      <w:r>
        <w:rPr>
          <w:rFonts w:ascii="Arial" w:cs="Arial" w:eastAsia="Arial" w:hAnsi="Arial"/>
          <w:color w:val="333333"/>
          <w:sz w:val="21"/>
          <w:szCs w:val="21"/>
        </w:rPr>
        <w:t xml:space="preserve">(2)  Written form: Amendments, supplements, and waivers of these GTC require written form. This also applies to any waiver of this written-form requirement. Electronic text form (e-mail, PDF) satisfies the written-form requirement for the purposes of these GTC unless a notarised or certified document is required by law.</w:t>
      </w:r>
    </w:p>
    <w:p>
      <w:pPr>
        <w:spacing w:after="100" w:line="280"/>
      </w:pPr>
      <w:r>
        <w:rPr>
          <w:rFonts w:ascii="Arial" w:cs="Arial" w:eastAsia="Arial" w:hAnsi="Arial"/>
          <w:color w:val="333333"/>
          <w:sz w:val="21"/>
          <w:szCs w:val="21"/>
        </w:rPr>
        <w:t xml:space="preserve">(3)  Entire agreement: These GTC together with the applicable SoW constitute the entire agreement between the parties with respect to the subject matter and supersede all prior agreements, representations, and understandings.</w:t>
      </w:r>
    </w:p>
    <w:p>
      <w:pPr>
        <w:spacing w:after="80"/>
      </w:pPr>
    </w:p>
    <w:p>
      <w:pPr>
        <w:pBdr>
          <w:bottom w:val="single" w:color="C5D8EE" w:sz="4" w:space="1"/>
        </w:pBdr>
        <w:spacing w:after="60" w:before="60"/>
      </w:pPr>
    </w:p>
    <w:p>
      <w:pPr>
        <w:spacing w:after="200"/>
      </w:pPr>
    </w:p>
    <w:p>
      <w:pPr>
        <w:spacing w:after="60" w:before="0"/>
      </w:pPr>
      <w:r>
        <w:rPr>
          <w:rFonts w:ascii="Arial" w:cs="Arial" w:eastAsia="Arial" w:hAnsi="Arial"/>
          <w:b/>
          <w:bCs/>
          <w:caps/>
          <w:color w:val="666666"/>
          <w:sz w:val="18"/>
          <w:szCs w:val="18"/>
        </w:rPr>
        <w:t xml:space="preserve">FZD GLOBAL GMBH</w:t>
      </w:r>
    </w:p>
    <w:p>
      <w:pPr>
        <w:pStyle w:val="Heading1"/>
        <w:spacing w:after="100" w:before="0"/>
      </w:pPr>
      <w:r>
        <w:rPr>
          <w:rFonts w:ascii="Arial" w:cs="Arial" w:eastAsia="Arial" w:hAnsi="Arial"/>
          <w:b/>
          <w:bCs/>
          <w:color w:val="1A3C6E"/>
          <w:sz w:val="38"/>
          <w:szCs w:val="38"/>
        </w:rPr>
        <w:t xml:space="preserve">Allgemeine Geschäftsbedingungen (AGB)</w:t>
      </w:r>
    </w:p>
    <w:p>
      <w:pPr>
        <w:spacing w:after="60"/>
      </w:pPr>
      <w:r>
        <w:rPr>
          <w:rFonts w:ascii="Arial" w:cs="Arial" w:eastAsia="Arial" w:hAnsi="Arial"/>
          <w:i/>
          <w:iCs/>
          <w:color w:val="666666"/>
          <w:sz w:val="20"/>
          <w:szCs w:val="20"/>
        </w:rPr>
        <w:t xml:space="preserve">Deutsche Version  |  Gültig ab: Mai 2026</w:t>
      </w:r>
    </w:p>
    <w:p>
      <w:pPr>
        <w:spacing w:after="100" w:line="280"/>
      </w:pPr>
      <w:r>
        <w:rPr>
          <w:rFonts w:ascii="Arial" w:cs="Arial" w:eastAsia="Arial" w:hAnsi="Arial"/>
          <w:color w:val="333333"/>
          <w:sz w:val="21"/>
          <w:szCs w:val="21"/>
        </w:rPr>
        <w:t xml:space="preserve">Diese Allgemeinen Geschäftsbedingungen („AGB“) gelten ausschließlich für alle Beratungs-, Daten-, Technologie- und verwandten Dienstleistungen, die von der FZD Global GmbH an Geschäftskunden erbracht werden. Sie regeln das Vertragsverhältnis zwischen den Parteien, sofern keine individuelle Schriftliche Vereinbarung ausdrücklich von ihnen abweicht.</w:t>
      </w:r>
    </w:p>
    <w:p>
      <w:pPr>
        <w:pBdr>
          <w:bottom w:val="single" w:color="C5D8EE" w:sz="4" w:space="1"/>
        </w:pBdr>
        <w:spacing w:after="60" w:before="60"/>
      </w:pP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ABFE0" w:sz="2"/>
              <w:left w:val="single" w:color="9ABFE0" w:sz="2"/>
              <w:bottom w:val="single" w:color="9ABFE0" w:sz="2"/>
              <w:right w:val="single" w:color="9ABFE0" w:sz="2"/>
            </w:tcBorders>
            <w:shd w:fill="EBF2FA" w:val="clear"/>
            <w:tcMar>
              <w:top w:type="dxa" w:w="120"/>
              <w:left w:type="dxa" w:w="160"/>
              <w:bottom w:type="dxa" w:w="120"/>
              <w:right w:type="dxa" w:w="160"/>
            </w:tcMar>
          </w:tcPr>
          <w:p>
            <w:pPr>
              <w:spacing w:after="60"/>
            </w:pPr>
            <w:r>
              <w:rPr>
                <w:rFonts w:ascii="Arial" w:cs="Arial" w:eastAsia="Arial" w:hAnsi="Arial"/>
                <w:color w:val="1A3C6E"/>
                <w:sz w:val="20"/>
                <w:szCs w:val="20"/>
              </w:rPr>
              <w:t xml:space="preserve">FZD Global GmbH</w:t>
            </w:r>
          </w:p>
          <w:p>
            <w:pPr>
              <w:spacing w:after="60"/>
            </w:pPr>
            <w:r>
              <w:rPr>
                <w:rFonts w:ascii="Arial" w:cs="Arial" w:eastAsia="Arial" w:hAnsi="Arial"/>
                <w:color w:val="1A3C6E"/>
                <w:sz w:val="20"/>
                <w:szCs w:val="20"/>
              </w:rPr>
              <w:t xml:space="preserve">Neuenheimer Landstr. 5, 69120 Heidelberg, Deutschland</w:t>
            </w:r>
          </w:p>
          <w:p>
            <w:pPr>
              <w:spacing w:after="60"/>
            </w:pPr>
            <w:r>
              <w:rPr>
                <w:rFonts w:ascii="Arial" w:cs="Arial" w:eastAsia="Arial" w:hAnsi="Arial"/>
                <w:color w:val="1A3C6E"/>
                <w:sz w:val="20"/>
                <w:szCs w:val="20"/>
              </w:rPr>
              <w:t xml:space="preserve">E-Mail: info@fzd-global.de  |  Telefon: +49 6221 6736786</w:t>
            </w:r>
          </w:p>
          <w:p>
            <w:pPr>
              <w:spacing w:after="60"/>
            </w:pPr>
            <w:r>
              <w:rPr>
                <w:rFonts w:ascii="Arial" w:cs="Arial" w:eastAsia="Arial" w:hAnsi="Arial"/>
                <w:color w:val="1A3C6E"/>
                <w:sz w:val="20"/>
                <w:szCs w:val="20"/>
              </w:rPr>
              <w:t xml:space="preserve">Handelsregister: [EINZUTRAGEN]  |  Amtsgericht: [EINZUTRAGEN]</w:t>
            </w:r>
          </w:p>
          <w:p>
            <w:pPr>
              <w:spacing w:after="60"/>
            </w:pPr>
            <w:r>
              <w:rPr>
                <w:rFonts w:ascii="Arial" w:cs="Arial" w:eastAsia="Arial" w:hAnsi="Arial"/>
                <w:color w:val="1A3C6E"/>
                <w:sz w:val="20"/>
                <w:szCs w:val="20"/>
              </w:rPr>
              <w:t xml:space="preserve">Umsatzsteuer-Identifikationsnummer: [EINZUTRAGEN]</w:t>
            </w:r>
          </w:p>
          <w:p>
            <w:pPr>
              <w:spacing w:after="60"/>
            </w:pPr>
            <w:r>
              <w:rPr>
                <w:rFonts w:ascii="Arial" w:cs="Arial" w:eastAsia="Arial" w:hAnsi="Arial"/>
                <w:color w:val="1A3C6E"/>
                <w:sz w:val="20"/>
                <w:szCs w:val="20"/>
              </w:rPr>
              <w:t xml:space="preserve">Geschäftsführer: [EINZUTRAGEN]</w:t>
            </w:r>
          </w:p>
        </w:tc>
      </w:tr>
    </w:tbl>
    <w:p>
      <w:pPr>
        <w:spacing w:after="160"/>
      </w:pPr>
    </w:p>
    <w:p>
      <w:pPr>
        <w:pStyle w:val="Heading2"/>
        <w:spacing w:after="120" w:before="340"/>
      </w:pPr>
      <w:r>
        <w:rPr>
          <w:rFonts w:ascii="Arial" w:cs="Arial" w:eastAsia="Arial" w:hAnsi="Arial"/>
          <w:b/>
          <w:bCs/>
          <w:color w:val="2E6DB4"/>
          <w:sz w:val="26"/>
          <w:szCs w:val="26"/>
        </w:rPr>
        <w:t xml:space="preserve">§ 1  </w:t>
      </w:r>
      <w:r>
        <w:rPr>
          <w:rFonts w:ascii="Arial" w:cs="Arial" w:eastAsia="Arial" w:hAnsi="Arial"/>
          <w:b/>
          <w:bCs/>
          <w:color w:val="1A3C6E"/>
          <w:sz w:val="26"/>
          <w:szCs w:val="26"/>
        </w:rPr>
        <w:t xml:space="preserve">Geltungsbereich</w:t>
      </w:r>
    </w:p>
    <w:p>
      <w:pPr>
        <w:spacing w:after="100" w:line="280"/>
      </w:pPr>
      <w:r>
        <w:rPr>
          <w:rFonts w:ascii="Arial" w:cs="Arial" w:eastAsia="Arial" w:hAnsi="Arial"/>
          <w:color w:val="333333"/>
          <w:sz w:val="21"/>
          <w:szCs w:val="21"/>
        </w:rPr>
        <w:t xml:space="preserve">(1)  Diese AGB gelten für alle Verträge über Beratung, Data Engineering, Analytics, Business Intelligence, KI, Automatisierung, Governance und verwandte Beratungsleistungen („Dienstleistungen“), die zwischen FZD Global GmbH („FZD“ oder „Auftragnehmer“) und dem Auftraggeber geschlossen werden.</w:t>
      </w:r>
    </w:p>
    <w:p>
      <w:pPr>
        <w:spacing w:after="100" w:line="280"/>
      </w:pPr>
      <w:r>
        <w:rPr>
          <w:rFonts w:ascii="Arial" w:cs="Arial" w:eastAsia="Arial" w:hAnsi="Arial"/>
          <w:color w:val="333333"/>
          <w:sz w:val="21"/>
          <w:szCs w:val="21"/>
        </w:rPr>
        <w:t xml:space="preserve">(2)  Diese AGB gelten ausschließlich gegenüber Unternehmern im Sinne von § 14 BGB. FZD kontrahiert nicht mit Verbrauchern im Sinne von § 13 BGB. Jede Beauftragung oder Zahlung über die Website setzt voraus, dass der Auftraggeber bestätigt, als Unternehmen zu handeln.</w:t>
      </w:r>
    </w:p>
    <w:p>
      <w:pPr>
        <w:spacing w:after="100" w:line="280"/>
      </w:pPr>
      <w:r>
        <w:rPr>
          <w:rFonts w:ascii="Arial" w:cs="Arial" w:eastAsia="Arial" w:hAnsi="Arial"/>
          <w:color w:val="333333"/>
          <w:sz w:val="21"/>
          <w:szCs w:val="21"/>
        </w:rPr>
        <w:t xml:space="preserve">(3)  Entgegenstehende oder von diesen AGB abweichende allgemeine Geschäftsbedingungen des Auftraggebers werden hiermit abgelehnt und werden nicht Vertragsbestandteil, auch wenn FZD ihnen nach Kenntnisnahme nicht erneut widerspricht.</w:t>
      </w:r>
    </w:p>
    <w:p>
      <w:pPr>
        <w:spacing w:after="100" w:line="280"/>
      </w:pPr>
      <w:r>
        <w:rPr>
          <w:rFonts w:ascii="Arial" w:cs="Arial" w:eastAsia="Arial" w:hAnsi="Arial"/>
          <w:color w:val="333333"/>
          <w:sz w:val="21"/>
          <w:szCs w:val="21"/>
        </w:rPr>
        <w:t xml:space="preserve">(4)  Individuelle schriftliche Vereinbarungen („Leistungsbeschreibung“, „Projektauftrag“, „Dienstleistungsvertrag“) haben im Konfliktfall Vorrang vor diesen AGB.</w:t>
      </w:r>
    </w:p>
    <w:p>
      <w:pPr>
        <w:pStyle w:val="Heading2"/>
        <w:spacing w:after="120" w:before="340"/>
      </w:pPr>
      <w:r>
        <w:rPr>
          <w:rFonts w:ascii="Arial" w:cs="Arial" w:eastAsia="Arial" w:hAnsi="Arial"/>
          <w:b/>
          <w:bCs/>
          <w:color w:val="2E6DB4"/>
          <w:sz w:val="26"/>
          <w:szCs w:val="26"/>
        </w:rPr>
        <w:t xml:space="preserve">§ 2  </w:t>
      </w:r>
      <w:r>
        <w:rPr>
          <w:rFonts w:ascii="Arial" w:cs="Arial" w:eastAsia="Arial" w:hAnsi="Arial"/>
          <w:b/>
          <w:bCs/>
          <w:color w:val="1A3C6E"/>
          <w:sz w:val="26"/>
          <w:szCs w:val="26"/>
        </w:rPr>
        <w:t xml:space="preserve">Vertragsschluss</w:t>
      </w:r>
    </w:p>
    <w:p>
      <w:pPr>
        <w:spacing w:after="100" w:line="280"/>
      </w:pPr>
      <w:r>
        <w:rPr>
          <w:rFonts w:ascii="Arial" w:cs="Arial" w:eastAsia="Arial" w:hAnsi="Arial"/>
          <w:color w:val="333333"/>
          <w:sz w:val="21"/>
          <w:szCs w:val="21"/>
        </w:rPr>
        <w:t xml:space="preserve">(1)  Alle Leistungsbeschreibungen auf der Website von FZD oder in Angeboten sind unverbindliche Aufforderungen zur Abgabe eines Angebots (invitatio ad offerendum).</w:t>
      </w:r>
    </w:p>
    <w:p>
      <w:pPr>
        <w:spacing w:after="100" w:line="280"/>
      </w:pPr>
      <w:r>
        <w:rPr>
          <w:rFonts w:ascii="Arial" w:cs="Arial" w:eastAsia="Arial" w:hAnsi="Arial"/>
          <w:color w:val="333333"/>
          <w:sz w:val="21"/>
          <w:szCs w:val="21"/>
        </w:rPr>
        <w:t xml:space="preserve">(2)  Ein verbindlicher Vertrag kommt erst zustande, wenn FZD eine schriftliche Auftragsbestätigung versendet, eine Leistungsbeschreibung unterzeichnet oder die Leistungserbringung mit Wissen des Auftraggebers und ohne Widerspruch aufnimmt.</w:t>
      </w:r>
    </w:p>
    <w:p>
      <w:pPr>
        <w:spacing w:after="100" w:line="280"/>
      </w:pPr>
      <w:r>
        <w:rPr>
          <w:rFonts w:ascii="Arial" w:cs="Arial" w:eastAsia="Arial" w:hAnsi="Arial"/>
          <w:color w:val="333333"/>
          <w:sz w:val="21"/>
          <w:szCs w:val="21"/>
        </w:rPr>
        <w:t xml:space="preserve">(3)  Die Annahme eines Angebots oder einer Leistungsbeschreibung durch den Auftraggeber stellt das Angebot dar; die schriftliche Bestätigung durch FZD die Annahme.</w:t>
      </w:r>
    </w:p>
    <w:p>
      <w:pPr>
        <w:pStyle w:val="Heading2"/>
        <w:spacing w:after="120" w:before="340"/>
      </w:pPr>
      <w:r>
        <w:rPr>
          <w:rFonts w:ascii="Arial" w:cs="Arial" w:eastAsia="Arial" w:hAnsi="Arial"/>
          <w:b/>
          <w:bCs/>
          <w:color w:val="2E6DB4"/>
          <w:sz w:val="26"/>
          <w:szCs w:val="26"/>
        </w:rPr>
        <w:t xml:space="preserve">§ 3  </w:t>
      </w:r>
      <w:r>
        <w:rPr>
          <w:rFonts w:ascii="Arial" w:cs="Arial" w:eastAsia="Arial" w:hAnsi="Arial"/>
          <w:b/>
          <w:bCs/>
          <w:color w:val="1A3C6E"/>
          <w:sz w:val="26"/>
          <w:szCs w:val="26"/>
        </w:rPr>
        <w:t xml:space="preserve">Leistungsumfang</w:t>
      </w:r>
    </w:p>
    <w:p>
      <w:pPr>
        <w:spacing w:after="100" w:line="280"/>
      </w:pPr>
      <w:r>
        <w:rPr>
          <w:rFonts w:ascii="Arial" w:cs="Arial" w:eastAsia="Arial" w:hAnsi="Arial"/>
          <w:color w:val="333333"/>
          <w:sz w:val="21"/>
          <w:szCs w:val="21"/>
        </w:rPr>
        <w:t xml:space="preserve">(1)  Der genaue Umfang, die Liefergegengstände, Zeitpläne und Abnahmekriterien für jeden Auftrag werden in der jeweils anwendbaren Leistungsbeschreibung („LB“) oder im Projektauftrag festgelegt, die von beiden Parteien schriftlich vereinbart werden.</w:t>
      </w:r>
    </w:p>
    <w:p>
      <w:pPr>
        <w:spacing w:after="100" w:line="280"/>
      </w:pPr>
      <w:r>
        <w:rPr>
          <w:rFonts w:ascii="Arial" w:cs="Arial" w:eastAsia="Arial" w:hAnsi="Arial"/>
          <w:color w:val="333333"/>
          <w:sz w:val="21"/>
          <w:szCs w:val="21"/>
        </w:rPr>
        <w:t xml:space="preserve">(2)  Die Leistungspflichten von FZD sind grundsätzlich Dienstleistungspflichten (Dienstvertrag gemäß §§ 611 ff. BGB), es sei denn, die LB bezeichnet einen bestimmten Erfolg ausdrücklich als geschuldetes Werkleistungsprodukt (Werkvertrag gemäß §§ 631 ff. BGB). Beratungs- und Consulting-Leistungen werden grundsätzlich als Dienstverträge eingeordnet.</w:t>
      </w:r>
    </w:p>
    <w:p>
      <w:pPr>
        <w:spacing w:after="100" w:line="280"/>
      </w:pPr>
      <w:r>
        <w:rPr>
          <w:rFonts w:ascii="Arial" w:cs="Arial" w:eastAsia="Arial" w:hAnsi="Arial"/>
          <w:color w:val="333333"/>
          <w:sz w:val="21"/>
          <w:szCs w:val="21"/>
        </w:rPr>
        <w:t xml:space="preserve">(3)  Änderungen des vereinbarten Leistungsumfangs bedürfen eines von beiden Parteien unterzeichneten schriftlichen Änderungsauftrags. FZD ist berechtigt, Zeitpläne und Vergütungen entsprechend anzupassen.</w:t>
      </w:r>
    </w:p>
    <w:p>
      <w:pPr>
        <w:spacing w:after="100" w:line="280"/>
      </w:pPr>
      <w:r>
        <w:rPr>
          <w:rFonts w:ascii="Arial" w:cs="Arial" w:eastAsia="Arial" w:hAnsi="Arial"/>
          <w:color w:val="333333"/>
          <w:sz w:val="21"/>
          <w:szCs w:val="21"/>
        </w:rPr>
        <w:t xml:space="preserve">(4)  FZD ist berechtigt, für Teilleistungen qualifizierte Subunternehmer einzusetzen. FZD bleibt gegenüber dem Auftraggeber für alle Subunternehmerleistungen vollständig verantwortlich.</w:t>
      </w:r>
    </w:p>
    <w:p>
      <w:pPr>
        <w:spacing w:after="100" w:line="280"/>
      </w:pPr>
      <w:r>
        <w:rPr>
          <w:rFonts w:ascii="Arial" w:cs="Arial" w:eastAsia="Arial" w:hAnsi="Arial"/>
          <w:color w:val="333333"/>
          <w:sz w:val="21"/>
          <w:szCs w:val="21"/>
        </w:rPr>
        <w:t xml:space="preserve">(5)  Der Auftraggeber stellt alle Informationen, Zugriffsrechte, Daten, Testumgebungen und personelle Mitwirkung zur Verfügung, die FZD zur Leistungserbringung benötigt. Verzögerungen, die durch mangelnde Mitwirkung des Auftraggebers entstehen, verlängern vereinbarte Termine und können FZD berechtigen, Wartezeit zum vereinbarten Tagessatz in Rechnung zu stellen.</w:t>
      </w:r>
    </w:p>
    <w:p>
      <w:pPr>
        <w:pStyle w:val="Heading2"/>
        <w:spacing w:after="120" w:before="340"/>
      </w:pPr>
      <w:r>
        <w:rPr>
          <w:rFonts w:ascii="Arial" w:cs="Arial" w:eastAsia="Arial" w:hAnsi="Arial"/>
          <w:b/>
          <w:bCs/>
          <w:color w:val="2E6DB4"/>
          <w:sz w:val="26"/>
          <w:szCs w:val="26"/>
        </w:rPr>
        <w:t xml:space="preserve">§ 4  </w:t>
      </w:r>
      <w:r>
        <w:rPr>
          <w:rFonts w:ascii="Arial" w:cs="Arial" w:eastAsia="Arial" w:hAnsi="Arial"/>
          <w:b/>
          <w:bCs/>
          <w:color w:val="1A3C6E"/>
          <w:sz w:val="26"/>
          <w:szCs w:val="26"/>
        </w:rPr>
        <w:t xml:space="preserve">Vergütung, Zahlung und Verzug</w:t>
      </w:r>
    </w:p>
    <w:p>
      <w:pPr>
        <w:spacing w:after="100" w:line="280"/>
      </w:pPr>
      <w:r>
        <w:rPr>
          <w:rFonts w:ascii="Arial" w:cs="Arial" w:eastAsia="Arial" w:hAnsi="Arial"/>
          <w:color w:val="333333"/>
          <w:sz w:val="21"/>
          <w:szCs w:val="21"/>
        </w:rPr>
        <w:t xml:space="preserve">(1)  FZD betreibt zwei Standard-Vergütungsmodelle, die in der jeweiligen LB festgelegt werden:</w:t>
      </w:r>
    </w:p>
    <w:p>
      <w:pPr>
        <w:pStyle w:val="ListParagraph"/>
        <w:numPr>
          <w:ilvl w:val="0"/>
          <w:numId w:val="2"/>
        </w:numPr>
        <w:spacing w:after="80"/>
      </w:pPr>
      <w:r>
        <w:rPr>
          <w:rFonts w:ascii="Arial" w:cs="Arial" w:eastAsia="Arial" w:hAnsi="Arial"/>
          <w:color w:val="333333"/>
          <w:sz w:val="21"/>
          <w:szCs w:val="21"/>
        </w:rPr>
        <w:t xml:space="preserve">Festpreisprojekte: Eine Pauschalvergütung für einen definierten Umfang und definierte Liefergegenstände. Die Zahlung erfolgt in Meilensteinen gemäß LB (typischerweise 30 % bei Vertragsunterzeichnung, Zwischenmeilensteinzahlungen und eine Abschlusszahlung bei Abnahme oder Go-Live).</w:t>
      </w:r>
    </w:p>
    <w:p>
      <w:pPr>
        <w:pStyle w:val="ListParagraph"/>
        <w:numPr>
          <w:ilvl w:val="0"/>
          <w:numId w:val="2"/>
        </w:numPr>
        <w:spacing w:after="80"/>
      </w:pPr>
      <w:r>
        <w:rPr>
          <w:rFonts w:ascii="Arial" w:cs="Arial" w:eastAsia="Arial" w:hAnsi="Arial"/>
          <w:color w:val="333333"/>
          <w:sz w:val="21"/>
          <w:szCs w:val="21"/>
        </w:rPr>
        <w:t xml:space="preserve">Zeit &amp; Material (T&amp;M): Leistungen werden auf Basis des tatsächlich geleisteten Aufwands zum vereinbarten Tages- oder Stundensatz zuzüglich erstattungsfähiger Auslagen abgerechnet. Rechnungen werden monatlich nachträglich gestellt, sofern nichts anderes vereinbart ist.</w:t>
      </w:r>
    </w:p>
    <w:p>
      <w:pPr>
        <w:spacing w:after="80"/>
      </w:pPr>
    </w:p>
    <w:p>
      <w:pPr>
        <w:spacing w:after="100" w:line="280"/>
      </w:pPr>
      <w:r>
        <w:rPr>
          <w:rFonts w:ascii="Arial" w:cs="Arial" w:eastAsia="Arial" w:hAnsi="Arial"/>
          <w:color w:val="333333"/>
          <w:sz w:val="21"/>
          <w:szCs w:val="21"/>
        </w:rPr>
        <w:t xml:space="preserve">(2)  Alle Preise verstehen sich zuzüglich der gesetzlich geschuldeten Umsatzsteuer. Die Umsatzsteuer wird zum jeweils gültigen Satz auf jeder Rechnung ausgewiesen.</w:t>
      </w:r>
    </w:p>
    <w:p>
      <w:pPr>
        <w:spacing w:after="100" w:line="280"/>
      </w:pPr>
      <w:r>
        <w:rPr>
          <w:rFonts w:ascii="Arial" w:cs="Arial" w:eastAsia="Arial" w:hAnsi="Arial"/>
          <w:color w:val="333333"/>
          <w:sz w:val="21"/>
          <w:szCs w:val="21"/>
        </w:rPr>
        <w:t xml:space="preserve">(3)  Rechnungen sind innerhalb von 14 Tagen nach Rechnungsdatum ohne Abzug fällig, sofern in der LB keine abweichende Frist vereinbart ist. Zahlung gilt als bewirkt, wenn der vollständige Betrag dem Bankkonto von FZD gutgeschrieben ist.</w:t>
      </w:r>
    </w:p>
    <w:p>
      <w:pPr>
        <w:spacing w:after="100" w:line="280"/>
      </w:pPr>
      <w:r>
        <w:rPr>
          <w:rFonts w:ascii="Arial" w:cs="Arial" w:eastAsia="Arial" w:hAnsi="Arial"/>
          <w:color w:val="333333"/>
          <w:sz w:val="21"/>
          <w:szCs w:val="21"/>
        </w:rPr>
        <w:t xml:space="preserve">(4)  Kommt der Auftraggeber nicht innerhalb der vereinbarten Frist zur Zahlung, gerät er ohne Mahnung in Verzug (gemäß § 286 BGB). Ab Verzugseintritt ist FZD berechtigt, Verzugszinsen zum gesetzlichen B2B-Satz (§ 288 Abs. 2 BGB: Basiszinssatz + 9 Prozentpunkte p. a., derzeit 10,27 % p. a. ab 1. Juli 2025) sowie eine Pauschale von 40 € gemäß § 288 Abs. 5 BGB geltend zu machen. Das Recht zur Geltendmachung eines weitergehenden nachgewiesenen Schadens bleibt vorbehalten.</w:t>
      </w:r>
    </w:p>
    <w:p>
      <w:pPr>
        <w:spacing w:after="100" w:line="280"/>
      </w:pPr>
      <w:r>
        <w:rPr>
          <w:rFonts w:ascii="Arial" w:cs="Arial" w:eastAsia="Arial" w:hAnsi="Arial"/>
          <w:color w:val="333333"/>
          <w:sz w:val="21"/>
          <w:szCs w:val="21"/>
        </w:rPr>
        <w:t xml:space="preserve">(5)  FZD behält sich vor, die Leistungserbringung auszusetzen, wenn der Auftraggeber mit einer unbestrittenen Rechnung mehr als 30 Tage in Verzug ist, nach vorheriger schriftlicher Ankündigung mit einer Frist von 5 Werktagen.</w:t>
      </w:r>
    </w:p>
    <w:p>
      <w:pPr>
        <w:spacing w:after="100" w:line="280"/>
      </w:pPr>
      <w:r>
        <w:rPr>
          <w:rFonts w:ascii="Arial" w:cs="Arial" w:eastAsia="Arial" w:hAnsi="Arial"/>
          <w:color w:val="333333"/>
          <w:sz w:val="21"/>
          <w:szCs w:val="21"/>
        </w:rPr>
        <w:t xml:space="preserve">(6)  Der Auftraggeber kann Forderungen gegen Ansprüche von FZD nur aufrechnen, wenn seine Gegenforderung unbestritten, rechtskräftig festgestellt oder entscheidungsreif ist. Ein Zurückbehaltungsrecht ist auf dasselbe Vertragsverhältnis beschränkt.</w:t>
      </w:r>
    </w:p>
    <w:p>
      <w:pPr>
        <w:pStyle w:val="Heading2"/>
        <w:spacing w:after="120" w:before="340"/>
      </w:pPr>
      <w:r>
        <w:rPr>
          <w:rFonts w:ascii="Arial" w:cs="Arial" w:eastAsia="Arial" w:hAnsi="Arial"/>
          <w:b/>
          <w:bCs/>
          <w:color w:val="2E6DB4"/>
          <w:sz w:val="26"/>
          <w:szCs w:val="26"/>
        </w:rPr>
        <w:t xml:space="preserve">§ 5  </w:t>
      </w:r>
      <w:r>
        <w:rPr>
          <w:rFonts w:ascii="Arial" w:cs="Arial" w:eastAsia="Arial" w:hAnsi="Arial"/>
          <w:b/>
          <w:bCs/>
          <w:color w:val="1A3C6E"/>
          <w:sz w:val="26"/>
          <w:szCs w:val="26"/>
        </w:rPr>
        <w:t xml:space="preserve">Geistiges Eigentum und Nutzungsrechte</w:t>
      </w:r>
    </w:p>
    <w:p>
      <w:pPr>
        <w:spacing w:after="100" w:line="280"/>
      </w:pPr>
      <w:r>
        <w:rPr>
          <w:rFonts w:ascii="Arial" w:cs="Arial" w:eastAsia="Arial" w:hAnsi="Arial"/>
          <w:color w:val="333333"/>
          <w:sz w:val="21"/>
          <w:szCs w:val="21"/>
        </w:rPr>
        <w:t xml:space="preserve">(1)  Die Inhaberschaft an Rechten des geistigen Eigentums an Liefergegenständen ist eine kommerziell bedeutsame Angelegenheit und wird in jeder LB ausdrücklich geregelt. Enthält die LB keine Regelung, gelten die Absätze (2)–(4).</w:t>
      </w:r>
    </w:p>
    <w:p>
      <w:pPr>
        <w:spacing w:after="100" w:line="280"/>
      </w:pPr>
      <w:r>
        <w:rPr>
          <w:rFonts w:ascii="Arial" w:cs="Arial" w:eastAsia="Arial" w:hAnsi="Arial"/>
          <w:color w:val="333333"/>
          <w:sz w:val="21"/>
          <w:szCs w:val="21"/>
        </w:rPr>
        <w:t xml:space="preserve">(2)  Vorbestehendes geistiges Eigentum (Background-IP): Alle Werkzeuge, Frameworks, Methoden, Templates, Code-Bibliotheken und Know-how, die FZD vor oder unabhängig von einem konkreten Auftrag entwickelt hat, verbleiben im ausschließlichen Eigentum von FZD. Soweit FZD Background-IP in Liefergegenstände einbettet, räumt FZD dem Auftraggeber ein einfaches, nicht übertragbares, dauerhaftes Nutzungsrecht an diesem Background-IP ausschließlich in der in den Liefergegenständen eingebetteten Form und ausschließlich für interne Geschäftszwecke des Auftraggebers ein, bedingt durch vollständige Zahlung.</w:t>
      </w:r>
    </w:p>
    <w:p>
      <w:pPr>
        <w:spacing w:after="100" w:line="280"/>
      </w:pPr>
      <w:r>
        <w:rPr>
          <w:rFonts w:ascii="Arial" w:cs="Arial" w:eastAsia="Arial" w:hAnsi="Arial"/>
          <w:color w:val="333333"/>
          <w:sz w:val="21"/>
          <w:szCs w:val="21"/>
        </w:rPr>
        <w:t xml:space="preserve">(3)  Projektspezifische Liefergegenstände: Sieht die LB ausdrücklich vor, dass der Auftraggeber das Eigentum an projektspezifischen Liefergegenständen (Foreground-IP) erwerben soll, geht dieses Eigentum mit vollständiger Zahlung der Vergütung für den jeweiligen Liefergegenstand auf den Auftraggeber über. FZD behält das Recht, anonymisierte, aggregierte Erkenntnisse und Methoden aus dem Auftrag für die eigene Praxisentwicklung zu nutzen.</w:t>
      </w:r>
    </w:p>
    <w:p>
      <w:pPr>
        <w:spacing w:after="100" w:line="280"/>
      </w:pPr>
      <w:r>
        <w:rPr>
          <w:rFonts w:ascii="Arial" w:cs="Arial" w:eastAsia="Arial" w:hAnsi="Arial"/>
          <w:color w:val="333333"/>
          <w:sz w:val="21"/>
          <w:szCs w:val="21"/>
        </w:rPr>
        <w:t xml:space="preserve">(4)  Fehlt eine Regelung in der LB, verbleiben alle Rechte des geistigen Eigentums an den Liefergegenständen bei FZD. FZD räumt dem Auftraggeber ein ausschließliches, dauerhaftes, lizenzgebührenfreies Recht zur Nutzung der Liefergegenstände für interne Geschäftszwecke ein, bedingt durch vollständige Zahlung.</w:t>
      </w:r>
    </w:p>
    <w:p>
      <w:pPr>
        <w:spacing w:after="100" w:line="280"/>
      </w:pPr>
      <w:r>
        <w:rPr>
          <w:rFonts w:ascii="Arial" w:cs="Arial" w:eastAsia="Arial" w:hAnsi="Arial"/>
          <w:color w:val="333333"/>
          <w:sz w:val="21"/>
          <w:szCs w:val="21"/>
        </w:rPr>
        <w:t xml:space="preserve">(5)  Drittkomponenten: Soweit Liefergegenstände Open-Source-Software oder lizenzierte Drittkomponenten enthalten, gelten die jeweiligen Drittlizenzbedingungen. FZD legt wesentliche Drittlizenzen in der LB oder der Projektdokumentation offen.</w:t>
      </w:r>
    </w:p>
    <w:p>
      <w:pPr>
        <w:spacing w:after="100" w:line="280"/>
      </w:pPr>
      <w:r>
        <w:rPr>
          <w:rFonts w:ascii="Arial" w:cs="Arial" w:eastAsia="Arial" w:hAnsi="Arial"/>
          <w:color w:val="333333"/>
          <w:sz w:val="21"/>
          <w:szCs w:val="21"/>
        </w:rPr>
        <w:t xml:space="preserve">(6)  Der Auftraggeber räumt FZD ein einfaches Nutzungsrecht an den Daten und Materialien des Auftraggebers ein, soweit dies zur Leistungserbringung erforderlich ist.</w:t>
      </w:r>
    </w:p>
    <w:p>
      <w:pPr>
        <w:pStyle w:val="Heading2"/>
        <w:spacing w:after="120" w:before="340"/>
      </w:pPr>
      <w:r>
        <w:rPr>
          <w:rFonts w:ascii="Arial" w:cs="Arial" w:eastAsia="Arial" w:hAnsi="Arial"/>
          <w:b/>
          <w:bCs/>
          <w:color w:val="2E6DB4"/>
          <w:sz w:val="26"/>
          <w:szCs w:val="26"/>
        </w:rPr>
        <w:t xml:space="preserve">§ 6  </w:t>
      </w:r>
      <w:r>
        <w:rPr>
          <w:rFonts w:ascii="Arial" w:cs="Arial" w:eastAsia="Arial" w:hAnsi="Arial"/>
          <w:b/>
          <w:bCs/>
          <w:color w:val="1A3C6E"/>
          <w:sz w:val="26"/>
          <w:szCs w:val="26"/>
        </w:rPr>
        <w:t xml:space="preserve">Vertraulichkeit</w:t>
      </w:r>
    </w:p>
    <w:p>
      <w:pPr>
        <w:spacing w:after="100" w:line="280"/>
      </w:pPr>
      <w:r>
        <w:rPr>
          <w:rFonts w:ascii="Arial" w:cs="Arial" w:eastAsia="Arial" w:hAnsi="Arial"/>
          <w:color w:val="333333"/>
          <w:sz w:val="21"/>
          <w:szCs w:val="21"/>
        </w:rPr>
        <w:t xml:space="preserve">(1)  Jede Partei hält alle nichtöffentlichen Informationen, die ihr die andere Partei im Zusammenhang mit dem Auftrag offenbart („Vertrauliche Informationen“), streng vertraulich und nutzt sie ausschließlich zum Zweck der Erbringung oder des Empfangs der Dienstleistungen.</w:t>
      </w:r>
    </w:p>
    <w:p>
      <w:pPr>
        <w:spacing w:after="100" w:line="280"/>
      </w:pPr>
      <w:r>
        <w:rPr>
          <w:rFonts w:ascii="Arial" w:cs="Arial" w:eastAsia="Arial" w:hAnsi="Arial"/>
          <w:color w:val="333333"/>
          <w:sz w:val="21"/>
          <w:szCs w:val="21"/>
        </w:rPr>
        <w:t xml:space="preserve">(2)  Vertrauliche Informationen sind nicht:</w:t>
      </w:r>
    </w:p>
    <w:p>
      <w:pPr>
        <w:pStyle w:val="ListParagraph"/>
        <w:numPr>
          <w:ilvl w:val="0"/>
          <w:numId w:val="6"/>
        </w:numPr>
        <w:spacing w:after="80"/>
      </w:pPr>
      <w:r>
        <w:rPr>
          <w:rFonts w:ascii="Arial" w:cs="Arial" w:eastAsia="Arial" w:hAnsi="Arial"/>
          <w:color w:val="333333"/>
          <w:sz w:val="21"/>
          <w:szCs w:val="21"/>
        </w:rPr>
        <w:t xml:space="preserve">Informationen, die zum Zeitpunkt der Offenbarung bereits öffentlich bekannt waren oder ohne Verschulden der empfangenden Partei öffentlich bekannt werden;</w:t>
      </w:r>
    </w:p>
    <w:p>
      <w:pPr>
        <w:pStyle w:val="ListParagraph"/>
        <w:numPr>
          <w:ilvl w:val="0"/>
          <w:numId w:val="6"/>
        </w:numPr>
        <w:spacing w:after="80"/>
      </w:pPr>
      <w:r>
        <w:rPr>
          <w:rFonts w:ascii="Arial" w:cs="Arial" w:eastAsia="Arial" w:hAnsi="Arial"/>
          <w:color w:val="333333"/>
          <w:sz w:val="21"/>
          <w:szCs w:val="21"/>
        </w:rPr>
        <w:t xml:space="preserve">Informationen, die der empfangenden Partei vor der Offenbarung rechtmäßig bekannt waren;</w:t>
      </w:r>
    </w:p>
    <w:p>
      <w:pPr>
        <w:pStyle w:val="ListParagraph"/>
        <w:numPr>
          <w:ilvl w:val="0"/>
          <w:numId w:val="6"/>
        </w:numPr>
        <w:spacing w:after="80"/>
      </w:pPr>
      <w:r>
        <w:rPr>
          <w:rFonts w:ascii="Arial" w:cs="Arial" w:eastAsia="Arial" w:hAnsi="Arial"/>
          <w:color w:val="333333"/>
          <w:sz w:val="21"/>
          <w:szCs w:val="21"/>
        </w:rPr>
        <w:t xml:space="preserve">Informationen, die von einem Dritten erhalten werden, der keiner Geheimhaltungspflicht unterliegt; oder</w:t>
      </w:r>
    </w:p>
    <w:p>
      <w:pPr>
        <w:pStyle w:val="ListParagraph"/>
        <w:numPr>
          <w:ilvl w:val="0"/>
          <w:numId w:val="6"/>
        </w:numPr>
        <w:spacing w:after="80"/>
      </w:pPr>
      <w:r>
        <w:rPr>
          <w:rFonts w:ascii="Arial" w:cs="Arial" w:eastAsia="Arial" w:hAnsi="Arial"/>
          <w:color w:val="333333"/>
          <w:sz w:val="21"/>
          <w:szCs w:val="21"/>
        </w:rPr>
        <w:t xml:space="preserve">Informationen, die unabhängig ohne Rückgriff auf die Vertraulichen Informationen entwickelt wurden.</w:t>
      </w:r>
    </w:p>
    <w:p>
      <w:pPr>
        <w:spacing w:after="80"/>
      </w:pPr>
    </w:p>
    <w:p>
      <w:pPr>
        <w:spacing w:after="100" w:line="280"/>
      </w:pPr>
      <w:r>
        <w:rPr>
          <w:rFonts w:ascii="Arial" w:cs="Arial" w:eastAsia="Arial" w:hAnsi="Arial"/>
          <w:color w:val="333333"/>
          <w:sz w:val="21"/>
          <w:szCs w:val="21"/>
        </w:rPr>
        <w:t xml:space="preserve">(3)  Jede Partei gibt Vertrauliche Informationen nur an Mitarbeiter, Auftragnehmer oder Berater weiter, die Kenntnis benötigen und gleichwertigen Geheimhaltungspflichten unterliegen.</w:t>
      </w:r>
    </w:p>
    <w:p>
      <w:pPr>
        <w:spacing w:after="100" w:line="280"/>
      </w:pPr>
      <w:r>
        <w:rPr>
          <w:rFonts w:ascii="Arial" w:cs="Arial" w:eastAsia="Arial" w:hAnsi="Arial"/>
          <w:color w:val="333333"/>
          <w:sz w:val="21"/>
          <w:szCs w:val="21"/>
        </w:rPr>
        <w:t xml:space="preserve">(4)  Die Geheimhaltungspflicht gilt fünf (5) Jahre nach Beendigung des Vertrags fort.</w:t>
      </w:r>
    </w:p>
    <w:p>
      <w:pPr>
        <w:spacing w:after="100" w:line="280"/>
      </w:pPr>
      <w:r>
        <w:rPr>
          <w:rFonts w:ascii="Arial" w:cs="Arial" w:eastAsia="Arial" w:hAnsi="Arial"/>
          <w:color w:val="333333"/>
          <w:sz w:val="21"/>
          <w:szCs w:val="21"/>
        </w:rPr>
        <w:t xml:space="preserve">(5)  Gesetzlich, gerichtlich oder behördlich angeordnete Offenbarungen sind zulässig, sofern die offenbarende Partei die andere Partei unverzüglich informiert, damit diese möglichst Schutzmaßnahmen ergreifen kann.</w:t>
      </w:r>
    </w:p>
    <w:p>
      <w:pPr>
        <w:pStyle w:val="Heading2"/>
        <w:spacing w:after="120" w:before="340"/>
      </w:pPr>
      <w:r>
        <w:rPr>
          <w:rFonts w:ascii="Arial" w:cs="Arial" w:eastAsia="Arial" w:hAnsi="Arial"/>
          <w:b/>
          <w:bCs/>
          <w:color w:val="2E6DB4"/>
          <w:sz w:val="26"/>
          <w:szCs w:val="26"/>
        </w:rPr>
        <w:t xml:space="preserve">§ 7  </w:t>
      </w:r>
      <w:r>
        <w:rPr>
          <w:rFonts w:ascii="Arial" w:cs="Arial" w:eastAsia="Arial" w:hAnsi="Arial"/>
          <w:b/>
          <w:bCs/>
          <w:color w:val="1A3C6E"/>
          <w:sz w:val="26"/>
          <w:szCs w:val="26"/>
        </w:rPr>
        <w:t xml:space="preserve">Datenschutz</w:t>
      </w:r>
    </w:p>
    <w:p>
      <w:pPr>
        <w:spacing w:after="100" w:line="280"/>
      </w:pPr>
      <w:r>
        <w:rPr>
          <w:rFonts w:ascii="Arial" w:cs="Arial" w:eastAsia="Arial" w:hAnsi="Arial"/>
          <w:color w:val="333333"/>
          <w:sz w:val="21"/>
          <w:szCs w:val="21"/>
        </w:rPr>
        <w:t xml:space="preserve">(1)  Beide Parteien halten alle anwendbaren Datenschutzgesetze ein, insbesondere die Datenschutz-Grundverordnung (DSGVO) und das Bundesdatenschutzgesetz (BDSG).</w:t>
      </w:r>
    </w:p>
    <w:p>
      <w:pPr>
        <w:spacing w:after="100" w:line="280"/>
      </w:pPr>
      <w:r>
        <w:rPr>
          <w:rFonts w:ascii="Arial" w:cs="Arial" w:eastAsia="Arial" w:hAnsi="Arial"/>
          <w:color w:val="333333"/>
          <w:sz w:val="21"/>
          <w:szCs w:val="21"/>
        </w:rPr>
        <w:t xml:space="preserve">(2)  Soweit FZD im Rahmen der Leistungserbringung personenbezogene Daten im Auftrag des Auftraggebers verarbeitet (Auftragsverarbeitung), schließen die Parteien vorab einen Auftragsverarbeitungsvertrag (AVV) gemäß Art. 28 DSGVO ab.</w:t>
      </w:r>
    </w:p>
    <w:p>
      <w:pPr>
        <w:spacing w:after="100" w:line="280"/>
      </w:pPr>
      <w:r>
        <w:rPr>
          <w:rFonts w:ascii="Arial" w:cs="Arial" w:eastAsia="Arial" w:hAnsi="Arial"/>
          <w:color w:val="333333"/>
          <w:sz w:val="21"/>
          <w:szCs w:val="21"/>
        </w:rPr>
        <w:t xml:space="preserve">(3)  Die allgemeinen Datenschutzpraktiken von FZD sind in der Datenschutzerklärung unter https://fzd-global.de beschrieben.</w:t>
      </w:r>
    </w:p>
    <w:p>
      <w:pPr>
        <w:pStyle w:val="Heading2"/>
        <w:spacing w:after="120" w:before="340"/>
      </w:pPr>
      <w:r>
        <w:rPr>
          <w:rFonts w:ascii="Arial" w:cs="Arial" w:eastAsia="Arial" w:hAnsi="Arial"/>
          <w:b/>
          <w:bCs/>
          <w:color w:val="2E6DB4"/>
          <w:sz w:val="26"/>
          <w:szCs w:val="26"/>
        </w:rPr>
        <w:t xml:space="preserve">§ 8  </w:t>
      </w:r>
      <w:r>
        <w:rPr>
          <w:rFonts w:ascii="Arial" w:cs="Arial" w:eastAsia="Arial" w:hAnsi="Arial"/>
          <w:b/>
          <w:bCs/>
          <w:color w:val="1A3C6E"/>
          <w:sz w:val="26"/>
          <w:szCs w:val="26"/>
        </w:rPr>
        <w:t xml:space="preserve">Haftung</w:t>
      </w:r>
    </w:p>
    <w:p>
      <w:pPr>
        <w:spacing w:after="100" w:line="280"/>
      </w:pPr>
      <w:r>
        <w:rPr>
          <w:rFonts w:ascii="Arial" w:cs="Arial" w:eastAsia="Arial" w:hAnsi="Arial"/>
          <w:color w:val="333333"/>
          <w:sz w:val="21"/>
          <w:szCs w:val="21"/>
        </w:rPr>
        <w:t xml:space="preserve">(1)  Die Haftung von FZD für Schäden richtet sich nach den folgenden Regelungen, die den aktuellen Stand des deutschen AGB-Rechts zur Haftungsbeschränkung im B2B-Bereich widerspiegeln.</w:t>
      </w:r>
    </w:p>
    <w:p>
      <w:pPr>
        <w:spacing w:after="100" w:line="280"/>
      </w:pPr>
      <w:r>
        <w:rPr>
          <w:rFonts w:ascii="Arial" w:cs="Arial" w:eastAsia="Arial" w:hAnsi="Arial"/>
          <w:color w:val="333333"/>
          <w:sz w:val="21"/>
          <w:szCs w:val="21"/>
        </w:rPr>
        <w:t xml:space="preserve">(2)  Unbeschränkte Haftung: FZD haftet unbeschränkt für:</w:t>
      </w:r>
    </w:p>
    <w:p>
      <w:pPr>
        <w:pStyle w:val="ListParagraph"/>
        <w:numPr>
          <w:ilvl w:val="0"/>
          <w:numId w:val="7"/>
        </w:numPr>
        <w:spacing w:after="80"/>
      </w:pPr>
      <w:r>
        <w:rPr>
          <w:rFonts w:ascii="Arial" w:cs="Arial" w:eastAsia="Arial" w:hAnsi="Arial"/>
          <w:color w:val="333333"/>
          <w:sz w:val="21"/>
          <w:szCs w:val="21"/>
        </w:rPr>
        <w:t xml:space="preserve">Schäden aus Vorsatz oder grober Fahrlässigkeit;</w:t>
      </w:r>
    </w:p>
    <w:p>
      <w:pPr>
        <w:pStyle w:val="ListParagraph"/>
        <w:numPr>
          <w:ilvl w:val="0"/>
          <w:numId w:val="7"/>
        </w:numPr>
        <w:spacing w:after="80"/>
      </w:pPr>
      <w:r>
        <w:rPr>
          <w:rFonts w:ascii="Arial" w:cs="Arial" w:eastAsia="Arial" w:hAnsi="Arial"/>
          <w:color w:val="333333"/>
          <w:sz w:val="21"/>
          <w:szCs w:val="21"/>
        </w:rPr>
        <w:t xml:space="preserve">Schäden aus der Verletzung des Lebens, des Körpers oder der Gesundheit;</w:t>
      </w:r>
    </w:p>
    <w:p>
      <w:pPr>
        <w:pStyle w:val="ListParagraph"/>
        <w:numPr>
          <w:ilvl w:val="0"/>
          <w:numId w:val="7"/>
        </w:numPr>
        <w:spacing w:after="80"/>
      </w:pPr>
      <w:r>
        <w:rPr>
          <w:rFonts w:ascii="Arial" w:cs="Arial" w:eastAsia="Arial" w:hAnsi="Arial"/>
          <w:color w:val="333333"/>
          <w:sz w:val="21"/>
          <w:szCs w:val="21"/>
        </w:rPr>
        <w:t xml:space="preserve">Haftung nach dem Produkthaftungsgesetz (ProdHaftG);</w:t>
      </w:r>
    </w:p>
    <w:p>
      <w:pPr>
        <w:pStyle w:val="ListParagraph"/>
        <w:numPr>
          <w:ilvl w:val="0"/>
          <w:numId w:val="7"/>
        </w:numPr>
        <w:spacing w:after="80"/>
      </w:pPr>
      <w:r>
        <w:rPr>
          <w:rFonts w:ascii="Arial" w:cs="Arial" w:eastAsia="Arial" w:hAnsi="Arial"/>
          <w:color w:val="333333"/>
          <w:sz w:val="21"/>
          <w:szCs w:val="21"/>
        </w:rPr>
        <w:t xml:space="preserve">arglistiges Verschweigen eines Mangels; sowie</w:t>
      </w:r>
    </w:p>
    <w:p>
      <w:pPr>
        <w:pStyle w:val="ListParagraph"/>
        <w:numPr>
          <w:ilvl w:val="0"/>
          <w:numId w:val="7"/>
        </w:numPr>
        <w:spacing w:after="80"/>
      </w:pPr>
      <w:r>
        <w:rPr>
          <w:rFonts w:ascii="Arial" w:cs="Arial" w:eastAsia="Arial" w:hAnsi="Arial"/>
          <w:color w:val="333333"/>
          <w:sz w:val="21"/>
          <w:szCs w:val="21"/>
        </w:rPr>
        <w:t xml:space="preserve">jede sonstige gesetzlich zwingende Haftung, die vertraglich nicht ausgeschlossen werden kann.</w:t>
      </w:r>
    </w:p>
    <w:p>
      <w:pPr>
        <w:spacing w:after="80"/>
      </w:pPr>
    </w:p>
    <w:p>
      <w:pPr>
        <w:spacing w:after="100" w:line="280"/>
      </w:pPr>
      <w:r>
        <w:rPr>
          <w:rFonts w:ascii="Arial" w:cs="Arial" w:eastAsia="Arial" w:hAnsi="Arial"/>
          <w:color w:val="333333"/>
          <w:sz w:val="21"/>
          <w:szCs w:val="21"/>
        </w:rPr>
        <w:t xml:space="preserve">(3)  Beschränkte Haftung für leichte Fahrlässigkeit: Für Schäden aus leichter Fahrlässigkeit haftet FZD nur bei Verletzung einer wesentlichen Vertragspflicht (Kardinalpflicht) — also einer Pflicht, deren Erfüllung die ordnungsgemäße Durchführung des Vertrags überhaupt erst ermöglicht und auf deren Einhaltung der Auftraggeber regelmäßig vertraut. In diesen Fällen ist die Haftung auf den vorhersehbaren, vertragstypischen Schaden begrenzt.</w:t>
      </w:r>
    </w:p>
    <w:p>
      <w:pPr>
        <w:spacing w:after="100" w:line="280"/>
      </w:pPr>
      <w:r>
        <w:rPr>
          <w:rFonts w:ascii="Arial" w:cs="Arial" w:eastAsia="Arial" w:hAnsi="Arial"/>
          <w:color w:val="333333"/>
          <w:sz w:val="21"/>
          <w:szCs w:val="21"/>
        </w:rPr>
        <w:t xml:space="preserve">(4)  Ausschluss bei leichter Fahrlässigkeit auf Nicht-Kardinalpflichten: Die Haftung von FZD für leichte Fahrlässigkeit bei Nicht-Kardinalpflichten ist im gesetzlich zulässigen Umfang ausgeschlossen.</w:t>
      </w:r>
    </w:p>
    <w:p>
      <w:pPr>
        <w:spacing w:after="100" w:line="280"/>
      </w:pPr>
      <w:r>
        <w:rPr>
          <w:rFonts w:ascii="Arial" w:cs="Arial" w:eastAsia="Arial" w:hAnsi="Arial"/>
          <w:color w:val="333333"/>
          <w:sz w:val="21"/>
          <w:szCs w:val="21"/>
        </w:rPr>
        <w:t xml:space="preserve">(5)  Folge- und mittelbare Schäden: Soweit die Haftung für leichte Fahrlässigkeit nicht bereits nach Absatz (4) ausgeschlossen ist, ist die Haftung für entgangenen Gewinn, mittelbare Schäden oder Folgeschäden ausgeschlossen, sofern diese nicht auf Vorsatz oder grober Fahrlässigkeit beruhen.</w:t>
      </w:r>
    </w:p>
    <w:p>
      <w:pPr>
        <w:spacing w:after="100" w:line="280"/>
      </w:pPr>
      <w:r>
        <w:rPr>
          <w:rFonts w:ascii="Arial" w:cs="Arial" w:eastAsia="Arial" w:hAnsi="Arial"/>
          <w:color w:val="333333"/>
          <w:sz w:val="21"/>
          <w:szCs w:val="21"/>
        </w:rPr>
        <w:t xml:space="preserve">(6)  Summenbegrenzung: Ist eine Haftung für leichte Fahrlässigkeit bei Kardinalpflichten festgestellt, ist die Gesamthaftung pro Projektauftrag auf die Gesamtvergütung begrenzt, die der Auftraggeber im Rahmen der jeweiligen LB gezahlt hat, sofern der Schaden nicht auf grober Fahrlässigkeit oder Vorsatz beruht.</w:t>
      </w:r>
    </w:p>
    <w:p>
      <w:pPr>
        <w:spacing w:after="100" w:line="280"/>
      </w:pPr>
      <w:r>
        <w:rPr>
          <w:rFonts w:ascii="Arial" w:cs="Arial" w:eastAsia="Arial" w:hAnsi="Arial"/>
          <w:color w:val="333333"/>
          <w:sz w:val="21"/>
          <w:szCs w:val="21"/>
        </w:rPr>
        <w:t xml:space="preserve">(7)  Verjährung: Ansprüche wegen Mängeln bei Leistungen, die als Werkvertrag eingestuft sind, verjähren 12 Monate nach Abnahme, sofern der Mangel nicht auf Vorsatz oder arglistiger Täuschung beruht; in letzterem Fall gilt die gesetzliche Frist. Dies gilt nicht für Schäden aus der Verletzung des Lebens, Körpers oder der Gesundheit.</w:t>
      </w:r>
    </w:p>
    <w:p>
      <w:pPr>
        <w:spacing w:after="100" w:line="280"/>
      </w:pPr>
      <w:r>
        <w:rPr>
          <w:rFonts w:ascii="Arial" w:cs="Arial" w:eastAsia="Arial" w:hAnsi="Arial"/>
          <w:color w:val="333333"/>
          <w:sz w:val="21"/>
          <w:szCs w:val="21"/>
        </w:rPr>
        <w:t xml:space="preserve">(8)  Der Auftraggeber ist verantwortlich für die Implementierung geeigneter Datensicherungs- und Wiederherstellungsverfahren für seine eigenen Daten. Die Haftung von FZD für Datenverlust ist auf die Kosten der Wiederherstellung aus dem jüngsten Backup begrenzt, das der Auftraggeber nach vernünftigem Datenmanagement hätte anlegen sollen.</w:t>
      </w:r>
    </w:p>
    <w:p>
      <w:pPr>
        <w:pStyle w:val="Heading2"/>
        <w:spacing w:after="120" w:before="340"/>
      </w:pPr>
      <w:r>
        <w:rPr>
          <w:rFonts w:ascii="Arial" w:cs="Arial" w:eastAsia="Arial" w:hAnsi="Arial"/>
          <w:b/>
          <w:bCs/>
          <w:color w:val="2E6DB4"/>
          <w:sz w:val="26"/>
          <w:szCs w:val="26"/>
        </w:rPr>
        <w:t xml:space="preserve">§ 9  </w:t>
      </w:r>
      <w:r>
        <w:rPr>
          <w:rFonts w:ascii="Arial" w:cs="Arial" w:eastAsia="Arial" w:hAnsi="Arial"/>
          <w:b/>
          <w:bCs/>
          <w:color w:val="1A3C6E"/>
          <w:sz w:val="26"/>
          <w:szCs w:val="26"/>
        </w:rPr>
        <w:t xml:space="preserve">Höhere Gewalt</w:t>
      </w:r>
    </w:p>
    <w:p>
      <w:pPr>
        <w:spacing w:after="100" w:line="280"/>
      </w:pPr>
      <w:r>
        <w:rPr>
          <w:rFonts w:ascii="Arial" w:cs="Arial" w:eastAsia="Arial" w:hAnsi="Arial"/>
          <w:color w:val="333333"/>
          <w:sz w:val="21"/>
          <w:szCs w:val="21"/>
        </w:rPr>
        <w:t xml:space="preserve">(1)  Keine Partei haftet für die Nichtrfüllung oder Verzögerung ihrer Pflichten, wenn diese durch Umstände verursacht wird, die außerhalb ihres vernünftigerweise kontrollierbaren Bereichs liegen, einschließlich höherer Gewalt, Krieg, Pandemie, staatlicher Beschränkungen, Stromausfällen oder Ausfalls von Drittanbieter-Infrastruktur („Höhere Gewalt“).</w:t>
      </w:r>
    </w:p>
    <w:p>
      <w:pPr>
        <w:spacing w:after="100" w:line="280"/>
      </w:pPr>
      <w:r>
        <w:rPr>
          <w:rFonts w:ascii="Arial" w:cs="Arial" w:eastAsia="Arial" w:hAnsi="Arial"/>
          <w:color w:val="333333"/>
          <w:sz w:val="21"/>
          <w:szCs w:val="21"/>
        </w:rPr>
        <w:t xml:space="preserve">(2)  Die betroffene Partei benachrichtigt die andere Partei unverzüglich und unternimmt wirtschaftlich zumutbare Anstrengungen zur Schadensbegrenzung. Dauert ein Ereignis höherer Gewalt mehr als 60 aufeinanderfolgende Kalendertage an, kann jede Partei die betroffene LB durch schriftliche Mitteilung ohne Haftung kündigen, wobei der Auftraggeber für bis zum Kündigungszeitpunkt ordnungsgemäß erbrachte Leistungen zu vergüten hat.</w:t>
      </w:r>
    </w:p>
    <w:p>
      <w:pPr>
        <w:pStyle w:val="Heading2"/>
        <w:spacing w:after="120" w:before="340"/>
      </w:pPr>
      <w:r>
        <w:rPr>
          <w:rFonts w:ascii="Arial" w:cs="Arial" w:eastAsia="Arial" w:hAnsi="Arial"/>
          <w:b/>
          <w:bCs/>
          <w:color w:val="2E6DB4"/>
          <w:sz w:val="26"/>
          <w:szCs w:val="26"/>
        </w:rPr>
        <w:t xml:space="preserve">§ 10  </w:t>
      </w:r>
      <w:r>
        <w:rPr>
          <w:rFonts w:ascii="Arial" w:cs="Arial" w:eastAsia="Arial" w:hAnsi="Arial"/>
          <w:b/>
          <w:bCs/>
          <w:color w:val="1A3C6E"/>
          <w:sz w:val="26"/>
          <w:szCs w:val="26"/>
        </w:rPr>
        <w:t xml:space="preserve">Abwerbeverbot</w:t>
      </w:r>
    </w:p>
    <w:p>
      <w:pPr>
        <w:spacing w:after="100" w:line="280"/>
      </w:pPr>
      <w:r>
        <w:rPr>
          <w:rFonts w:ascii="Arial" w:cs="Arial" w:eastAsia="Arial" w:hAnsi="Arial"/>
          <w:color w:val="333333"/>
          <w:sz w:val="21"/>
          <w:szCs w:val="21"/>
        </w:rPr>
        <w:t xml:space="preserve">(1)  Während der Laufzeit eines aktiven Auftrags und für zwölf (12) Monate danach wirbt keine Partei Mitarbeiter oder Schlüssel-Subunternehmer der anderen Partei, die persönlich am Auftrag beteiligt waren, ohne vorherige schriftliche Zustimmung aktiv ab.</w:t>
      </w:r>
    </w:p>
    <w:p>
      <w:pPr>
        <w:spacing w:after="100" w:line="280"/>
      </w:pPr>
      <w:r>
        <w:rPr>
          <w:rFonts w:ascii="Arial" w:cs="Arial" w:eastAsia="Arial" w:hAnsi="Arial"/>
          <w:color w:val="333333"/>
          <w:sz w:val="21"/>
          <w:szCs w:val="21"/>
        </w:rPr>
        <w:t xml:space="preserve">(2)  Allgemeine, nicht auf das Personal der anderen Partei ausgerichtete öffentliche Stellenausschreibungen stellen keinen Verstoß gegen diese Klausel dar.</w:t>
      </w:r>
    </w:p>
    <w:p>
      <w:pPr>
        <w:pStyle w:val="Heading2"/>
        <w:spacing w:after="120" w:before="340"/>
      </w:pPr>
      <w:r>
        <w:rPr>
          <w:rFonts w:ascii="Arial" w:cs="Arial" w:eastAsia="Arial" w:hAnsi="Arial"/>
          <w:b/>
          <w:bCs/>
          <w:color w:val="2E6DB4"/>
          <w:sz w:val="26"/>
          <w:szCs w:val="26"/>
        </w:rPr>
        <w:t xml:space="preserve">§ 11  </w:t>
      </w:r>
      <w:r>
        <w:rPr>
          <w:rFonts w:ascii="Arial" w:cs="Arial" w:eastAsia="Arial" w:hAnsi="Arial"/>
          <w:b/>
          <w:bCs/>
          <w:color w:val="1A3C6E"/>
          <w:sz w:val="26"/>
          <w:szCs w:val="26"/>
        </w:rPr>
        <w:t xml:space="preserve">Referenz und Portfolio</w:t>
      </w:r>
    </w:p>
    <w:p>
      <w:pPr>
        <w:spacing w:after="100" w:line="280"/>
      </w:pPr>
      <w:r>
        <w:rPr>
          <w:rFonts w:ascii="Arial" w:cs="Arial" w:eastAsia="Arial" w:hAnsi="Arial"/>
          <w:color w:val="333333"/>
          <w:sz w:val="21"/>
          <w:szCs w:val="21"/>
        </w:rPr>
        <w:t xml:space="preserve">FZD darf, sofern der Auftraggeber nicht ausdrücklich schriftlich widerspricht, den Auftraggeber als Referenzkunden nennen und die Art des Auftrags (ohne Offenbarung vertraulicher Projektdetails) in Marketingmaterialien, auf der Website und in Pitch-Decks beschreiben. Der Auftraggeber kann diese Erlaubnis jederzeit schriftlich mit Wirkung für die Zukunft widerrufen.</w:t>
      </w:r>
    </w:p>
    <w:p>
      <w:pPr>
        <w:pStyle w:val="Heading2"/>
        <w:spacing w:after="120" w:before="340"/>
      </w:pPr>
      <w:r>
        <w:rPr>
          <w:rFonts w:ascii="Arial" w:cs="Arial" w:eastAsia="Arial" w:hAnsi="Arial"/>
          <w:b/>
          <w:bCs/>
          <w:color w:val="2E6DB4"/>
          <w:sz w:val="26"/>
          <w:szCs w:val="26"/>
        </w:rPr>
        <w:t xml:space="preserve">§ 12  </w:t>
      </w:r>
      <w:r>
        <w:rPr>
          <w:rFonts w:ascii="Arial" w:cs="Arial" w:eastAsia="Arial" w:hAnsi="Arial"/>
          <w:b/>
          <w:bCs/>
          <w:color w:val="1A3C6E"/>
          <w:sz w:val="26"/>
          <w:szCs w:val="26"/>
        </w:rPr>
        <w:t xml:space="preserve">Laufzeit und Kündigung</w:t>
      </w:r>
    </w:p>
    <w:p>
      <w:pPr>
        <w:spacing w:after="100" w:line="280"/>
      </w:pPr>
      <w:r>
        <w:rPr>
          <w:rFonts w:ascii="Arial" w:cs="Arial" w:eastAsia="Arial" w:hAnsi="Arial"/>
          <w:color w:val="333333"/>
          <w:sz w:val="21"/>
          <w:szCs w:val="21"/>
        </w:rPr>
        <w:t xml:space="preserve">(1)  Jeder Auftrag beginnt am in der LB angegebenen Datum und läuft bis zur Fertigstellung der vereinbarten Leistungen oder bis zum Ablauf der vereinbarten Laufzeit.</w:t>
      </w:r>
    </w:p>
    <w:p>
      <w:pPr>
        <w:spacing w:after="100" w:line="280"/>
      </w:pPr>
      <w:r>
        <w:rPr>
          <w:rFonts w:ascii="Arial" w:cs="Arial" w:eastAsia="Arial" w:hAnsi="Arial"/>
          <w:color w:val="333333"/>
          <w:sz w:val="21"/>
          <w:szCs w:val="21"/>
        </w:rPr>
        <w:t xml:space="preserve">(2)  Jede Partei kann einen Auftrag aus wichtigem Grund mit sofortiger Wirkung außerordentlich kündigen, wenn:</w:t>
      </w:r>
    </w:p>
    <w:p>
      <w:pPr>
        <w:pStyle w:val="ListParagraph"/>
        <w:numPr>
          <w:ilvl w:val="0"/>
          <w:numId w:val="8"/>
        </w:numPr>
        <w:spacing w:after="80"/>
      </w:pPr>
      <w:r>
        <w:rPr>
          <w:rFonts w:ascii="Arial" w:cs="Arial" w:eastAsia="Arial" w:hAnsi="Arial"/>
          <w:color w:val="333333"/>
          <w:sz w:val="21"/>
          <w:szCs w:val="21"/>
        </w:rPr>
        <w:t xml:space="preserve">die andere Partei den Vertrag wesentlich verletzt und die Verletzung nicht innerhalb von 14 Kalendertagen nach schriftlicher Abmahnung behebt;</w:t>
      </w:r>
    </w:p>
    <w:p>
      <w:pPr>
        <w:pStyle w:val="ListParagraph"/>
        <w:numPr>
          <w:ilvl w:val="0"/>
          <w:numId w:val="8"/>
        </w:numPr>
        <w:spacing w:after="80"/>
      </w:pPr>
      <w:r>
        <w:rPr>
          <w:rFonts w:ascii="Arial" w:cs="Arial" w:eastAsia="Arial" w:hAnsi="Arial"/>
          <w:color w:val="333333"/>
          <w:sz w:val="21"/>
          <w:szCs w:val="21"/>
        </w:rPr>
        <w:t xml:space="preserve">über das Vermögen der anderen Partei ein Insolvenzverfahren eröffnet wird oder die Eröffnung mangels Masse abgelehnt wird.</w:t>
      </w:r>
    </w:p>
    <w:p>
      <w:pPr>
        <w:spacing w:after="80"/>
      </w:pPr>
    </w:p>
    <w:p>
      <w:pPr>
        <w:spacing w:after="100" w:line="280"/>
      </w:pPr>
      <w:r>
        <w:rPr>
          <w:rFonts w:ascii="Arial" w:cs="Arial" w:eastAsia="Arial" w:hAnsi="Arial"/>
          <w:color w:val="333333"/>
          <w:sz w:val="21"/>
          <w:szCs w:val="21"/>
        </w:rPr>
        <w:t xml:space="preserve">(3)  Bei T&amp;M-Aufträgen ohne festes Enddatum kann jede Partei mit einer Frist von 30 Tagen zum Ende eines Kalendermonats ordentlich kündigen, sofern in der LB keine abweichende Frist vereinbart ist.</w:t>
      </w:r>
    </w:p>
    <w:p>
      <w:pPr>
        <w:spacing w:after="100" w:line="280"/>
      </w:pPr>
      <w:r>
        <w:rPr>
          <w:rFonts w:ascii="Arial" w:cs="Arial" w:eastAsia="Arial" w:hAnsi="Arial"/>
          <w:color w:val="333333"/>
          <w:sz w:val="21"/>
          <w:szCs w:val="21"/>
        </w:rPr>
        <w:t xml:space="preserve">(4)  Nach Kündigung aus jedwedem Grund gilt: (i) Der Auftraggeber vergütet alle bis zum Wirksamwerden der Kündigung erbrachten Leistungen zu den vereinbarten Sätzen; (ii) jede Partei gibt auf Verlangen Vertrauliche Informationen der anderen Partei zurück oder vernichtet sie; (iii) eine nach § 5 eingeräumte Lizenz ist bedingt durch den vollständigen Zahlungseingang.</w:t>
      </w:r>
    </w:p>
    <w:p>
      <w:pPr>
        <w:pStyle w:val="Heading2"/>
        <w:spacing w:after="120" w:before="340"/>
      </w:pPr>
      <w:r>
        <w:rPr>
          <w:rFonts w:ascii="Arial" w:cs="Arial" w:eastAsia="Arial" w:hAnsi="Arial"/>
          <w:b/>
          <w:bCs/>
          <w:color w:val="2E6DB4"/>
          <w:sz w:val="26"/>
          <w:szCs w:val="26"/>
        </w:rPr>
        <w:t xml:space="preserve">§ 13  </w:t>
      </w:r>
      <w:r>
        <w:rPr>
          <w:rFonts w:ascii="Arial" w:cs="Arial" w:eastAsia="Arial" w:hAnsi="Arial"/>
          <w:b/>
          <w:bCs/>
          <w:color w:val="1A3C6E"/>
          <w:sz w:val="26"/>
          <w:szCs w:val="26"/>
        </w:rPr>
        <w:t xml:space="preserve">Änderungen dieser AGB</w:t>
      </w:r>
    </w:p>
    <w:p>
      <w:pPr>
        <w:spacing w:after="100" w:line="280"/>
      </w:pPr>
      <w:r>
        <w:rPr>
          <w:rFonts w:ascii="Arial" w:cs="Arial" w:eastAsia="Arial" w:hAnsi="Arial"/>
          <w:color w:val="333333"/>
          <w:sz w:val="21"/>
          <w:szCs w:val="21"/>
        </w:rPr>
        <w:t xml:space="preserve">(1)  FZD behält sich das Recht vor, diese AGB zu ändern. Änderungen werden dem Auftraggeber in Textform mindestens 30 Tage vor ihrem Wirksamwerden mitgeteilt.</w:t>
      </w:r>
    </w:p>
    <w:p>
      <w:pPr>
        <w:spacing w:after="100" w:line="280"/>
      </w:pPr>
      <w:r>
        <w:rPr>
          <w:rFonts w:ascii="Arial" w:cs="Arial" w:eastAsia="Arial" w:hAnsi="Arial"/>
          <w:color w:val="333333"/>
          <w:sz w:val="21"/>
          <w:szCs w:val="21"/>
        </w:rPr>
        <w:t xml:space="preserve">(2)  Änderungen gelten als genehmigt, wenn der Auftraggeber nicht innerhalb von 30 Tagen nach Erhalt der Mitteilung schriftlich widerspricht und die Dienstleistungen von FZD weiterhin in Anspruch nimmt. FZD weist in der Mitteilung auf diese Genehmigungsfiktion hin.</w:t>
      </w:r>
    </w:p>
    <w:p>
      <w:pPr>
        <w:pStyle w:val="Heading2"/>
        <w:spacing w:after="120" w:before="340"/>
      </w:pPr>
      <w:r>
        <w:rPr>
          <w:rFonts w:ascii="Arial" w:cs="Arial" w:eastAsia="Arial" w:hAnsi="Arial"/>
          <w:b/>
          <w:bCs/>
          <w:color w:val="2E6DB4"/>
          <w:sz w:val="26"/>
          <w:szCs w:val="26"/>
        </w:rPr>
        <w:t xml:space="preserve">§ 14  </w:t>
      </w:r>
      <w:r>
        <w:rPr>
          <w:rFonts w:ascii="Arial" w:cs="Arial" w:eastAsia="Arial" w:hAnsi="Arial"/>
          <w:b/>
          <w:bCs/>
          <w:color w:val="1A3C6E"/>
          <w:sz w:val="26"/>
          <w:szCs w:val="26"/>
        </w:rPr>
        <w:t xml:space="preserve">Anwendbares Recht und Gerichtsstand</w:t>
      </w:r>
    </w:p>
    <w:p>
      <w:pPr>
        <w:spacing w:after="100" w:line="280"/>
      </w:pPr>
      <w:r>
        <w:rPr>
          <w:rFonts w:ascii="Arial" w:cs="Arial" w:eastAsia="Arial" w:hAnsi="Arial"/>
          <w:color w:val="333333"/>
          <w:sz w:val="21"/>
          <w:szCs w:val="21"/>
        </w:rPr>
        <w:t xml:space="preserve">(1)  Diese AGB und alle unter ihnen geschlossenen Verträge unterliegen ausschließlich dem Recht der Bundesrepublik Deutschland unter Ausschluss des UN-Kaufrechts (CISG).</w:t>
      </w:r>
    </w:p>
    <w:p>
      <w:pPr>
        <w:spacing w:after="100" w:line="280"/>
      </w:pPr>
      <w:r>
        <w:rPr>
          <w:rFonts w:ascii="Arial" w:cs="Arial" w:eastAsia="Arial" w:hAnsi="Arial"/>
          <w:color w:val="333333"/>
          <w:sz w:val="21"/>
          <w:szCs w:val="21"/>
        </w:rPr>
        <w:t xml:space="preserve">(2)  Ausschließlicher Gerichtsstand für alle Streitigkeiten aus oder im Zusammenhang mit diesen AGB oder einem unter ihnen geschlossenen Vertrag ist Heidelberg, sofern der Auftraggeber Kaufmann, eine juristische Person des öffentlichen Rechts oder ein öffentlich-rechtliches Sondervermögen ist. FZD behält sich das Recht vor, den Auftraggeber auch an seinem Geschäftssitz zu verklagen.</w:t>
      </w:r>
    </w:p>
    <w:p>
      <w:pPr>
        <w:pStyle w:val="Heading2"/>
        <w:spacing w:after="120" w:before="340"/>
      </w:pPr>
      <w:r>
        <w:rPr>
          <w:rFonts w:ascii="Arial" w:cs="Arial" w:eastAsia="Arial" w:hAnsi="Arial"/>
          <w:b/>
          <w:bCs/>
          <w:color w:val="2E6DB4"/>
          <w:sz w:val="26"/>
          <w:szCs w:val="26"/>
        </w:rPr>
        <w:t xml:space="preserve">§ 15  </w:t>
      </w:r>
      <w:r>
        <w:rPr>
          <w:rFonts w:ascii="Arial" w:cs="Arial" w:eastAsia="Arial" w:hAnsi="Arial"/>
          <w:b/>
          <w:bCs/>
          <w:color w:val="1A3C6E"/>
          <w:sz w:val="26"/>
          <w:szCs w:val="26"/>
        </w:rPr>
        <w:t xml:space="preserve">Schlussbestimmungen</w:t>
      </w:r>
    </w:p>
    <w:p>
      <w:pPr>
        <w:spacing w:after="100" w:line="280"/>
      </w:pPr>
      <w:r>
        <w:rPr>
          <w:rFonts w:ascii="Arial" w:cs="Arial" w:eastAsia="Arial" w:hAnsi="Arial"/>
          <w:color w:val="333333"/>
          <w:sz w:val="21"/>
          <w:szCs w:val="21"/>
        </w:rPr>
        <w:t xml:space="preserve">(1)  Salvatorische Klausel: Sollte eine Bestimmung dieser AGB unwirksam oder undurchführbar sein oder werden, bleiben die übrigen Bestimmungen in Kraft. Die Parteien ersetzen die unwirksame Bestimmung durch eine wirksame Regelung, die dem wirtschaftlichen Zweck der ursprünglichen Bestimmung am nächsten kommt.</w:t>
      </w:r>
    </w:p>
    <w:p>
      <w:pPr>
        <w:spacing w:after="100" w:line="280"/>
      </w:pPr>
      <w:r>
        <w:rPr>
          <w:rFonts w:ascii="Arial" w:cs="Arial" w:eastAsia="Arial" w:hAnsi="Arial"/>
          <w:color w:val="333333"/>
          <w:sz w:val="21"/>
          <w:szCs w:val="21"/>
        </w:rPr>
        <w:t xml:space="preserve">(2)  Schriftformerfordernis: Änderungen, Ergänzungen und Verzichte auf diese AGB bedürfen der Schriftform. Dies gilt auch für den Verzicht auf dieses Schriftformerfordernis. Elektronische Textform (E-Mail, PDF) erfüllt das Schriftformerfordernis im Sinne dieser AGB, sofern kein notariell oder behördlich beglaubigtes Dokument gesetzlich vorgeschrieben ist.</w:t>
      </w:r>
    </w:p>
    <w:p>
      <w:pPr>
        <w:spacing w:after="100" w:line="280"/>
      </w:pPr>
      <w:r>
        <w:rPr>
          <w:rFonts w:ascii="Arial" w:cs="Arial" w:eastAsia="Arial" w:hAnsi="Arial"/>
          <w:color w:val="333333"/>
          <w:sz w:val="21"/>
          <w:szCs w:val="21"/>
        </w:rPr>
        <w:t xml:space="preserve">(3)  Gesamtheit der Vereinbarungen: Diese AGB bilden zusammen mit der jeweiligen LB die vollständige Vereinbarung zwischen den Parteien über den Vertragsgegenstand und ersetzen alle vorherigen Absprachen, Zusicherungen und Vereinbarungen.</w:t>
      </w:r>
    </w:p>
    <w:p>
      <w:pPr>
        <w:spacing w:after="80"/>
      </w:pPr>
    </w:p>
    <w:p>
      <w:pPr>
        <w:pBdr>
          <w:bottom w:val="single" w:color="C5D8EE" w:sz="4" w:space="1"/>
        </w:pBdr>
        <w:spacing w:after="60" w:before="60"/>
      </w:pPr>
    </w:p>
    <w:p>
      <w:pPr>
        <w:spacing w:after="100"/>
      </w:pPr>
    </w:p>
    <w:p>
      <w:pPr>
        <w:spacing w:after="0"/>
      </w:pPr>
      <w:r>
        <w:rPr>
          <w:rFonts w:ascii="Arial" w:cs="Arial" w:eastAsia="Arial" w:hAnsi="Arial"/>
          <w:i/>
          <w:iCs/>
          <w:color w:val="666666"/>
          <w:sz w:val="18"/>
          <w:szCs w:val="18"/>
        </w:rPr>
        <w:t xml:space="preserve">© 2026 FZD Global GmbH –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abstractNum w:abstractNumId="8" w15:restartNumberingAfterBreak="0">
    <w:multiLevelType w:val="hybridMultilevel"/>
    <w:lvl w:ilvl="0" w15:tentative="1">
      <w:start w:val="1"/>
      <w:numFmt w:val="lowerLetter"/>
      <w:lvlText w:val="(%1)"/>
      <w:lvlJc w:val="left"/>
      <w:pPr>
        <w:ind w:left="720" w:hanging="360"/>
      </w:pPr>
    </w:lvl>
  </w:abstractNum>
  <w:abstractNum w:abstractNumId="9" w15:restartNumberingAfterBreak="0">
    <w:multiLevelType w:val="hybridMultilevel"/>
    <w:lvl w:ilvl="0" w15:tentative="1">
      <w:start w:val="1"/>
      <w:numFmt w:val="lowerLetter"/>
      <w:lvlText w:val="(%1)"/>
      <w:lvlJc w:val="left"/>
      <w:pPr>
        <w:ind w:left="720" w:hanging="360"/>
      </w:pPr>
    </w:lvl>
  </w:abstractNum>
  <w:abstractNum w:abstractNumId="10" w15:restartNumberingAfterBreak="0">
    <w:multiLevelType w:val="hybridMultilevel"/>
    <w:lvl w:ilvl="0" w15:tentative="1">
      <w:start w:val="1"/>
      <w:numFmt w:val="lowerLetter"/>
      <w:lvlText w:val="(%1)"/>
      <w:lvlJc w:val="left"/>
      <w:pPr>
        <w:ind w:left="720" w:hanging="360"/>
      </w:pPr>
    </w:lvl>
  </w:abstractNum>
  <w:abstractNum w:abstractNumId="11" w15:restartNumberingAfterBreak="0">
    <w:multiLevelType w:val="hybridMultilevel"/>
    <w:lvl w:ilvl="0" w15:tentative="1">
      <w:start w:val="1"/>
      <w:numFmt w:val="lowerLetter"/>
      <w:lvlText w:val="(%1)"/>
      <w:lvlJc w:val="left"/>
      <w:pPr>
        <w:ind w:left="720" w:hanging="360"/>
      </w:pPr>
    </w:lvl>
  </w:abstractNum>
  <w:abstractNum w:abstractNumId="12" w15:restartNumberingAfterBreak="0">
    <w:multiLevelType w:val="hybridMultilevel"/>
    <w:lvl w:ilvl="0" w15:tentative="1">
      <w:start w:val="1"/>
      <w:numFmt w:val="lowerLetter"/>
      <w:lvlText w:val="(%1)"/>
      <w:lvlJc w:val="left"/>
      <w:pPr>
        <w:ind w:left="720" w:hanging="360"/>
      </w:pPr>
    </w:lvl>
  </w:abstractNum>
  <w:abstractNum w:abstractNumId="13" w15:restartNumberingAfterBreak="0">
    <w:multiLevelType w:val="hybridMultilevel"/>
    <w:lvl w:ilvl="0" w15:tentative="1">
      <w:start w:val="1"/>
      <w:numFmt w:val="lowerLetter"/>
      <w:lvlText w:val="(%1)"/>
      <w:lvlJc w:val="left"/>
      <w:pPr>
        <w:ind w:left="720" w:hanging="360"/>
      </w:pPr>
    </w:lvl>
  </w:abstractNum>
  <w:abstractNum w:abstractNumId="14" w15:restartNumberingAfterBreak="0">
    <w:multiLevelType w:val="hybridMultilevel"/>
    <w:lvl w:ilvl="0" w15:tentative="1">
      <w:start w:val="1"/>
      <w:numFmt w:val="lowerLetter"/>
      <w:lvlText w:val="(%1)"/>
      <w:lvlJc w:val="left"/>
      <w:pPr>
        <w:ind w:left="720" w:hanging="360"/>
      </w:pPr>
    </w:lvl>
  </w:abstractNum>
  <w:abstractNum w:abstractNumId="15" w15:restartNumberingAfterBreak="0">
    <w:multiLevelType w:val="hybridMultilevel"/>
    <w:lvl w:ilvl="0" w15:tentative="1">
      <w:start w:val="1"/>
      <w:numFmt w:val="lowerLetter"/>
      <w:lvlText w:val="(%1)"/>
      <w:lvlJc w:val="left"/>
      <w:pPr>
        <w:ind w:left="720" w:hanging="360"/>
      </w:pPr>
    </w:lvl>
  </w:abstractNum>
  <w:abstractNum w:abstractNumId="16" w15:restartNumberingAfterBreak="0">
    <w:multiLevelType w:val="hybridMultilevel"/>
    <w:lvl w:ilvl="0" w15:tentative="1">
      <w:start w:val="1"/>
      <w:numFmt w:val="lowerLetter"/>
      <w:lvlText w:val="(%1)"/>
      <w:lvlJc w:val="left"/>
      <w:pPr>
        <w:ind w:left="720" w:hanging="360"/>
      </w:pPr>
    </w:lvl>
  </w:abstractNum>
  <w:abstractNum w:abstractNumId="17"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A3C6E"/>
      <w:sz w:val="42"/>
      <w:szCs w:val="42"/>
    </w:rPr>
  </w:style>
  <w:style w:type="paragraph" w:styleId="Heading2">
    <w:name w:val="Heading 2"/>
    <w:basedOn w:val="Normal"/>
    <w:next w:val="Normal"/>
    <w:qFormat/>
    <w:pPr>
      <w:spacing w:after="120" w:before="340"/>
      <w:outlineLvl w:val="1"/>
    </w:pPr>
    <w:rPr>
      <w:rFonts w:ascii="Arial" w:cs="Arial" w:eastAsia="Arial" w:hAnsi="Arial"/>
      <w:b/>
      <w:bCs/>
      <w:color w:val="1A3C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2026-05-25T13:38:25.505Z</dcterms:created>
  <dcterms:modified xsi:type="dcterms:W3CDTF">2026-05-25T13:38:25.520Z</dcterms:modified>
</cp:coreProperties>
</file>

<file path=docProps/custom.xml><?xml version="1.0" encoding="utf-8"?>
<Properties xmlns="http://schemas.openxmlformats.org/officeDocument/2006/custom-properties" xmlns:vt="http://schemas.openxmlformats.org/officeDocument/2006/docPropsVTypes"/>
</file>