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FFC3" w14:textId="77777777" w:rsidR="0093778D" w:rsidRPr="0093778D" w:rsidRDefault="0093778D" w:rsidP="0093778D">
      <w:pPr>
        <w:shd w:val="clear" w:color="auto" w:fill="FFFFFF" w:themeFill="background1"/>
        <w:spacing w:after="240" w:line="480" w:lineRule="auto"/>
        <w:jc w:val="center"/>
        <w:outlineLvl w:val="0"/>
        <w:rPr>
          <w:rFonts w:ascii="Georgia" w:eastAsia="Times New Roman" w:hAnsi="Georgia" w:cs="Segoe UI"/>
          <w:b/>
          <w:bCs/>
          <w:color w:val="000000" w:themeColor="text1"/>
          <w:kern w:val="36"/>
          <w:sz w:val="36"/>
          <w:szCs w:val="36"/>
          <w14:ligatures w14:val="none"/>
        </w:rPr>
      </w:pPr>
      <w:r w:rsidRPr="0093778D">
        <w:rPr>
          <w:rFonts w:ascii="Georgia" w:eastAsia="Times New Roman" w:hAnsi="Georgia" w:cs="Segoe UI"/>
          <w:b/>
          <w:bCs/>
          <w:color w:val="000000" w:themeColor="text1"/>
          <w:kern w:val="36"/>
          <w:sz w:val="36"/>
          <w:szCs w:val="36"/>
          <w14:ligatures w14:val="none"/>
        </w:rPr>
        <w:t>The Dangers of Change Approval Processes: When Bureaucracy Undermines Software Delivery</w:t>
      </w:r>
    </w:p>
    <w:p w14:paraId="56F8B647" w14:textId="316C6C35" w:rsidR="0093778D" w:rsidRPr="0093778D" w:rsidRDefault="0093778D" w:rsidP="0093778D">
      <w:pPr>
        <w:shd w:val="clear" w:color="auto" w:fill="FFFFFF" w:themeFill="background1"/>
        <w:spacing w:before="240" w:after="240" w:line="480" w:lineRule="auto"/>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 xml:space="preserve">Student Name: </w:t>
      </w:r>
      <w:r>
        <w:rPr>
          <w:rFonts w:ascii="Georgia" w:eastAsia="Times New Roman" w:hAnsi="Georgia" w:cs="Segoe UI"/>
          <w:color w:val="000000" w:themeColor="text1"/>
          <w:kern w:val="0"/>
          <w14:ligatures w14:val="none"/>
        </w:rPr>
        <w:t>Sylvester Brandon</w:t>
      </w:r>
      <w:r w:rsidRPr="0093778D">
        <w:rPr>
          <w:rFonts w:ascii="Georgia" w:eastAsia="Times New Roman" w:hAnsi="Georgia" w:cs="Segoe UI"/>
          <w:color w:val="000000" w:themeColor="text1"/>
          <w:kern w:val="0"/>
          <w14:ligatures w14:val="none"/>
        </w:rPr>
        <w:br/>
        <w:t xml:space="preserve">Instructor's Name: </w:t>
      </w:r>
      <w:r>
        <w:rPr>
          <w:rFonts w:ascii="Georgia" w:eastAsia="Times New Roman" w:hAnsi="Georgia" w:cs="Segoe UI"/>
          <w:color w:val="000000" w:themeColor="text1"/>
          <w:kern w:val="0"/>
          <w14:ligatures w14:val="none"/>
        </w:rPr>
        <w:t>Sue Sampson</w:t>
      </w:r>
      <w:r w:rsidRPr="0093778D">
        <w:rPr>
          <w:rFonts w:ascii="Georgia" w:eastAsia="Times New Roman" w:hAnsi="Georgia" w:cs="Segoe UI"/>
          <w:color w:val="000000" w:themeColor="text1"/>
          <w:kern w:val="0"/>
          <w14:ligatures w14:val="none"/>
        </w:rPr>
        <w:br/>
        <w:t xml:space="preserve">Course Number: </w:t>
      </w:r>
      <w:r>
        <w:rPr>
          <w:rFonts w:ascii="Georgia" w:eastAsia="Times New Roman" w:hAnsi="Georgia" w:cs="Segoe UI"/>
          <w:color w:val="000000" w:themeColor="text1"/>
          <w:kern w:val="0"/>
          <w14:ligatures w14:val="none"/>
        </w:rPr>
        <w:t>CSD380-H307</w:t>
      </w:r>
      <w:r w:rsidRPr="0093778D">
        <w:rPr>
          <w:rFonts w:ascii="Georgia" w:eastAsia="Times New Roman" w:hAnsi="Georgia" w:cs="Segoe UI"/>
          <w:color w:val="000000" w:themeColor="text1"/>
          <w:kern w:val="0"/>
          <w14:ligatures w14:val="none"/>
        </w:rPr>
        <w:br/>
        <w:t xml:space="preserve">Date: </w:t>
      </w:r>
      <w:r>
        <w:rPr>
          <w:rFonts w:ascii="Georgia" w:eastAsia="Times New Roman" w:hAnsi="Georgia" w:cs="Segoe UI"/>
          <w:color w:val="000000" w:themeColor="text1"/>
          <w:kern w:val="0"/>
          <w14:ligatures w14:val="none"/>
        </w:rPr>
        <w:t>2/26/26</w:t>
      </w:r>
    </w:p>
    <w:p w14:paraId="1E75A4DA"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Introduction</w:t>
      </w:r>
    </w:p>
    <w:p w14:paraId="2241F79E"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 xml:space="preserve">Change approval processes have long been considered essential governance mechanisms in software development and IT operations. Traditional frameworks like ITIL emphasize formal change advisory boards (CABs), request for change (RFC) documentation, and multi-level </w:t>
      </w:r>
      <w:proofErr w:type="gramStart"/>
      <w:r w:rsidRPr="0093778D">
        <w:rPr>
          <w:rFonts w:ascii="Georgia" w:eastAsia="Times New Roman" w:hAnsi="Georgia" w:cs="Segoe UI"/>
          <w:color w:val="000000" w:themeColor="text1"/>
          <w:kern w:val="0"/>
          <w14:ligatures w14:val="none"/>
        </w:rPr>
        <w:t>sign-offs</w:t>
      </w:r>
      <w:proofErr w:type="gramEnd"/>
      <w:r w:rsidRPr="0093778D">
        <w:rPr>
          <w:rFonts w:ascii="Georgia" w:eastAsia="Times New Roman" w:hAnsi="Georgia" w:cs="Segoe UI"/>
          <w:color w:val="000000" w:themeColor="text1"/>
          <w:kern w:val="0"/>
          <w14:ligatures w14:val="none"/>
        </w:rPr>
        <w:t xml:space="preserve"> before any modification reaches production. However, a growing body of research and industry experience reveals that these heavyweight approval processes often create more problems than they solve. This paper examines the dangers of traditional change approval processes, drawing on DevOps research, industry case studies, and expert analysis to demonstrate how bureaucratic change management can undermine software delivery performance, increase risk, and damage organizational culture.</w:t>
      </w:r>
    </w:p>
    <w:p w14:paraId="57C5399F"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The Performance Penalty of Heavyweight Approvals</w:t>
      </w:r>
    </w:p>
    <w:p w14:paraId="44405EB4"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lastRenderedPageBreak/>
        <w:t>Research consistently demonstrates that formal, external change approval processes correlate with worse software delivery outcomes. The DORA (DevOps Research and Assessment) team, in their 2019 State of DevOps Report, found that organizations requiring approval from an external body such as a Change Advisory Board were </w:t>
      </w:r>
      <w:r w:rsidRPr="0093778D">
        <w:rPr>
          <w:rFonts w:ascii="Georgia" w:eastAsia="Times New Roman" w:hAnsi="Georgia" w:cs="Segoe UI"/>
          <w:b/>
          <w:bCs/>
          <w:color w:val="000000" w:themeColor="text1"/>
          <w:kern w:val="0"/>
          <w14:ligatures w14:val="none"/>
        </w:rPr>
        <w:t>2.6 times more likely to be low performers</w:t>
      </w:r>
      <w:r w:rsidRPr="0093778D">
        <w:rPr>
          <w:rFonts w:ascii="Georgia" w:eastAsia="Times New Roman" w:hAnsi="Georgia" w:cs="Segoe UI"/>
          <w:color w:val="000000" w:themeColor="text1"/>
          <w:kern w:val="0"/>
          <w14:ligatures w14:val="none"/>
        </w:rPr>
        <w:t> in software delivery (Harvey, Long, and Weston). This finding challenges the conventional wisdom that more oversight equals more stability.</w:t>
      </w:r>
    </w:p>
    <w:p w14:paraId="747E0657"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Furthermore, DORA researchers discovered no evidence that formal approval processes reduce change failure rates. In fact, heavyweight change management was associated with </w:t>
      </w:r>
      <w:r w:rsidRPr="0093778D">
        <w:rPr>
          <w:rFonts w:ascii="Georgia" w:eastAsia="Times New Roman" w:hAnsi="Georgia" w:cs="Segoe UI"/>
          <w:b/>
          <w:bCs/>
          <w:color w:val="000000" w:themeColor="text1"/>
          <w:kern w:val="0"/>
          <w14:ligatures w14:val="none"/>
        </w:rPr>
        <w:t>worse change failure rates</w:t>
      </w:r>
      <w:r w:rsidRPr="0093778D">
        <w:rPr>
          <w:rFonts w:ascii="Georgia" w:eastAsia="Times New Roman" w:hAnsi="Georgia" w:cs="Segoe UI"/>
          <w:color w:val="000000" w:themeColor="text1"/>
          <w:kern w:val="0"/>
          <w14:ligatures w14:val="none"/>
        </w:rPr>
        <w:t xml:space="preserve">, meaning it </w:t>
      </w:r>
      <w:proofErr w:type="gramStart"/>
      <w:r w:rsidRPr="0093778D">
        <w:rPr>
          <w:rFonts w:ascii="Georgia" w:eastAsia="Times New Roman" w:hAnsi="Georgia" w:cs="Segoe UI"/>
          <w:color w:val="000000" w:themeColor="text1"/>
          <w:kern w:val="0"/>
          <w14:ligatures w14:val="none"/>
        </w:rPr>
        <w:t>actually increased</w:t>
      </w:r>
      <w:proofErr w:type="gramEnd"/>
      <w:r w:rsidRPr="0093778D">
        <w:rPr>
          <w:rFonts w:ascii="Georgia" w:eastAsia="Times New Roman" w:hAnsi="Georgia" w:cs="Segoe UI"/>
          <w:color w:val="000000" w:themeColor="text1"/>
          <w:kern w:val="0"/>
          <w14:ligatures w14:val="none"/>
        </w:rPr>
        <w:t xml:space="preserve"> rather than mitigated risk (Harvey, Long, and Weston). This counterintuitive result stems from several factors: delays between change creation and deployment increase complexity, manual processes introduce human error, and the separation of approval from implementation creates knowledge gaps.</w:t>
      </w:r>
    </w:p>
    <w:p w14:paraId="21C6277A"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The financial services regulator in the United Kingdom, the Financial Conduct Authority, reached similar conclusions after analyzing over one million production changes. Their research found that the key contributors to successful changes included frequent releases, modern architecture, automated infrastructure, and agile methodologies—all characteristics associated with DevOps rather than traditional change boards (Harvey, Long, and Weston).</w:t>
      </w:r>
    </w:p>
    <w:p w14:paraId="49E52E24"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The False Promise of Risk Reduction</w:t>
      </w:r>
    </w:p>
    <w:p w14:paraId="7827E51B"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lastRenderedPageBreak/>
        <w:t>Traditional change approval processes operate on the assumption that centralized review by experts reduces risk. However, this model contains fundamental flaws. Bob Aiello, a configuration management expert and contributor to IEEE software engineering standards, argues that many organizations fail to differentiate between change control boards (focused on process compliance) and change advisory boards (focused on technical risk assessment) (Aiello). When these functions merge into two-hour meetings reviewing everything from printer toner changes to major system deployments, technical risk assessment suffers.</w:t>
      </w:r>
    </w:p>
    <w:p w14:paraId="2D8D2855"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Aiello observes that dumping hundreds of unrelated changes into the same meeting renders change control "effectively useless." The result is not better risk management but rather "the missed opportunity to assess and manage risk" (Aiello). Organizations become focused on scheduling and calendar conflicts rather than understanding the technical implications of changes.</w:t>
      </w:r>
    </w:p>
    <w:p w14:paraId="1B511188"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 xml:space="preserve">This critique aligns with observations from regulated industries. As noted in analysis of banking sector change management, "Using manual processes to manage risks doesn't make things safer, it makes them more dangerous. Instead of reducing risk they </w:t>
      </w:r>
      <w:proofErr w:type="gramStart"/>
      <w:r w:rsidRPr="0093778D">
        <w:rPr>
          <w:rFonts w:ascii="Georgia" w:eastAsia="Times New Roman" w:hAnsi="Georgia" w:cs="Segoe UI"/>
          <w:color w:val="000000" w:themeColor="text1"/>
          <w:kern w:val="0"/>
          <w14:ligatures w14:val="none"/>
        </w:rPr>
        <w:t>increase</w:t>
      </w:r>
      <w:proofErr w:type="gramEnd"/>
      <w:r w:rsidRPr="0093778D">
        <w:rPr>
          <w:rFonts w:ascii="Georgia" w:eastAsia="Times New Roman" w:hAnsi="Georgia" w:cs="Segoe UI"/>
          <w:color w:val="000000" w:themeColor="text1"/>
          <w:kern w:val="0"/>
          <w14:ligatures w14:val="none"/>
        </w:rPr>
        <w:t xml:space="preserve"> risk" (Harvey, Long, and Weston). By slowing every change with documentation and approvals, organizations introduce the risk of human error at scale—it becomes unrealistic for humans to ensure the security of millions of changes through manual gates.</w:t>
      </w:r>
    </w:p>
    <w:p w14:paraId="101A6148"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Developer Productivity and Talent Retention</w:t>
      </w:r>
    </w:p>
    <w:p w14:paraId="5F12B696"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lastRenderedPageBreak/>
        <w:t>Beyond the measurable impacts on delivery performance, heavyweight change approval processes exact a human toll on development teams. Development teams often view bureaucratic change management as a "chronic frustration" (</w:t>
      </w:r>
      <w:proofErr w:type="spellStart"/>
      <w:r w:rsidRPr="0093778D">
        <w:rPr>
          <w:rFonts w:ascii="Georgia" w:eastAsia="Times New Roman" w:hAnsi="Georgia" w:cs="Segoe UI"/>
          <w:color w:val="000000" w:themeColor="text1"/>
          <w:kern w:val="0"/>
          <w14:ligatures w14:val="none"/>
        </w:rPr>
        <w:t>LaunchDarkly</w:t>
      </w:r>
      <w:proofErr w:type="spellEnd"/>
      <w:r w:rsidRPr="0093778D">
        <w:rPr>
          <w:rFonts w:ascii="Georgia" w:eastAsia="Times New Roman" w:hAnsi="Georgia" w:cs="Segoe UI"/>
          <w:color w:val="000000" w:themeColor="text1"/>
          <w:kern w:val="0"/>
          <w14:ligatures w14:val="none"/>
        </w:rPr>
        <w:t>). A Director of Enterprise Engineering at a Fortune 500 financial services company expressed this sentiment directly: "Change management is a big burden on our digital product owners and developers. No one likes it" (</w:t>
      </w:r>
      <w:proofErr w:type="spellStart"/>
      <w:r w:rsidRPr="0093778D">
        <w:rPr>
          <w:rFonts w:ascii="Georgia" w:eastAsia="Times New Roman" w:hAnsi="Georgia" w:cs="Segoe UI"/>
          <w:color w:val="000000" w:themeColor="text1"/>
          <w:kern w:val="0"/>
          <w14:ligatures w14:val="none"/>
        </w:rPr>
        <w:t>LaunchDarkly</w:t>
      </w:r>
      <w:proofErr w:type="spellEnd"/>
      <w:r w:rsidRPr="0093778D">
        <w:rPr>
          <w:rFonts w:ascii="Georgia" w:eastAsia="Times New Roman" w:hAnsi="Georgia" w:cs="Segoe UI"/>
          <w:color w:val="000000" w:themeColor="text1"/>
          <w:kern w:val="0"/>
          <w14:ligatures w14:val="none"/>
        </w:rPr>
        <w:t>).</w:t>
      </w:r>
    </w:p>
    <w:p w14:paraId="6BF37181"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This frustration has tangible business consequences. When talented developers endure inefficient processes long enough, their passion and productivity wane, and many ultimately leave (</w:t>
      </w:r>
      <w:proofErr w:type="spellStart"/>
      <w:r w:rsidRPr="0093778D">
        <w:rPr>
          <w:rFonts w:ascii="Georgia" w:eastAsia="Times New Roman" w:hAnsi="Georgia" w:cs="Segoe UI"/>
          <w:color w:val="000000" w:themeColor="text1"/>
          <w:kern w:val="0"/>
          <w14:ligatures w14:val="none"/>
        </w:rPr>
        <w:t>LaunchDarkly</w:t>
      </w:r>
      <w:proofErr w:type="spellEnd"/>
      <w:r w:rsidRPr="0093778D">
        <w:rPr>
          <w:rFonts w:ascii="Georgia" w:eastAsia="Times New Roman" w:hAnsi="Georgia" w:cs="Segoe UI"/>
          <w:color w:val="000000" w:themeColor="text1"/>
          <w:kern w:val="0"/>
          <w14:ligatures w14:val="none"/>
        </w:rPr>
        <w:t>). The resulting talent drain puts organizations at a competitive disadvantage precisely when they need skilled practitioners most.</w:t>
      </w:r>
    </w:p>
    <w:p w14:paraId="755659F8"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Eric Larkin, co-founder and CTO at Arena, offers a nuanced perspective based on his experience leading engineering teams. He notes that while formal processes may be necessary for large teams, complex products, and high-volume manufacturing, excessive review in early-stage design "slows down the iterative process and burdens team members, making it harder to innovate and rapidly improve product quality" (Larkin). Larkin's general rule of thumb is that unless building safety-critical products, "it's generally not optimal to do so much review that you completely eliminate mistakes"—because a company making no mistakes may not be innovating fast enough to stay competitive (Larkin).</w:t>
      </w:r>
    </w:p>
    <w:p w14:paraId="0CC685E5"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The Innovation Stifling Effect</w:t>
      </w:r>
    </w:p>
    <w:p w14:paraId="370B4CFA"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lastRenderedPageBreak/>
        <w:t>The cumulative effect of heavyweight change approvals is the systematic slowing of innovation. Every day spent navigating approval processes represents time not spent gathering real user feedback, iterating on features, or responding to market changes (</w:t>
      </w:r>
      <w:proofErr w:type="spellStart"/>
      <w:r w:rsidRPr="0093778D">
        <w:rPr>
          <w:rFonts w:ascii="Georgia" w:eastAsia="Times New Roman" w:hAnsi="Georgia" w:cs="Segoe UI"/>
          <w:color w:val="000000" w:themeColor="text1"/>
          <w:kern w:val="0"/>
          <w14:ligatures w14:val="none"/>
        </w:rPr>
        <w:t>LaunchDarkly</w:t>
      </w:r>
      <w:proofErr w:type="spellEnd"/>
      <w:r w:rsidRPr="0093778D">
        <w:rPr>
          <w:rFonts w:ascii="Georgia" w:eastAsia="Times New Roman" w:hAnsi="Georgia" w:cs="Segoe UI"/>
          <w:color w:val="000000" w:themeColor="text1"/>
          <w:kern w:val="0"/>
          <w14:ligatures w14:val="none"/>
        </w:rPr>
        <w:t>). The opportunity costs accumulate rapidly.</w:t>
      </w:r>
    </w:p>
    <w:p w14:paraId="4794E1CB"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This innovation penalty is particularly acute in regulated industries like banking, healthcare, and aerospace, where rigorous governance frameworks remain legally required. As documented in analysis of banking sector change management, organizations face a fundamental conflict: "Software delivery is increasingly automated and fast, but governance is still manual and slow. Developers can ship changes quickly, but those changes run into a wall of bureaucracy before they can be delivered to customers" (Harvey, Long, and Weston).</w:t>
      </w:r>
    </w:p>
    <w:p w14:paraId="35A713D2"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The consequences extend beyond delayed features. When change processes become bottlenecks, teams develop workarounds. Unauthorized changes—changes that bypass approval mechanisms—become more likely, creating exactly the kind of uncontrolled risk that formal processes were designed to prevent (ManageEngine). The irony is that heavy controls can paradoxically reduce control.</w:t>
      </w:r>
    </w:p>
    <w:p w14:paraId="65B0286B"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A Case Study in Transformation: Blackhawk Network</w:t>
      </w:r>
    </w:p>
    <w:p w14:paraId="320B7580"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 xml:space="preserve">Blackhawk Network, a global leader in prepaid and payment technologies, provides a compelling example of how organizations can escape the dangers of traditional change approval. The company faced the familiar pattern: manual forms, </w:t>
      </w:r>
      <w:r w:rsidRPr="0093778D">
        <w:rPr>
          <w:rFonts w:ascii="Georgia" w:eastAsia="Times New Roman" w:hAnsi="Georgia" w:cs="Segoe UI"/>
          <w:color w:val="000000" w:themeColor="text1"/>
          <w:kern w:val="0"/>
          <w14:ligatures w14:val="none"/>
        </w:rPr>
        <w:lastRenderedPageBreak/>
        <w:t>lengthy approval cycles, and fragmented tracking created inefficiency and compliance risk (Blackhawk Network).</w:t>
      </w:r>
    </w:p>
    <w:p w14:paraId="7CA7872A"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Their solution was not to abandon governance but to transform it through automation. By integrating their CI/CD pipeline (Jenkins) with their change management system (ServiceNow), Blackhawk Network embedded governance directly into the delivery process. The Intelligent Change Automation Framework automated ticket creation, intelligent routing, and compliance validation, ensuring every change received consistent handling with regulatory rigor (Blackhawk Network).</w:t>
      </w:r>
    </w:p>
    <w:p w14:paraId="41F94407"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The results were dramatic. The system automated over 1,005 approvals, saving 1,000+ manual hours and $80,000 in direct efficiency gains. By bypassing CAB dependencies, the organization recovered hundreds of business days annually, generating an additional $360,000 to $720,000 in business value while enabling faster, smaller, and safer releases (Blackhawk Network). This case demonstrates that effective governance need not conflict with speed—when properly automated, it can enhance both.</w:t>
      </w:r>
    </w:p>
    <w:p w14:paraId="12B39E6E"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Alternatives and Best Practices</w:t>
      </w:r>
    </w:p>
    <w:p w14:paraId="0FD1AC4B"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The DORA research program offers clear alternatives to traditional change approval. Rather than external approval bodies, DORA recommends </w:t>
      </w:r>
      <w:r w:rsidRPr="0093778D">
        <w:rPr>
          <w:rFonts w:ascii="Georgia" w:eastAsia="Times New Roman" w:hAnsi="Georgia" w:cs="Segoe UI"/>
          <w:b/>
          <w:bCs/>
          <w:color w:val="000000" w:themeColor="text1"/>
          <w:kern w:val="0"/>
          <w14:ligatures w14:val="none"/>
        </w:rPr>
        <w:t>peer review-based approval</w:t>
      </w:r>
      <w:r w:rsidRPr="0093778D">
        <w:rPr>
          <w:rFonts w:ascii="Georgia" w:eastAsia="Times New Roman" w:hAnsi="Georgia" w:cs="Segoe UI"/>
          <w:color w:val="000000" w:themeColor="text1"/>
          <w:kern w:val="0"/>
          <w14:ligatures w14:val="none"/>
        </w:rPr>
        <w:t> during development, supplemented by </w:t>
      </w:r>
      <w:r w:rsidRPr="0093778D">
        <w:rPr>
          <w:rFonts w:ascii="Georgia" w:eastAsia="Times New Roman" w:hAnsi="Georgia" w:cs="Segoe UI"/>
          <w:b/>
          <w:bCs/>
          <w:color w:val="000000" w:themeColor="text1"/>
          <w:kern w:val="0"/>
          <w14:ligatures w14:val="none"/>
        </w:rPr>
        <w:t>automation for early detection and correction</w:t>
      </w:r>
      <w:r w:rsidRPr="0093778D">
        <w:rPr>
          <w:rFonts w:ascii="Georgia" w:eastAsia="Times New Roman" w:hAnsi="Georgia" w:cs="Segoe UI"/>
          <w:color w:val="000000" w:themeColor="text1"/>
          <w:kern w:val="0"/>
          <w14:ligatures w14:val="none"/>
        </w:rPr>
        <w:t xml:space="preserve"> of problems (Harvey, Long, and Weston). Continuous </w:t>
      </w:r>
      <w:r w:rsidRPr="0093778D">
        <w:rPr>
          <w:rFonts w:ascii="Georgia" w:eastAsia="Times New Roman" w:hAnsi="Georgia" w:cs="Segoe UI"/>
          <w:color w:val="000000" w:themeColor="text1"/>
          <w:kern w:val="0"/>
          <w14:ligatures w14:val="none"/>
        </w:rPr>
        <w:lastRenderedPageBreak/>
        <w:t>testing, continuous integration, and comprehensive monitoring provide early and automated feedback, catching issues far earlier than any manual approval gate could.</w:t>
      </w:r>
    </w:p>
    <w:p w14:paraId="79CB73E9"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Other recommended practices include treating the development platform as a product that makes it easy for developers to get fast feedback on security, performance, and stability impacts; prioritizing early problem detection immediately after changes are committed; and analyzing the entire change process end-to-end to identify bottlenecks (Harvey, Long, and Weston).</w:t>
      </w:r>
    </w:p>
    <w:p w14:paraId="0D2ABA78"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Aiello adds practical advice for organizations maintaining formal change processes: remove routine changes from meetings entirely, organize changes by technical characteristics, and establish clear entry criteria requiring documentation delivery before meetings (Aiello). He recounts transforming a dysfunctional weekly two-hour meeting into two focused half-hour meetings simply by enforcing advance documentation requirements.</w:t>
      </w:r>
    </w:p>
    <w:p w14:paraId="3B4034C8"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Conclusion</w:t>
      </w:r>
    </w:p>
    <w:p w14:paraId="2935B66C"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The dangers of traditional change approval processes are well-documented and multifaceted. Heavyweight approvals slow time-to-market, fail to reduce risk (and may increase it), frustrate developers, and stifle innovation. Research from DORA, the UK Financial Conduct Authority, and industry experts converges on the same conclusion: bureaucratic change approval correlates with worse business outcomes.</w:t>
      </w:r>
    </w:p>
    <w:p w14:paraId="0CA417F1"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 xml:space="preserve">However, the solution is not the abandonment of governance. As the Blackhawk Network case demonstrates, organizations can achieve both speed and control through </w:t>
      </w:r>
      <w:r w:rsidRPr="0093778D">
        <w:rPr>
          <w:rFonts w:ascii="Georgia" w:eastAsia="Times New Roman" w:hAnsi="Georgia" w:cs="Segoe UI"/>
          <w:color w:val="000000" w:themeColor="text1"/>
          <w:kern w:val="0"/>
          <w14:ligatures w14:val="none"/>
        </w:rPr>
        <w:lastRenderedPageBreak/>
        <w:t>automation, peer review, and continuous feedback. The goal should be governance that enables rather than obstructs—processes that catch problems early through automated testing rather than late through manual approval gates.</w:t>
      </w:r>
    </w:p>
    <w:p w14:paraId="0E372FB4" w14:textId="77777777" w:rsidR="0093778D" w:rsidRPr="0093778D" w:rsidRDefault="0093778D" w:rsidP="0093778D">
      <w:pPr>
        <w:shd w:val="clear" w:color="auto" w:fill="FFFFFF" w:themeFill="background1"/>
        <w:spacing w:before="240" w:after="240" w:line="480" w:lineRule="auto"/>
        <w:ind w:firstLine="720"/>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 xml:space="preserve">Organizations must recognize that change approval is not an end </w:t>
      </w:r>
      <w:proofErr w:type="gramStart"/>
      <w:r w:rsidRPr="0093778D">
        <w:rPr>
          <w:rFonts w:ascii="Georgia" w:eastAsia="Times New Roman" w:hAnsi="Georgia" w:cs="Segoe UI"/>
          <w:color w:val="000000" w:themeColor="text1"/>
          <w:kern w:val="0"/>
          <w14:ligatures w14:val="none"/>
        </w:rPr>
        <w:t>in itself but</w:t>
      </w:r>
      <w:proofErr w:type="gramEnd"/>
      <w:r w:rsidRPr="0093778D">
        <w:rPr>
          <w:rFonts w:ascii="Georgia" w:eastAsia="Times New Roman" w:hAnsi="Georgia" w:cs="Segoe UI"/>
          <w:color w:val="000000" w:themeColor="text1"/>
          <w:kern w:val="0"/>
          <w14:ligatures w14:val="none"/>
        </w:rPr>
        <w:t xml:space="preserve"> a means to reliable, compliant, and valuable software delivery. When the means undermine the ends, it is time for transformation.</w:t>
      </w:r>
    </w:p>
    <w:p w14:paraId="762DB3E0" w14:textId="77777777" w:rsidR="0093778D" w:rsidRPr="0093778D" w:rsidRDefault="0093778D" w:rsidP="0093778D">
      <w:pPr>
        <w:shd w:val="clear" w:color="auto" w:fill="FFFFFF" w:themeFill="background1"/>
        <w:spacing w:before="480" w:after="240" w:line="480" w:lineRule="auto"/>
        <w:jc w:val="center"/>
        <w:outlineLvl w:val="1"/>
        <w:rPr>
          <w:rFonts w:ascii="Georgia" w:eastAsia="Times New Roman" w:hAnsi="Georgia" w:cs="Segoe UI"/>
          <w:b/>
          <w:bCs/>
          <w:color w:val="000000" w:themeColor="text1"/>
          <w:kern w:val="0"/>
          <w:sz w:val="33"/>
          <w:szCs w:val="33"/>
          <w14:ligatures w14:val="none"/>
        </w:rPr>
      </w:pPr>
      <w:r w:rsidRPr="0093778D">
        <w:rPr>
          <w:rFonts w:ascii="Georgia" w:eastAsia="Times New Roman" w:hAnsi="Georgia" w:cs="Segoe UI"/>
          <w:b/>
          <w:bCs/>
          <w:color w:val="000000" w:themeColor="text1"/>
          <w:kern w:val="0"/>
          <w:sz w:val="33"/>
          <w:szCs w:val="33"/>
          <w14:ligatures w14:val="none"/>
        </w:rPr>
        <w:t>Works Cited</w:t>
      </w:r>
    </w:p>
    <w:p w14:paraId="525A8E03" w14:textId="77777777" w:rsidR="0093778D" w:rsidRPr="0093778D" w:rsidRDefault="0093778D" w:rsidP="0093778D">
      <w:pPr>
        <w:shd w:val="clear" w:color="auto" w:fill="FFFFFF" w:themeFill="background1"/>
        <w:spacing w:before="240" w:after="240" w:line="480" w:lineRule="auto"/>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Aiello, Bob. "The Lost Art of Change Control." </w:t>
      </w:r>
      <w:proofErr w:type="spellStart"/>
      <w:r w:rsidRPr="0093778D">
        <w:rPr>
          <w:rFonts w:ascii="Georgia" w:eastAsia="Times New Roman" w:hAnsi="Georgia" w:cs="Segoe UI"/>
          <w:i/>
          <w:iCs/>
          <w:color w:val="000000" w:themeColor="text1"/>
          <w:kern w:val="0"/>
          <w14:ligatures w14:val="none"/>
        </w:rPr>
        <w:t>StickyMinds</w:t>
      </w:r>
      <w:proofErr w:type="spellEnd"/>
      <w:r w:rsidRPr="0093778D">
        <w:rPr>
          <w:rFonts w:ascii="Georgia" w:eastAsia="Times New Roman" w:hAnsi="Georgia" w:cs="Segoe UI"/>
          <w:color w:val="000000" w:themeColor="text1"/>
          <w:kern w:val="0"/>
          <w14:ligatures w14:val="none"/>
        </w:rPr>
        <w:t>, 27 Aug. 2015, </w:t>
      </w:r>
      <w:hyperlink r:id="rId5" w:tgtFrame="_blank" w:history="1">
        <w:r w:rsidRPr="0093778D">
          <w:rPr>
            <w:rFonts w:ascii="Georgia" w:eastAsia="Times New Roman" w:hAnsi="Georgia" w:cs="Segoe UI"/>
            <w:color w:val="000000" w:themeColor="text1"/>
            <w:kern w:val="0"/>
            <w:u w:val="single"/>
            <w:bdr w:val="single" w:sz="12" w:space="0" w:color="auto" w:frame="1"/>
            <w14:ligatures w14:val="none"/>
          </w:rPr>
          <w:t>ww</w:t>
        </w:r>
        <w:r w:rsidRPr="0093778D">
          <w:rPr>
            <w:rFonts w:ascii="Georgia" w:eastAsia="Times New Roman" w:hAnsi="Georgia" w:cs="Segoe UI"/>
            <w:color w:val="000000" w:themeColor="text1"/>
            <w:kern w:val="0"/>
            <w:u w:val="single"/>
            <w:bdr w:val="single" w:sz="12" w:space="0" w:color="auto" w:frame="1"/>
            <w14:ligatures w14:val="none"/>
          </w:rPr>
          <w:t>w</w:t>
        </w:r>
        <w:r w:rsidRPr="0093778D">
          <w:rPr>
            <w:rFonts w:ascii="Georgia" w:eastAsia="Times New Roman" w:hAnsi="Georgia" w:cs="Segoe UI"/>
            <w:color w:val="000000" w:themeColor="text1"/>
            <w:kern w:val="0"/>
            <w:u w:val="single"/>
            <w:bdr w:val="single" w:sz="12" w:space="0" w:color="auto" w:frame="1"/>
            <w14:ligatures w14:val="none"/>
          </w:rPr>
          <w:t>.stickyminds.com/article/lost-art-change-contro</w:t>
        </w:r>
        <w:r w:rsidRPr="0093778D">
          <w:rPr>
            <w:rFonts w:ascii="Georgia" w:eastAsia="Times New Roman" w:hAnsi="Georgia" w:cs="Segoe UI"/>
            <w:color w:val="000000" w:themeColor="text1"/>
            <w:kern w:val="0"/>
            <w:u w:val="single"/>
            <w:bdr w:val="single" w:sz="12" w:space="0" w:color="auto" w:frame="1"/>
            <w14:ligatures w14:val="none"/>
          </w:rPr>
          <w:t>l</w:t>
        </w:r>
      </w:hyperlink>
      <w:r w:rsidRPr="0093778D">
        <w:rPr>
          <w:rFonts w:ascii="Georgia" w:eastAsia="Times New Roman" w:hAnsi="Georgia" w:cs="Segoe UI"/>
          <w:color w:val="000000" w:themeColor="text1"/>
          <w:kern w:val="0"/>
          <w14:ligatures w14:val="none"/>
        </w:rPr>
        <w:t>. Accessed 26 Feb. 2026.</w:t>
      </w:r>
    </w:p>
    <w:p w14:paraId="7706E9D2" w14:textId="77777777" w:rsidR="0093778D" w:rsidRPr="0093778D" w:rsidRDefault="0093778D" w:rsidP="0093778D">
      <w:pPr>
        <w:shd w:val="clear" w:color="auto" w:fill="FFFFFF" w:themeFill="background1"/>
        <w:spacing w:before="240" w:after="240" w:line="480" w:lineRule="auto"/>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Blackhawk Network. "Transforming Enterprise Change Governance with Intelligent CI/CD Automation." </w:t>
      </w:r>
      <w:r w:rsidRPr="0093778D">
        <w:rPr>
          <w:rFonts w:ascii="Georgia" w:eastAsia="Times New Roman" w:hAnsi="Georgia" w:cs="Segoe UI"/>
          <w:i/>
          <w:iCs/>
          <w:color w:val="000000" w:themeColor="text1"/>
          <w:kern w:val="0"/>
          <w14:ligatures w14:val="none"/>
        </w:rPr>
        <w:t>TITAN Innovation Awards</w:t>
      </w:r>
      <w:r w:rsidRPr="0093778D">
        <w:rPr>
          <w:rFonts w:ascii="Georgia" w:eastAsia="Times New Roman" w:hAnsi="Georgia" w:cs="Segoe UI"/>
          <w:color w:val="000000" w:themeColor="text1"/>
          <w:kern w:val="0"/>
          <w14:ligatures w14:val="none"/>
        </w:rPr>
        <w:t>, 2025, </w:t>
      </w:r>
      <w:hyperlink r:id="rId6" w:tgtFrame="_blank" w:history="1">
        <w:r w:rsidRPr="0093778D">
          <w:rPr>
            <w:rFonts w:ascii="Georgia" w:eastAsia="Times New Roman" w:hAnsi="Georgia" w:cs="Segoe UI"/>
            <w:color w:val="000000" w:themeColor="text1"/>
            <w:kern w:val="0"/>
            <w:u w:val="single"/>
            <w:bdr w:val="single" w:sz="12" w:space="0" w:color="auto" w:frame="1"/>
            <w14:ligatures w14:val="none"/>
          </w:rPr>
          <w:t>titaninnovationawards.com/winner-info.php?id=3034</w:t>
        </w:r>
      </w:hyperlink>
      <w:r w:rsidRPr="0093778D">
        <w:rPr>
          <w:rFonts w:ascii="Georgia" w:eastAsia="Times New Roman" w:hAnsi="Georgia" w:cs="Segoe UI"/>
          <w:color w:val="000000" w:themeColor="text1"/>
          <w:kern w:val="0"/>
          <w14:ligatures w14:val="none"/>
        </w:rPr>
        <w:t>. Accessed 26 Feb. 2026.</w:t>
      </w:r>
    </w:p>
    <w:p w14:paraId="5F450A3C" w14:textId="77777777" w:rsidR="0093778D" w:rsidRPr="0093778D" w:rsidRDefault="0093778D" w:rsidP="0093778D">
      <w:pPr>
        <w:shd w:val="clear" w:color="auto" w:fill="FFFFFF" w:themeFill="background1"/>
        <w:spacing w:before="240" w:after="240" w:line="480" w:lineRule="auto"/>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Harvey, Nicola, et al. "When DORA Metrics Meet Governance in Banking - Expert View." </w:t>
      </w:r>
      <w:r w:rsidRPr="0093778D">
        <w:rPr>
          <w:rFonts w:ascii="Georgia" w:eastAsia="Times New Roman" w:hAnsi="Georgia" w:cs="Segoe UI"/>
          <w:i/>
          <w:iCs/>
          <w:color w:val="000000" w:themeColor="text1"/>
          <w:kern w:val="0"/>
          <w14:ligatures w14:val="none"/>
        </w:rPr>
        <w:t>Team Topologies</w:t>
      </w:r>
      <w:r w:rsidRPr="0093778D">
        <w:rPr>
          <w:rFonts w:ascii="Georgia" w:eastAsia="Times New Roman" w:hAnsi="Georgia" w:cs="Segoe UI"/>
          <w:color w:val="000000" w:themeColor="text1"/>
          <w:kern w:val="0"/>
          <w14:ligatures w14:val="none"/>
        </w:rPr>
        <w:t>, 2024, </w:t>
      </w:r>
      <w:hyperlink r:id="rId7" w:tgtFrame="_blank" w:history="1">
        <w:r w:rsidRPr="0093778D">
          <w:rPr>
            <w:rFonts w:ascii="Georgia" w:eastAsia="Times New Roman" w:hAnsi="Georgia" w:cs="Segoe UI"/>
            <w:color w:val="000000" w:themeColor="text1"/>
            <w:kern w:val="0"/>
            <w:u w:val="single"/>
            <w:bdr w:val="single" w:sz="12" w:space="0" w:color="auto" w:frame="1"/>
            <w14:ligatures w14:val="none"/>
          </w:rPr>
          <w:t>teamtopologies.com/news-blogs-newsletters/when-dora-metrics-meet-governance-in-banking</w:t>
        </w:r>
      </w:hyperlink>
      <w:r w:rsidRPr="0093778D">
        <w:rPr>
          <w:rFonts w:ascii="Georgia" w:eastAsia="Times New Roman" w:hAnsi="Georgia" w:cs="Segoe UI"/>
          <w:color w:val="000000" w:themeColor="text1"/>
          <w:kern w:val="0"/>
          <w14:ligatures w14:val="none"/>
        </w:rPr>
        <w:t>. Accessed 26 Feb. 2026.</w:t>
      </w:r>
    </w:p>
    <w:p w14:paraId="76A67DD4" w14:textId="77777777" w:rsidR="0093778D" w:rsidRPr="0093778D" w:rsidRDefault="0093778D" w:rsidP="0093778D">
      <w:pPr>
        <w:shd w:val="clear" w:color="auto" w:fill="FFFFFF" w:themeFill="background1"/>
        <w:spacing w:before="240" w:after="240" w:line="480" w:lineRule="auto"/>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Larkin, Eric. "Is Your Change Process Hurting Your Product's Potential?" </w:t>
      </w:r>
      <w:r w:rsidRPr="0093778D">
        <w:rPr>
          <w:rFonts w:ascii="Georgia" w:eastAsia="Times New Roman" w:hAnsi="Georgia" w:cs="Segoe UI"/>
          <w:i/>
          <w:iCs/>
          <w:color w:val="000000" w:themeColor="text1"/>
          <w:kern w:val="0"/>
          <w14:ligatures w14:val="none"/>
        </w:rPr>
        <w:t>Arena Solutions</w:t>
      </w:r>
      <w:r w:rsidRPr="0093778D">
        <w:rPr>
          <w:rFonts w:ascii="Georgia" w:eastAsia="Times New Roman" w:hAnsi="Georgia" w:cs="Segoe UI"/>
          <w:color w:val="000000" w:themeColor="text1"/>
          <w:kern w:val="0"/>
          <w14:ligatures w14:val="none"/>
        </w:rPr>
        <w:t>, 15 Mar. 2012, </w:t>
      </w:r>
      <w:hyperlink r:id="rId8" w:tgtFrame="_blank" w:history="1">
        <w:r w:rsidRPr="0093778D">
          <w:rPr>
            <w:rFonts w:ascii="Georgia" w:eastAsia="Times New Roman" w:hAnsi="Georgia" w:cs="Segoe UI"/>
            <w:color w:val="000000" w:themeColor="text1"/>
            <w:kern w:val="0"/>
            <w:u w:val="single"/>
            <w:bdr w:val="single" w:sz="12" w:space="0" w:color="auto" w:frame="1"/>
            <w14:ligatures w14:val="none"/>
          </w:rPr>
          <w:t>www.arenasolutions.com/blog/establishing-control-in-your-change-process/</w:t>
        </w:r>
      </w:hyperlink>
      <w:r w:rsidRPr="0093778D">
        <w:rPr>
          <w:rFonts w:ascii="Georgia" w:eastAsia="Times New Roman" w:hAnsi="Georgia" w:cs="Segoe UI"/>
          <w:color w:val="000000" w:themeColor="text1"/>
          <w:kern w:val="0"/>
          <w14:ligatures w14:val="none"/>
        </w:rPr>
        <w:t>. Accessed 26 Feb. 2026.</w:t>
      </w:r>
    </w:p>
    <w:p w14:paraId="6C362CA4" w14:textId="77777777" w:rsidR="0093778D" w:rsidRPr="0093778D" w:rsidRDefault="0093778D" w:rsidP="0093778D">
      <w:pPr>
        <w:shd w:val="clear" w:color="auto" w:fill="FFFFFF" w:themeFill="background1"/>
        <w:spacing w:before="240" w:after="240" w:line="480" w:lineRule="auto"/>
        <w:rPr>
          <w:rFonts w:ascii="Georgia" w:eastAsia="Times New Roman" w:hAnsi="Georgia" w:cs="Segoe UI"/>
          <w:color w:val="000000" w:themeColor="text1"/>
          <w:kern w:val="0"/>
          <w14:ligatures w14:val="none"/>
        </w:rPr>
      </w:pPr>
      <w:proofErr w:type="spellStart"/>
      <w:r w:rsidRPr="0093778D">
        <w:rPr>
          <w:rFonts w:ascii="Georgia" w:eastAsia="Times New Roman" w:hAnsi="Georgia" w:cs="Segoe UI"/>
          <w:color w:val="000000" w:themeColor="text1"/>
          <w:kern w:val="0"/>
          <w14:ligatures w14:val="none"/>
        </w:rPr>
        <w:lastRenderedPageBreak/>
        <w:t>LaunchDarkly</w:t>
      </w:r>
      <w:proofErr w:type="spellEnd"/>
      <w:r w:rsidRPr="0093778D">
        <w:rPr>
          <w:rFonts w:ascii="Georgia" w:eastAsia="Times New Roman" w:hAnsi="Georgia" w:cs="Segoe UI"/>
          <w:color w:val="000000" w:themeColor="text1"/>
          <w:kern w:val="0"/>
          <w14:ligatures w14:val="none"/>
        </w:rPr>
        <w:t>. "The Downsides of Heavy Change Management." </w:t>
      </w:r>
      <w:proofErr w:type="spellStart"/>
      <w:r w:rsidRPr="0093778D">
        <w:rPr>
          <w:rFonts w:ascii="Georgia" w:eastAsia="Times New Roman" w:hAnsi="Georgia" w:cs="Segoe UI"/>
          <w:i/>
          <w:iCs/>
          <w:color w:val="000000" w:themeColor="text1"/>
          <w:kern w:val="0"/>
          <w14:ligatures w14:val="none"/>
        </w:rPr>
        <w:t>LaunchDarkly</w:t>
      </w:r>
      <w:proofErr w:type="spellEnd"/>
      <w:r w:rsidRPr="0093778D">
        <w:rPr>
          <w:rFonts w:ascii="Georgia" w:eastAsia="Times New Roman" w:hAnsi="Georgia" w:cs="Segoe UI"/>
          <w:color w:val="000000" w:themeColor="text1"/>
          <w:kern w:val="0"/>
          <w14:ligatures w14:val="none"/>
        </w:rPr>
        <w:t>, 2023, </w:t>
      </w:r>
      <w:hyperlink r:id="rId9" w:tgtFrame="_blank" w:history="1">
        <w:r w:rsidRPr="0093778D">
          <w:rPr>
            <w:rFonts w:ascii="Georgia" w:eastAsia="Times New Roman" w:hAnsi="Georgia" w:cs="Segoe UI"/>
            <w:color w:val="000000" w:themeColor="text1"/>
            <w:kern w:val="0"/>
            <w:u w:val="single"/>
            <w:bdr w:val="single" w:sz="12" w:space="0" w:color="auto" w:frame="1"/>
            <w14:ligatures w14:val="none"/>
          </w:rPr>
          <w:t>launchdarkly.com/guides/reconciling-change-management-and-continuous-delivery/the-downsides-of-heavy-change-management/</w:t>
        </w:r>
      </w:hyperlink>
      <w:r w:rsidRPr="0093778D">
        <w:rPr>
          <w:rFonts w:ascii="Georgia" w:eastAsia="Times New Roman" w:hAnsi="Georgia" w:cs="Segoe UI"/>
          <w:color w:val="000000" w:themeColor="text1"/>
          <w:kern w:val="0"/>
          <w14:ligatures w14:val="none"/>
        </w:rPr>
        <w:t>. Accessed 26 Feb. 2026.</w:t>
      </w:r>
    </w:p>
    <w:p w14:paraId="755B8EE1" w14:textId="77777777" w:rsidR="0093778D" w:rsidRPr="0093778D" w:rsidRDefault="0093778D" w:rsidP="0093778D">
      <w:pPr>
        <w:shd w:val="clear" w:color="auto" w:fill="FFFFFF" w:themeFill="background1"/>
        <w:spacing w:before="240" w:after="0" w:line="480" w:lineRule="auto"/>
        <w:rPr>
          <w:rFonts w:ascii="Georgia" w:eastAsia="Times New Roman" w:hAnsi="Georgia" w:cs="Segoe UI"/>
          <w:color w:val="000000" w:themeColor="text1"/>
          <w:kern w:val="0"/>
          <w14:ligatures w14:val="none"/>
        </w:rPr>
      </w:pPr>
      <w:r w:rsidRPr="0093778D">
        <w:rPr>
          <w:rFonts w:ascii="Georgia" w:eastAsia="Times New Roman" w:hAnsi="Georgia" w:cs="Segoe UI"/>
          <w:color w:val="000000" w:themeColor="text1"/>
          <w:kern w:val="0"/>
          <w14:ligatures w14:val="none"/>
        </w:rPr>
        <w:t>ManageEngine. "4 ITIL Change Management Challenges: Unauthorized Changes &amp; More." </w:t>
      </w:r>
      <w:r w:rsidRPr="0093778D">
        <w:rPr>
          <w:rFonts w:ascii="Georgia" w:eastAsia="Times New Roman" w:hAnsi="Georgia" w:cs="Segoe UI"/>
          <w:i/>
          <w:iCs/>
          <w:color w:val="000000" w:themeColor="text1"/>
          <w:kern w:val="0"/>
          <w14:ligatures w14:val="none"/>
        </w:rPr>
        <w:t>ManageEngine</w:t>
      </w:r>
      <w:r w:rsidRPr="0093778D">
        <w:rPr>
          <w:rFonts w:ascii="Georgia" w:eastAsia="Times New Roman" w:hAnsi="Georgia" w:cs="Segoe UI"/>
          <w:color w:val="000000" w:themeColor="text1"/>
          <w:kern w:val="0"/>
          <w14:ligatures w14:val="none"/>
        </w:rPr>
        <w:t>, 2025, </w:t>
      </w:r>
      <w:hyperlink r:id="rId10" w:tgtFrame="_blank" w:history="1">
        <w:r w:rsidRPr="0093778D">
          <w:rPr>
            <w:rFonts w:ascii="Georgia" w:eastAsia="Times New Roman" w:hAnsi="Georgia" w:cs="Segoe UI"/>
            <w:color w:val="000000" w:themeColor="text1"/>
            <w:kern w:val="0"/>
            <w:u w:val="single"/>
            <w:bdr w:val="single" w:sz="12" w:space="0" w:color="auto" w:frame="1"/>
            <w14:ligatures w14:val="none"/>
          </w:rPr>
          <w:t>www.manageengine.com/uk/products/service-desk/it-change-management/key-challenges-in-change-management.html</w:t>
        </w:r>
      </w:hyperlink>
      <w:r w:rsidRPr="0093778D">
        <w:rPr>
          <w:rFonts w:ascii="Georgia" w:eastAsia="Times New Roman" w:hAnsi="Georgia" w:cs="Segoe UI"/>
          <w:color w:val="000000" w:themeColor="text1"/>
          <w:kern w:val="0"/>
          <w14:ligatures w14:val="none"/>
        </w:rPr>
        <w:t>. Accessed 26 Feb. 2026.</w:t>
      </w:r>
    </w:p>
    <w:p w14:paraId="43BB85CE" w14:textId="5C223B85" w:rsidR="00ED7E6F" w:rsidRPr="0093778D" w:rsidRDefault="00ED7E6F" w:rsidP="0093778D">
      <w:pPr>
        <w:shd w:val="clear" w:color="auto" w:fill="FFFFFF" w:themeFill="background1"/>
        <w:spacing w:line="480" w:lineRule="auto"/>
        <w:rPr>
          <w:rFonts w:ascii="Georgia" w:hAnsi="Georgia"/>
          <w:color w:val="000000" w:themeColor="text1"/>
        </w:rPr>
      </w:pPr>
    </w:p>
    <w:sectPr w:rsidR="00ED7E6F" w:rsidRPr="00937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405EA"/>
    <w:multiLevelType w:val="multilevel"/>
    <w:tmpl w:val="7418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85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2F"/>
    <w:rsid w:val="00330D2F"/>
    <w:rsid w:val="006F500C"/>
    <w:rsid w:val="007E3C9B"/>
    <w:rsid w:val="0093778D"/>
    <w:rsid w:val="009C0B55"/>
    <w:rsid w:val="00CA00A3"/>
    <w:rsid w:val="00D718EA"/>
    <w:rsid w:val="00DE6152"/>
    <w:rsid w:val="00ED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34722"/>
  <w15:chartTrackingRefBased/>
  <w15:docId w15:val="{D2324863-1000-344D-9E15-ED008646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2F"/>
    <w:rPr>
      <w:rFonts w:eastAsiaTheme="majorEastAsia" w:cstheme="majorBidi"/>
      <w:color w:val="272727" w:themeColor="text1" w:themeTint="D8"/>
    </w:rPr>
  </w:style>
  <w:style w:type="paragraph" w:styleId="Title">
    <w:name w:val="Title"/>
    <w:basedOn w:val="Normal"/>
    <w:next w:val="Normal"/>
    <w:link w:val="TitleChar"/>
    <w:uiPriority w:val="10"/>
    <w:qFormat/>
    <w:rsid w:val="0033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2F"/>
    <w:pPr>
      <w:spacing w:before="160"/>
      <w:jc w:val="center"/>
    </w:pPr>
    <w:rPr>
      <w:i/>
      <w:iCs/>
      <w:color w:val="404040" w:themeColor="text1" w:themeTint="BF"/>
    </w:rPr>
  </w:style>
  <w:style w:type="character" w:customStyle="1" w:styleId="QuoteChar">
    <w:name w:val="Quote Char"/>
    <w:basedOn w:val="DefaultParagraphFont"/>
    <w:link w:val="Quote"/>
    <w:uiPriority w:val="29"/>
    <w:rsid w:val="00330D2F"/>
    <w:rPr>
      <w:i/>
      <w:iCs/>
      <w:color w:val="404040" w:themeColor="text1" w:themeTint="BF"/>
    </w:rPr>
  </w:style>
  <w:style w:type="paragraph" w:styleId="ListParagraph">
    <w:name w:val="List Paragraph"/>
    <w:basedOn w:val="Normal"/>
    <w:uiPriority w:val="34"/>
    <w:qFormat/>
    <w:rsid w:val="00330D2F"/>
    <w:pPr>
      <w:ind w:left="720"/>
      <w:contextualSpacing/>
    </w:pPr>
  </w:style>
  <w:style w:type="character" w:styleId="IntenseEmphasis">
    <w:name w:val="Intense Emphasis"/>
    <w:basedOn w:val="DefaultParagraphFont"/>
    <w:uiPriority w:val="21"/>
    <w:qFormat/>
    <w:rsid w:val="00330D2F"/>
    <w:rPr>
      <w:i/>
      <w:iCs/>
      <w:color w:val="0F4761" w:themeColor="accent1" w:themeShade="BF"/>
    </w:rPr>
  </w:style>
  <w:style w:type="paragraph" w:styleId="IntenseQuote">
    <w:name w:val="Intense Quote"/>
    <w:basedOn w:val="Normal"/>
    <w:next w:val="Normal"/>
    <w:link w:val="IntenseQuoteChar"/>
    <w:uiPriority w:val="30"/>
    <w:qFormat/>
    <w:rsid w:val="00330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D2F"/>
    <w:rPr>
      <w:i/>
      <w:iCs/>
      <w:color w:val="0F4761" w:themeColor="accent1" w:themeShade="BF"/>
    </w:rPr>
  </w:style>
  <w:style w:type="character" w:styleId="IntenseReference">
    <w:name w:val="Intense Reference"/>
    <w:basedOn w:val="DefaultParagraphFont"/>
    <w:uiPriority w:val="32"/>
    <w:qFormat/>
    <w:rsid w:val="00330D2F"/>
    <w:rPr>
      <w:b/>
      <w:bCs/>
      <w:smallCaps/>
      <w:color w:val="0F4761" w:themeColor="accent1" w:themeShade="BF"/>
      <w:spacing w:val="5"/>
    </w:rPr>
  </w:style>
  <w:style w:type="paragraph" w:customStyle="1" w:styleId="ds-markdown-paragraph">
    <w:name w:val="ds-markdown-paragraph"/>
    <w:basedOn w:val="Normal"/>
    <w:rsid w:val="00330D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0D2F"/>
    <w:rPr>
      <w:b/>
      <w:bCs/>
    </w:rPr>
  </w:style>
  <w:style w:type="character" w:styleId="Hyperlink">
    <w:name w:val="Hyperlink"/>
    <w:basedOn w:val="DefaultParagraphFont"/>
    <w:uiPriority w:val="99"/>
    <w:semiHidden/>
    <w:unhideWhenUsed/>
    <w:rsid w:val="00ED7E6F"/>
    <w:rPr>
      <w:color w:val="0000FF"/>
      <w:u w:val="single"/>
    </w:rPr>
  </w:style>
  <w:style w:type="character" w:styleId="Emphasis">
    <w:name w:val="Emphasis"/>
    <w:basedOn w:val="DefaultParagraphFont"/>
    <w:uiPriority w:val="20"/>
    <w:qFormat/>
    <w:rsid w:val="00ED7E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enasolutions.com/blog/establishing-control-in-your-change-process/" TargetMode="External"/><Relationship Id="rId3" Type="http://schemas.openxmlformats.org/officeDocument/2006/relationships/settings" Target="settings.xml"/><Relationship Id="rId7" Type="http://schemas.openxmlformats.org/officeDocument/2006/relationships/hyperlink" Target="https://teamtopologies.com/news-blogs-newsletters/when-dora-metrics-meet-governance-in-bank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taninnovationawards.com/winner-info.php?id=3034" TargetMode="External"/><Relationship Id="rId11" Type="http://schemas.openxmlformats.org/officeDocument/2006/relationships/fontTable" Target="fontTable.xml"/><Relationship Id="rId5" Type="http://schemas.openxmlformats.org/officeDocument/2006/relationships/hyperlink" Target="https://www.stickyminds.com/article/lost-art-change-control" TargetMode="External"/><Relationship Id="rId10" Type="http://schemas.openxmlformats.org/officeDocument/2006/relationships/hyperlink" Target="https://www.manageengine.com/uk/products/service-desk/it-change-management/key-challenges-in-change-management.html" TargetMode="External"/><Relationship Id="rId4" Type="http://schemas.openxmlformats.org/officeDocument/2006/relationships/webSettings" Target="webSettings.xml"/><Relationship Id="rId9" Type="http://schemas.openxmlformats.org/officeDocument/2006/relationships/hyperlink" Target="https://launchdarkly.com/guides/reconciling-change-management-and-continuous-delivery/the-downsides-of-heavy-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Sylvester Brandon</dc:creator>
  <cp:keywords/>
  <dc:description/>
  <cp:lastModifiedBy>Sylvester Brandon</cp:lastModifiedBy>
  <cp:revision>1</cp:revision>
  <dcterms:created xsi:type="dcterms:W3CDTF">2026-02-26T23:15:00Z</dcterms:created>
  <dcterms:modified xsi:type="dcterms:W3CDTF">2026-02-26T23:59:00Z</dcterms:modified>
</cp:coreProperties>
</file>