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wps="http://schemas.microsoft.com/office/word/2010/wordprocessingShape" mc:Ignorable="w14 w15 w16se w16cid w16 w16cex w16sdtdh wne wp14">
  <w:body>
    <w:p>
      <w:pPr>
        <w:pStyle w:val="papertitle"/>
      </w:pPr>
      <w:r>
        <w:t>Toward a Diagnostic Theory of Score Geometry in Hybrid Retrieval</w:t>
      </w:r>
    </w:p>
    <w:p>
      <w:pPr>
        <w:pStyle w:val="Author"/>
      </w:pPr>
      <w:r>
        <w:rPr>
          <w:sz w:val="22"/>
          <w:szCs w:val="22"/>
        </w:rPr>
        <w:t>Mojtaba Banaei</w:t>
      </w:r>
      <w:r>
        <w:rPr>
          <w:vertAlign w:val="superscript"/>
          <w:sz w:val="22"/>
          <w:szCs w:val="22"/>
        </w:rPr>
        <w:t>1</w:t>
      </w:r>
      <w:r>
        <w:br/>
      </w:r>
      <w:r>
        <w:rPr>
          <w:i/>
          <w:iCs/>
          <w:sz w:val="22"/>
          <w:szCs w:val="22"/>
        </w:rPr>
        <w:t>Data Base Research Group (DBRG), University of Tehran</w:t>
      </w:r>
      <w:r>
        <w:br/>
      </w:r>
      <w:r>
        <w:rPr>
          <w:sz w:val="22"/>
          <w:szCs w:val="22"/>
        </w:rPr>
        <w:t>smbanaei@ut.ac.ir</w:t>
      </w:r>
    </w:p>
    <w:p>
      <w:pPr>
        <w:pStyle w:val="Author"/>
      </w:pPr>
      <w:r>
        <w:rPr>
          <w:sz w:val="22"/>
          <w:szCs w:val="22"/>
        </w:rPr>
        <w:t>Maseud Rahgozar</w:t>
      </w:r>
      <w:r>
        <w:rPr>
          <w:vertAlign w:val="superscript"/>
          <w:sz w:val="22"/>
          <w:szCs w:val="22"/>
        </w:rPr>
        <w:t>2</w:t>
      </w:r>
      <w:r>
        <w:br/>
      </w:r>
      <w:r>
        <w:rPr>
          <w:i/>
          <w:iCs/>
          <w:sz w:val="22"/>
          <w:szCs w:val="22"/>
        </w:rPr>
        <w:t>Data Base Research Group (DBRG), University of Tehran</w:t>
      </w:r>
      <w:r>
        <w:br/>
      </w:r>
      <w:r>
        <w:rPr>
          <w:sz w:val="22"/>
          <w:szCs w:val="22"/>
        </w:rPr>
        <w:t>rahgozar@ut.ac.ir</w:t>
      </w:r>
    </w:p>
    <w:p>
      <w:pPr>
        <w:sectPr>
          <w:footerReference w:type="first" r:id="rId8"/>
          <w:pgSz w:w="595.30pt" w:h="841.90pt" w:code="9"/>
          <w:pgMar w:top="27pt" w:right="44.65pt" w:bottom="72pt" w:left="44.65pt" w:header="36pt" w:footer="36pt" w:gutter="0pt"/>
          <w:cols w:space="36pt"/>
          <w:titlePg/>
          <w:docGrid w:linePitch="360"/>
        </w:sectPr>
      </w:pPr>
    </w:p>
    <w:p>
      <w:pPr>
        <w:pStyle w:val="Abstract"/>
      </w:pPr>
      <w:r>
        <w:rPr>
          <w:b/>
          <w:bCs/>
          <w:i/>
          <w:iCs/>
        </w:rPr>
        <w:t>Abstract—</w:t>
      </w:r>
      <w:r>
        <w:t>Hybrid retrieval systems combine sparse and semantic signals through fusion operators such as linear interpolation or Reciprocal Rank Fusion (RRF). However, which operator is preferable in practice is typically identified through exhaustive but largely theoryless trial and error. This paper provides a diagnostic account of the connection between fusion operators and hybrid retrieval effectiveness. First, we categorize hybrid retrieval failures based on whether the problem originates in the signals, the operator, or the representation. Then, we formalize a retrieval signal as a point in a score-geometry space G with certain measurable properties that we claim can be used as a sufficient coordinate system for the class of fusion operators under consideration; define the Complementarity Illusion as a specific, checkable pattern of rank correlation and operator-recoverability; name the resulting Hybrid Compatibility profile formed by these diagnostics; and prove one theoretical result, the Operator Information Preservation claim: that RRF is a function of rank alone, whereas linear interpolation additionally preserves magnitude. By applying the developed framework, we explain a set of previously observed fusion phenomena from a particular hybrid combination of a deterministic sparse-distributed-representation retriever (Semantic Folding) and a learned sparse model (SPLADE) over nine datasets, including a few observations about the limitations of internal feature engineering within such a hybrid system. We additionally provide a partial account, in the form of a proof sketch, for the reduction in score dynamic range with large candidate pools and outline potential directions for future work. Specifically, we suggest but do not yet demonstrate a pre-fusion diagnostic pipeline based on the Hybrid Compatibility profile and outline what additional data would be needed — hybrid pairs beyond SF+SPLADE and an out-of-sample validation for the proposed decision rules — to make our findings truly independent of the particular retrievers under evaluation. This paper was submitted as an accompanying theoretical piece to, and deliberately narrower in scope than, our companion systems-oriented study of Semantic Folding; here the retriever is the instrument, and score geometry the subject.</w:t>
      </w:r>
    </w:p>
    <w:p>
      <w:pPr>
        <w:pStyle w:val="Keywords"/>
      </w:pPr>
      <w:r>
        <w:rPr>
          <w:b/>
          <w:bCs/>
        </w:rPr>
        <w:t>Keywords—</w:t>
      </w:r>
      <w:r>
        <w:t>Hybrid Information Retrieval, Score Geometry, Rank Correlation, Fusion Operators, Reciprocal Rank Fusion.</w:t>
      </w:r>
    </w:p>
    <w:p>
      <w:pPr>
        <w:pStyle w:val="Heading1"/>
      </w:pPr>
      <w:r>
        <w:t>Introduction</w:t>
      </w:r>
    </w:p>
    <w:p>
      <w:pPr>
        <w:pStyle w:val="BodyText"/>
      </w:pPr>
      <w:r>
        <w:t>Hybrid retrieval is now the default architecture for production search: a lexical or sparse signal (e.g., Vector Space Models [1], BM25 [2], [3], or UniCOIL [4]) is combined with a learned signal (e.g., dense retrieval [5], [6], [7] or learned sparse models like SPLADE [10], ColBERTv2 [8], and late interaction variants [9]) using RRF [11], linear interpolation, or one of their relatives (CombSUM, CombMNZ [12]). In practice, the choice of operator is empirical, determined through iteration and found to perform best on a validation set rather than motivated by any particular consideration of the task or signals being combined.</w:t>
      </w:r>
    </w:p>
    <w:p>
      <w:pPr>
        <w:pStyle w:val="BodyText"/>
      </w:pPr>
      <w:r>
        <w:t>This paper asks whether that choice could instead be predicted from properties of the two signals’ score distributions that could be measured before fusion.</w:t>
      </w:r>
    </w:p>
    <w:p>
      <w:pPr>
        <w:pStyle w:val="BodyText"/>
      </w:pPr>
      <w:r>
        <w:t>We do not claim to answer this question definitively; what we can do, and what this paper attempts to do, is (i) provide a taxonomy that classifies a hybrid failure based on where it occurs in the retrieval pipeline, independent of any particular retriever; (ii) give a precise account of the information contained in each of the two primary operators’ outputs that could inform such a classification; (iii) demonstrate, through an example using a deterministic sparse-distributed-representation retriever (Semantic Folding, SF [13]) combined with a learned sparse representation (SPLADE [10]), that such an account accounts for three phenomena previously reported in the literature; and (iv) present a diagnostic pipeline and potential decision rule, not yet validated out-of-sample or on other retriever pairings, along with the experiments that would validate it.</w:t>
      </w:r>
    </w:p>
    <w:p>
      <w:pPr>
        <w:pStyle w:val="BodyText"/>
      </w:pPr>
      <w:r>
        <w:t>This is a narrower claim than what the title suggests: we make no claim to a general predictive theory of hybrid retrieval, and instead narrow our claims to the single retriever pair we test. We believe this is the right approach: attempting to generalize beyond the limited set of retrieval architectures we evaluate is a direction for future work. SF is used here as an example of a class of non-learned, deterministic sparse vector representations [14], [15], [16], [17], [13], grounded in hyperdimensional computing [18] and biologically constrained AI models [19]. These representations often leverage the distributional hypothesis of language [20], [21] to mitigate vocabulary mismatch [22]. A full description of SF’s architecture is provided in our companion paper, and we present it only in so much detail as necessary to motivate the following discussion.</w:t>
      </w:r>
    </w:p>
    <w:p>
      <w:pPr>
        <w:pStyle w:val="BodyText"/>
      </w:pPr>
      <w:r>
        <w:t>In a nutshell, the contributions of our work are presented in the following order:</w:t>
      </w:r>
    </w:p>
    <w:p>
      <w:pPr>
        <w:pStyle w:val="bulletlist"/>
      </w:pPr>
      <w:r>
        <w:t>We introduce a taxonomy of hybrid retrieval failures which identifies signal, operator, and representation failure, and does so irrespective of a given retriever.</w:t>
      </w:r>
    </w:p>
    <w:p>
      <w:pPr>
        <w:pStyle w:val="bulletlist"/>
      </w:pPr>
      <w:r>
        <w:t>We present a formal definition of the information captured by fusion operators; RRF captures only order information, linear interpolation captures both order and magnitude information; these conclusions can be drawn directly from the definitions of these operators.</w:t>
      </w:r>
    </w:p>
    <w:p>
      <w:pPr>
        <w:pStyle w:val="bulletlist"/>
      </w:pPr>
      <w:r>
        <w:t>We provide a language to describe the nature of retrieval signals and their mutual compatibility: we introduce a score geometry representation (Definition 1) and a Hybrid Compatibility profile (Definition 3).</w:t>
      </w:r>
    </w:p>
    <w:p>
      <w:pPr>
        <w:pStyle w:val="bulletlist"/>
      </w:pPr>
      <w:r>
        <w:t>We describe a pre-fusion diagnostic method, offering specific worked examples while leaving further development for future research.</w:t>
      </w:r>
    </w:p>
    <w:p>
      <w:pPr>
        <w:pStyle w:val="Heading2"/>
      </w:pPr>
      <w:r>
        <w:t>Related work: adaptive and learned fusion</w:t>
      </w:r>
    </w:p>
    <w:p>
      <w:pPr>
        <w:pStyle w:val="BodyText"/>
      </w:pPr>
      <w:r>
        <w:t>Classical data fusion approaches such as CombSUM and CombMNZ (Fox &amp; Shaw, 1994 [12]) and Reciprocal Rank Fusion (RRF: Cormack et al., 2009 [11]) operate with an operator fixed in advance independently of the query. Another line of work aims to learn or adapt the combination operator itself: Montague and Aslam (2001) [23] propose to normalize relevance scores to address the incommensurability challenge inherent to metasearch, tackling another incarnation of the scale-mismatch problem discussed in §4.1; their solution builds upon the normalization approach to the same problem, whereas we build upon the operator-choice alternative. Recent surveys on retrieval-augmented generation [24] discuss learning linear combination weights or adaptive fusion from training data rather than fixing α in advance, and recent overviews of large language models in retrieval [25] highlight the statistical impact of score normalization choices. Most recently, Hermosillo-Valadez et al. (2022) [26] propose a query-dependent, nonlinear fusion method based on copulas and report an empirical threshold on Kendall’s τ (τ ≤ 0.4) for switching between their approach and a linear combination method (CombMNZ); this approximates our choice rule (§5) in that it proposes a default alternative for fusion tasks where the choice is not obvious, but differs from ours in that it is motivated by empirical performance on a particular set of fusion tasks, whereas we motivate ours by the preservation of operators’ properties (§3.2).</w:t>
      </w:r>
    </w:p>
    <w:p>
      <w:pPr>
        <w:pStyle w:val="BodyText"/>
      </w:pPr>
      <w:r>
        <w:t>We see our contribution as complementary to the literature on learning to fuse, rather than in competition with it: whereas we answer a narrow question about a specific choice between two generic operators (RRF vs. linear interpolation), a more general learner could encompass this choice as one possibility among wider options, and we explicitly invite such comparisons for future work (§7). In the context of the specific choice between RRF and linear interpolation, such a learner would need to encode a preference for one of the options at training time; the option that better approximates a linear combination (e.g., CombMNZ in Hermosillo-Valadez et al., 2022) would benefit more from being directly trained upon, whereas our diagnostic rule serves as a lightweight alternative for the common case of choosing between two standard, parameter-free options at inference time. A direct comparison with such learning-to-fuse approaches is exactly the kind of future work we envision.</w:t>
      </w:r>
    </w:p>
    <w:p>
      <w:pPr>
        <w:pStyle w:val="Heading1"/>
      </w:pPr>
      <w:r>
        <w:t>A Taxonomy of Hybrid Retrieval Failures</w:t>
      </w:r>
    </w:p>
    <w:p>
      <w:pPr>
        <w:pStyle w:val="BodyText"/>
      </w:pPr>
      <w:r>
        <w:t>Before presenting any data, we fix terminology: a hybrid retrieval system ℋ is defined by two signal generators (S</w:t>
      </w:r>
      <w:r>
        <w:rPr>
          <w:vertAlign w:val="subscript"/>
        </w:rPr>
        <w:t>A</w:t>
      </w:r>
      <w:r>
        <w:t>, S</w:t>
      </w:r>
      <w:r>
        <w:rPr>
          <w:vertAlign w:val="subscript"/>
        </w:rPr>
        <w:t>B</w:t>
      </w:r>
      <w:r>
        <w:t>) and a fusion operator ℱ. We identify three broad classes of hybrid system failure, independent of choice of retrievers or operator, summarized in Fig. 1 and described below.</w:t>
      </w:r>
    </w:p>
    <w:p>
      <w:pPr>
        <w:pStyle w:val="bulletlist"/>
      </w:pPr>
      <w:r>
        <w:t xml:space="preserve">Signal Failure — the components carry no exploitable information relative to one another. This includes </w:t>
      </w:r>
      <w:r>
        <w:rPr>
          <w:b/>
          <w:bCs/>
        </w:rPr>
        <w:t>true redundancy</w:t>
      </w:r>
      <w:r>
        <w:t xml:space="preserve"> (rank correlation τ(π</w:t>
      </w:r>
      <w:r>
        <w:rPr>
          <w:vertAlign w:val="subscript"/>
        </w:rPr>
        <w:t>A</w:t>
      </w:r>
      <w:r>
        <w:t>, π</w:t>
      </w:r>
      <w:r>
        <w:rPr>
          <w:vertAlign w:val="subscript"/>
        </w:rPr>
        <w:t>B</w:t>
      </w:r>
      <w:r>
        <w:t xml:space="preserve">) ≈ 1: fusing injects noise, not evidence) and a </w:t>
      </w:r>
      <w:r>
        <w:rPr>
          <w:b/>
          <w:bCs/>
        </w:rPr>
        <w:t>locality-induced feature ceiling</w:t>
      </w:r>
      <w:r>
        <w:t xml:space="preserve"> (a candidate feature adds nothing beyond what the base signal already encodes).</w:t>
      </w:r>
    </w:p>
    <w:p>
      <w:pPr>
        <w:pStyle w:val="bulletlist"/>
      </w:pPr>
      <w:r>
        <w:t xml:space="preserve">Operator Failure — the operator discards information the task needs. This includes </w:t>
      </w:r>
      <w:r>
        <w:rPr>
          <w:b/>
          <w:bCs/>
        </w:rPr>
        <w:t>scale mismatch</w:t>
      </w:r>
      <w:r>
        <w:t xml:space="preserve"> (score spaces are incommensurate; a convex combination is dominated by one signal) and </w:t>
      </w:r>
      <w:r>
        <w:rPr>
          <w:b/>
          <w:bCs/>
        </w:rPr>
        <w:t>magnitude destruction</w:t>
      </w:r>
      <w:r>
        <w:t xml:space="preserve"> (a rank-only operator discards magnitude the task depends on).</w:t>
      </w:r>
    </w:p>
    <w:p>
      <w:pPr>
        <w:pStyle w:val="bulletlist"/>
      </w:pPr>
      <w:r>
        <w:t xml:space="preserve">Representation Failure — the signal’s own encoding has a structural ceiling. This includes a </w:t>
      </w:r>
      <w:r>
        <w:rPr>
          <w:b/>
          <w:bCs/>
        </w:rPr>
        <w:t>compositional gap</w:t>
      </w:r>
      <w:r>
        <w:t xml:space="preserve"> (the representation has no relational algebra to bind facts across documents) and </w:t>
      </w:r>
      <w:r>
        <w:rPr>
          <w:b/>
          <w:bCs/>
        </w:rPr>
        <w:t>score concentration</w:t>
      </w:r>
      <w:r>
        <w:t xml:space="preserve"> (dynamic range collapses as candidate pool size grows).</w:t>
      </w:r>
    </w:p>
    <w:p>
      <w:pPr>
        <w:pStyle w:val="BodyText"/>
      </w:pPr>
      <w:r>
        <w:t>Each leaf of the tree leads to a different diagnosis and, by extension, a different candidate remedy (e.g., re-normalize, change operator, re-construct the signal, or drop the weaker signal). Sections 3–5 outline the details of the Operator Failure leaves and present a case study for each; we intend the taxonomy to be comprehensive with respect to the phenomena covered in this paper, not exhaustive in general.</w:t>
      </w:r>
    </w:p>
    <w:p>
      <w:pPr>
        <w:pStyle w:val="figurecaption"/>
      </w:pPr>
      <w:r>
        <w:t xml:space="preserve">Fig. 1. </w:t>
      </w:r>
      <w:r>
        <w:t>Taxonomy of hybrid retrieval failure modes: Signal Failure, Operator Failure, and Representation Failure, each with two sub-cases.</w:t>
      </w:r>
      <w:r>
        <w:rPr>
          <w:i/>
          <w:iCs/>
          <w:sz w:val="14"/>
          <w:szCs w:val="14"/>
        </w:rPr>
        <w:t xml:space="preserve">  [Figure to be supplied by the authors; source graphic not included in this manuscript file.]</w:t>
      </w:r>
    </w:p>
    <w:p>
      <w:pPr>
        <w:pStyle w:val="Heading1"/>
      </w:pPr>
      <w:r>
        <w:t>A Score-Geometric Model of Retrieval</w:t>
      </w:r>
    </w:p>
    <w:p>
      <w:pPr>
        <w:pStyle w:val="Heading2"/>
      </w:pPr>
      <w:r>
        <w:t>Score geometry</w:t>
      </w:r>
    </w:p>
    <w:p>
      <w:pPr>
        <w:pStyle w:val="BodyText"/>
      </w:pPr>
      <w:r>
        <w:t>We denote by S the random variable corresponding to the score a retrieval system R gives for a candidate document to the query q, and assume that P</w:t>
      </w:r>
      <w:r>
        <w:rPr>
          <w:vertAlign w:val="subscript"/>
        </w:rPr>
        <w:t>R</w:t>
      </w:r>
      <w:r>
        <w:t>(S | q) is the (unobserved) distribution from which it is drawn.</w:t>
      </w:r>
    </w:p>
    <w:p>
      <w:pPr>
        <w:pStyle w:val="BodyText"/>
      </w:pPr>
      <w:r>
        <w:rPr>
          <w:b/>
          <w:bCs/>
        </w:rPr>
        <w:t xml:space="preserve">Definition 1 (Score Geometry). </w:t>
      </w:r>
      <w:r>
        <w:t>For a retrieval model R and query q, the observable score geometry is</w:t>
      </w:r>
    </w:p>
    <w:p>
      <w:pPr>
        <w:pStyle w:val="equation"/>
      </w:pPr>
      <w:r>
        <w:tab/>
      </w:r>
      <w:r>
        <w:rPr>
          <w:i/>
          <w:iCs/>
        </w:rPr>
        <w:t>𝒢</w:t>
      </w:r>
      <w:r>
        <w:rPr>
          <w:vertAlign w:val="subscript"/>
        </w:rPr>
        <w:t>R</w:t>
      </w:r>
      <w:r>
        <w:rPr>
          <w:i/>
          <w:iCs/>
        </w:rPr>
        <w:t>(q) = (π, s, μ</w:t>
      </w:r>
      <w:r>
        <w:rPr>
          <w:vertAlign w:val="subscript"/>
        </w:rPr>
        <w:t>S</w:t>
      </w:r>
      <w:r>
        <w:t>, σ</w:t>
      </w:r>
      <w:r>
        <w:rPr>
          <w:vertAlign w:val="subscript"/>
        </w:rPr>
        <w:t>S</w:t>
      </w:r>
      <w:r>
        <w:rPr>
          <w:vertAlign w:val="superscript"/>
        </w:rPr>
        <w:t>2</w:t>
      </w:r>
      <w:r>
        <w:t>)</w:t>
      </w:r>
      <w:r>
        <w:tab/>
      </w:r>
      <w:r>
        <w:t>(1)</w:t>
      </w:r>
    </w:p>
    <w:p>
      <w:pPr>
        <w:pStyle w:val="BodyText"/>
      </w:pPr>
      <w:r>
        <w:t>where π is the ranking generated; s ∈ ℝ</w:t>
      </w:r>
      <w:r>
        <w:rPr>
          <w:vertAlign w:val="superscript"/>
        </w:rPr>
        <w:t>n</w:t>
      </w:r>
      <w:r>
        <w:t xml:space="preserve"> is the empirical score vector of the n candidates; and μ</w:t>
      </w:r>
      <w:r>
        <w:rPr>
          <w:vertAlign w:val="subscript"/>
        </w:rPr>
        <w:t>S</w:t>
      </w:r>
      <w:r>
        <w:t xml:space="preserve"> and σ</w:t>
      </w:r>
      <w:r>
        <w:rPr>
          <w:vertAlign w:val="subscript"/>
        </w:rPr>
        <w:t>S</w:t>
      </w:r>
      <w:r>
        <w:rPr>
          <w:vertAlign w:val="superscript"/>
        </w:rPr>
        <w:t>2</w:t>
      </w:r>
      <w:r>
        <w:t xml:space="preserve"> are the empirical mean and variance.</w:t>
      </w:r>
    </w:p>
    <w:p>
      <w:pPr>
        <w:pStyle w:val="BodyText"/>
      </w:pPr>
      <w:r>
        <w:t>We choose this coordinate system because it allows us to analyze the class of fusion operators introduced in this work: each operator is sensitive either to rank only or to the raw scores, so the two moments μ</w:t>
      </w:r>
      <w:r>
        <w:rPr>
          <w:vertAlign w:val="subscript"/>
        </w:rPr>
        <w:t>S</w:t>
      </w:r>
      <w:r>
        <w:t xml:space="preserve"> and σ</w:t>
      </w:r>
      <w:r>
        <w:rPr>
          <w:vertAlign w:val="subscript"/>
        </w:rPr>
        <w:t>S</w:t>
      </w:r>
      <w:r>
        <w:rPr>
          <w:vertAlign w:val="superscript"/>
        </w:rPr>
        <w:t>2</w:t>
      </w:r>
      <w:r>
        <w:t xml:space="preserve"> are the only additional quantities needed (§4.2 and §4, respectively). A wider range of coordinates could be considered—for example, calibration, i.e., a score-to-relevance-probability mapping—but since we have not defined or measured calibration here, we leave it for future work rather than use it as an unspecified diagnostic tool.</w:t>
      </w:r>
    </w:p>
    <w:p>
      <w:pPr>
        <w:pStyle w:val="BodyText"/>
      </w:pPr>
      <w:r>
        <w:t>We write 𝒢 for the set of all score geometries obtainable this way, so a retriever R induces a map q ↦ 𝒢</w:t>
      </w:r>
      <w:r>
        <w:rPr>
          <w:vertAlign w:val="subscript"/>
        </w:rPr>
        <w:t>R</w:t>
      </w:r>
      <w:r>
        <w:t>(q) ∈ 𝒢. A fusion operator ℱ acts on a pair of score geometries (𝒢</w:t>
      </w:r>
      <w:r>
        <w:rPr>
          <w:vertAlign w:val="subscript"/>
        </w:rPr>
        <w:t>A</w:t>
      </w:r>
      <w:r>
        <w:t>, 𝒢</w:t>
      </w:r>
      <w:r>
        <w:rPr>
          <w:vertAlign w:val="subscript"/>
        </w:rPr>
        <w:t>B</w:t>
      </w:r>
      <w:r>
        <w:t>) ∈ 𝒢 × 𝒢; its behavior is fully defined by what it is sensitive to, among π, s (equivalently, μ</w:t>
      </w:r>
      <w:r>
        <w:rPr>
          <w:vertAlign w:val="subscript"/>
        </w:rPr>
        <w:t>S</w:t>
      </w:r>
      <w:r>
        <w:t>, σ</w:t>
      </w:r>
      <w:r>
        <w:rPr>
          <w:vertAlign w:val="subscript"/>
        </w:rPr>
        <w:t>S</w:t>
      </w:r>
      <w:r>
        <w:rPr>
          <w:vertAlign w:val="superscript"/>
        </w:rPr>
        <w:t>2</w:t>
      </w:r>
      <w:r>
        <w:t>).</w:t>
      </w:r>
    </w:p>
    <w:p>
      <w:pPr>
        <w:pStyle w:val="Heading2"/>
      </w:pPr>
      <w:r>
        <w:t>Operator Information Preservation</w:t>
      </w:r>
    </w:p>
    <w:p>
      <w:pPr>
        <w:pStyle w:val="BodyText"/>
      </w:pPr>
      <w:r>
        <w:rPr>
          <w:b/>
          <w:bCs/>
        </w:rPr>
        <w:t xml:space="preserve">Claim (Operator Information Preservation). </w:t>
      </w:r>
      <w:r>
        <w:t>Reciprocal Rank Fusion,</w:t>
      </w:r>
    </w:p>
    <w:p>
      <w:pPr>
        <w:pStyle w:val="equation"/>
      </w:pPr>
      <w:r>
        <w:tab/>
      </w:r>
      <w:r>
        <w:t>score</w:t>
      </w:r>
      <w:r>
        <w:rPr>
          <w:vertAlign w:val="subscript"/>
        </w:rPr>
        <w:t>RRF</w:t>
      </w:r>
      <w:r>
        <w:rPr>
          <w:i/>
          <w:iCs/>
        </w:rPr>
        <w:t>(d) = Σ</w:t>
      </w:r>
      <w:r>
        <w:rPr>
          <w:vertAlign w:val="subscript"/>
        </w:rPr>
        <w:t>r∈{A,B}</w:t>
      </w:r>
      <w:r>
        <w:t xml:space="preserve"> 1 / (k + rank</w:t>
      </w:r>
      <w:r>
        <w:rPr>
          <w:vertAlign w:val="subscript"/>
        </w:rPr>
        <w:t>r</w:t>
      </w:r>
      <w:r>
        <w:t>(d))</w:t>
      </w:r>
      <w:r>
        <w:tab/>
      </w:r>
      <w:r>
        <w:t>(2)</w:t>
      </w:r>
    </w:p>
    <w:p>
      <w:pPr>
        <w:pStyle w:val="BodyText"/>
      </w:pPr>
      <w:r>
        <w:t>is a function that depends only on rank. Even under a strictly monotonic transformation ϕ of a retriever’s raw scores, rank(ϕ(s)) = rank(s), so RRF’s output continues to be independent of monotonic rescalings of s. Linear interpolation,</w:t>
      </w:r>
    </w:p>
    <w:p>
      <w:pPr>
        <w:pStyle w:val="equation"/>
      </w:pPr>
      <w:r>
        <w:tab/>
      </w:r>
      <w:r>
        <w:t>score</w:t>
      </w:r>
      <w:r>
        <w:rPr>
          <w:vertAlign w:val="subscript"/>
        </w:rPr>
        <w:t>lin</w:t>
      </w:r>
      <w:r>
        <w:t>(d) = α·s</w:t>
      </w:r>
      <w:r>
        <w:rPr>
          <w:vertAlign w:val="subscript"/>
        </w:rPr>
        <w:t>A</w:t>
      </w:r>
      <w:r>
        <w:t>(d) + (1−α)·s</w:t>
      </w:r>
      <w:r>
        <w:rPr>
          <w:vertAlign w:val="subscript"/>
        </w:rPr>
        <w:t>B</w:t>
      </w:r>
      <w:r>
        <w:t xml:space="preserve">(d),  α ∈ [0,1]</w:t>
      </w:r>
      <w:r>
        <w:tab/>
      </w:r>
      <w:r>
        <w:t>(3)</w:t>
      </w:r>
    </w:p>
    <w:p>
      <w:pPr>
        <w:pStyle w:val="BodyText"/>
      </w:pPr>
      <w:r>
        <w:t>is not invariant to changes in either signal’s magnitude, because such a change alters that signal’s contribution to the fused score. In short: this result follows from how the operators are constructed, not from empirical observation. RRF preserves only ordering (π); linear interpolation preserves both ordering (π) and magnitude (s, hence μ</w:t>
      </w:r>
      <w:r>
        <w:rPr>
          <w:vertAlign w:val="subscript"/>
        </w:rPr>
        <w:t>S</w:t>
      </w:r>
      <w:r>
        <w:t>, σ</w:t>
      </w:r>
      <w:r>
        <w:rPr>
          <w:vertAlign w:val="subscript"/>
        </w:rPr>
        <w:t>S</w:t>
      </w:r>
      <w:r>
        <w:rPr>
          <w:vertAlign w:val="superscript"/>
        </w:rPr>
        <w:t>2</w:t>
      </w:r>
      <w:r>
        <w:t>).</w:t>
      </w:r>
    </w:p>
    <w:p>
      <w:pPr>
        <w:sectPr>
          <w:type w:val="continuous"/>
          <w:pgSz w:w="595.30pt" w:h="841.90pt" w:code="9"/>
          <w:pgMar w:top="54pt" w:right="45.35pt" w:bottom="72pt" w:left="45.35pt" w:header="36pt" w:footer="36pt" w:gutter="0pt"/>
          <w:cols w:num="2" w:space="18pt"/>
          <w:docGrid w:linePitch="360"/>
        </w:sectPr>
      </w:pPr>
    </w:p>
    <w:p>
      <w:pPr>
        <w:pStyle w:val="tablehead"/>
      </w:pPr>
      <w:r>
        <w:t>TABLE 1. Information preserved by each operator, by construction.</w:t>
      </w:r>
    </w:p>
    <w:tbl>
      <w:tblPr>
        <w:tblW w:w="10300" w:type="dxa"/>
        <w:jc w:val="center"/>
        <w:tblBorders>
          <w:top w:val="single" w:sz="4" w:space="0" w:color="auto"/>
          <w:bottom w:val="single" w:sz="4" w:space="0" w:color="auto"/>
          <w:insideH w:val="single" w:sz="2" w:space="0" w:color="auto"/>
        </w:tblBorders>
        <w:tblLayout w:type="fixed"/>
      </w:tblPr>
      <w:tblGrid>
        <w:gridCol w:w="2600"/>
        <w:gridCol w:w="3000"/>
        <w:gridCol w:w="1500"/>
        <w:gridCol w:w="1500"/>
        <w:gridCol w:w="1700"/>
      </w:tblGrid>
      <w:tr>
        <w:trPr>
          <w:jc w:val="center"/>
        </w:trPr>
        <w:tc>
          <w:tcPr>
            <w:tcW w:w="2600" w:type="dxa"/>
            <w:vAlign w:val="center"/>
          </w:tcPr>
          <w:p>
            <w:pPr>
              <w:pStyle w:val="tablecolhead"/>
              <w:jc w:val="center"/>
            </w:pPr>
            <w:r>
              <w:rPr>
                <w:b/>
                <w:bCs/>
              </w:rPr>
              <w:t>Operator</w:t>
            </w:r>
          </w:p>
        </w:tc>
        <w:tc>
          <w:tcPr>
            <w:tcW w:w="3000" w:type="dxa"/>
            <w:vAlign w:val="center"/>
          </w:tcPr>
          <w:p>
            <w:pPr>
              <w:pStyle w:val="tablecolhead"/>
              <w:jc w:val="center"/>
            </w:pPr>
            <w:r>
              <w:rPr>
                <w:b/>
                <w:bCs/>
              </w:rPr>
              <w:t>Formula</w:t>
            </w:r>
          </w:p>
        </w:tc>
        <w:tc>
          <w:tcPr>
            <w:tcW w:w="1500" w:type="dxa"/>
            <w:vAlign w:val="center"/>
          </w:tcPr>
          <w:p>
            <w:pPr>
              <w:pStyle w:val="tablecolhead"/>
              <w:jc w:val="center"/>
            </w:pPr>
            <w:r>
              <w:rPr>
                <w:b/>
                <w:bCs/>
              </w:rPr>
              <w:t>Preserves π</w:t>
            </w:r>
          </w:p>
        </w:tc>
        <w:tc>
          <w:tcPr>
            <w:tcW w:w="1500" w:type="dxa"/>
            <w:vAlign w:val="center"/>
          </w:tcPr>
          <w:p>
            <w:pPr>
              <w:pStyle w:val="tablecolhead"/>
              <w:jc w:val="center"/>
            </w:pPr>
            <w:r>
              <w:rPr>
                <w:b/>
                <w:bCs/>
              </w:rPr>
              <w:t>Preserves s</w:t>
            </w:r>
          </w:p>
        </w:tc>
        <w:tc>
          <w:tcPr>
            <w:tcW w:w="1700" w:type="dxa"/>
            <w:vAlign w:val="center"/>
          </w:tcPr>
          <w:p>
            <w:pPr>
              <w:pStyle w:val="tablecolhead"/>
              <w:jc w:val="center"/>
            </w:pPr>
            <w:r>
              <w:rPr>
                <w:b/>
                <w:bCs/>
              </w:rPr>
              <w:t>Scale-invariant</w:t>
            </w:r>
          </w:p>
        </w:tc>
      </w:tr>
      <w:tr>
        <w:trPr>
          <w:jc w:val="center"/>
        </w:trPr>
        <w:tc>
          <w:tcPr>
            <w:tcW w:w="2600" w:type="dxa"/>
            <w:vAlign w:val="center"/>
          </w:tcPr>
          <w:p>
            <w:pPr>
              <w:pStyle w:val="tablecopy"/>
            </w:pPr>
            <w:r>
              <w:t>RRF</w:t>
            </w:r>
          </w:p>
        </w:tc>
        <w:tc>
          <w:tcPr>
            <w:tcW w:w="3000" w:type="dxa"/>
            <w:vAlign w:val="center"/>
          </w:tcPr>
          <w:p>
            <w:pPr>
              <w:pStyle w:val="tablecopy"/>
            </w:pPr>
            <w:r>
              <w:t>Σᵣ 1/(k+rankᵣ(d))</w:t>
            </w:r>
          </w:p>
        </w:tc>
        <w:tc>
          <w:tcPr>
            <w:tcW w:w="1500" w:type="dxa"/>
            <w:vAlign w:val="center"/>
          </w:tcPr>
          <w:p>
            <w:pPr>
              <w:pStyle w:val="tablecopy"/>
            </w:pPr>
            <w:r>
              <w:t>✓</w:t>
            </w:r>
          </w:p>
        </w:tc>
        <w:tc>
          <w:tcPr>
            <w:tcW w:w="1500" w:type="dxa"/>
            <w:vAlign w:val="center"/>
          </w:tcPr>
          <w:p>
            <w:pPr>
              <w:pStyle w:val="tablecopy"/>
            </w:pPr>
            <w:r>
              <w:t>✗</w:t>
            </w:r>
          </w:p>
        </w:tc>
        <w:tc>
          <w:tcPr>
            <w:tcW w:w="1700" w:type="dxa"/>
            <w:vAlign w:val="center"/>
          </w:tcPr>
          <w:p>
            <w:pPr>
              <w:pStyle w:val="tablecopy"/>
            </w:pPr>
            <w:r>
              <w:t>✓</w:t>
            </w:r>
          </w:p>
        </w:tc>
      </w:tr>
      <w:tr>
        <w:trPr>
          <w:jc w:val="center"/>
        </w:trPr>
        <w:tc>
          <w:tcPr>
            <w:tcW w:w="2600" w:type="dxa"/>
            <w:vAlign w:val="center"/>
          </w:tcPr>
          <w:p>
            <w:pPr>
              <w:pStyle w:val="tablecopy"/>
            </w:pPr>
            <w:r>
              <w:t>Linear interpolation</w:t>
            </w:r>
          </w:p>
        </w:tc>
        <w:tc>
          <w:tcPr>
            <w:tcW w:w="3000" w:type="dxa"/>
            <w:vAlign w:val="center"/>
          </w:tcPr>
          <w:p>
            <w:pPr>
              <w:pStyle w:val="tablecopy"/>
            </w:pPr>
            <w:r>
              <w:t>αsᴀ+(1−α)sʙ</w:t>
            </w:r>
          </w:p>
        </w:tc>
        <w:tc>
          <w:tcPr>
            <w:tcW w:w="1500" w:type="dxa"/>
            <w:vAlign w:val="center"/>
          </w:tcPr>
          <w:p>
            <w:pPr>
              <w:pStyle w:val="tablecopy"/>
            </w:pPr>
            <w:r>
              <w:t>✓</w:t>
            </w:r>
          </w:p>
        </w:tc>
        <w:tc>
          <w:tcPr>
            <w:tcW w:w="1500" w:type="dxa"/>
            <w:vAlign w:val="center"/>
          </w:tcPr>
          <w:p>
            <w:pPr>
              <w:pStyle w:val="tablecopy"/>
            </w:pPr>
            <w:r>
              <w:t>✓</w:t>
            </w:r>
          </w:p>
        </w:tc>
        <w:tc>
          <w:tcPr>
            <w:tcW w:w="1700" w:type="dxa"/>
            <w:vAlign w:val="center"/>
          </w:tcPr>
          <w:p>
            <w:pPr>
              <w:pStyle w:val="tablecopy"/>
            </w:pPr>
            <w:r>
              <w:t>✗</w:t>
            </w:r>
          </w:p>
        </w:tc>
      </w:tr>
    </w:tbl>
    <w:p/>
    <w:p>
      <w:pPr>
        <w:sectPr>
          <w:type w:val="continuous"/>
          <w:pgSz w:w="595.30pt" w:h="841.90pt" w:code="9"/>
          <w:pgMar w:top="54pt" w:right="45.35pt" w:bottom="72pt" w:left="45.35pt" w:header="36pt" w:footer="36pt" w:gutter="0pt"/>
          <w:cols w:space="36pt"/>
          <w:docGrid w:linePitch="360"/>
        </w:sectPr>
      </w:pPr>
    </w:p>
    <w:p>
      <w:pPr>
        <w:pStyle w:val="Heading2"/>
      </w:pPr>
      <w:r>
        <w:t>Background: Semantic Folding as the Experimental Instrument</w:t>
      </w:r>
    </w:p>
    <w:p>
      <w:pPr>
        <w:pStyle w:val="BodyText"/>
      </w:pPr>
      <w:r>
        <w:t>We use Semantic Folding (SF) as an illustrative example of a technique that can be used to operationalize §3.2. SF is rooted in Sparse Distributed Representations (SDR) [14], [15], with foundational properties well-characterized in recent literature [27], [28]. We summarize it here only to the level needed to follow the remainder of this paper independently of our companion paper, which contains the full architecture, ablations, and derivations. SF is a deterministic, unsupervised pipeline with five stages and no learned parameters:</w:t>
      </w:r>
    </w:p>
    <w:p>
      <w:pPr>
        <w:pStyle w:val="bulletlist"/>
      </w:pPr>
      <w:r>
        <w:t>Term-context statistics. A TF-IDF weighted term-context matrix is generated from an unlabeled corpus.</w:t>
      </w:r>
    </w:p>
    <w:p>
      <w:pPr>
        <w:pStyle w:val="bulletlist"/>
      </w:pPr>
      <w:r>
        <w:t>2D projection. This matrix is projected down to a fixed 64×64 grid via UMAP [29], chosen for the superior separation of unrelated concepts achieved by the repulsive term in UMAP’s loss function.</w:t>
      </w:r>
    </w:p>
    <w:p>
      <w:pPr>
        <w:pStyle w:val="bulletlist"/>
      </w:pPr>
      <w:r>
        <w:t>Locality-preserving encoding. Grid coordinates are converted to integers using Morton Z-order encoding [30], so that two points’ Hamming distance as bitvectors approximately encodes their great-circle distance on the grid.</w:t>
      </w:r>
    </w:p>
    <w:p>
      <w:pPr>
        <w:pStyle w:val="bulletlist"/>
      </w:pPr>
      <w:r>
        <w:t>Fingerprint generation. Each document is represented as a d=4096-bit vector, produced by applying a Gaussian filter and thresholding to ρ=10% active bits (K = dρ ≈ 410 bits per document).</w:t>
      </w:r>
    </w:p>
    <w:p>
      <w:pPr>
        <w:pStyle w:val="bulletlist"/>
      </w:pPr>
      <w:r>
        <w:t>Query matching. A query is encoded the same way, with additional spreading-activation dynamics applied to neighboring grid cells, then matched against document fingerprints using cosine similarity.</w:t>
      </w:r>
    </w:p>
    <w:p>
      <w:pPr>
        <w:sectPr>
          <w:type w:val="continuous"/>
          <w:pgSz w:w="595.30pt" w:h="841.90pt" w:code="9"/>
          <w:pgMar w:top="54pt" w:right="45.35pt" w:bottom="72pt" w:left="45.35pt" w:header="36pt" w:footer="36pt" w:gutter="0pt"/>
          <w:cols w:num="2" w:space="18pt"/>
          <w:docGrid w:linePitch="360"/>
        </w:sectPr>
      </w:pPr>
    </w:p>
    <w:p>
      <w:pPr>
        <w:pStyle w:val="tablehead"/>
      </w:pPr>
      <w:r>
        <w:t>TABLE 2. SF architecture parameters relevant to this paper (full derivations in our companion paper).</w:t>
      </w:r>
    </w:p>
    <w:tbl>
      <w:tblPr>
        <w:tblW w:w="9000" w:type="dxa"/>
        <w:jc w:val="center"/>
        <w:tblBorders>
          <w:top w:val="single" w:sz="4" w:space="0" w:color="auto"/>
          <w:bottom w:val="single" w:sz="4" w:space="0" w:color="auto"/>
          <w:insideH w:val="single" w:sz="2" w:space="0" w:color="auto"/>
        </w:tblBorders>
        <w:tblLayout w:type="fixed"/>
      </w:tblPr>
      <w:tblGrid>
        <w:gridCol w:w="5500"/>
        <w:gridCol w:w="2000"/>
        <w:gridCol w:w="1500"/>
      </w:tblGrid>
      <w:tr>
        <w:trPr>
          <w:jc w:val="center"/>
        </w:trPr>
        <w:tc>
          <w:tcPr>
            <w:tcW w:w="5500" w:type="dxa"/>
            <w:vAlign w:val="center"/>
          </w:tcPr>
          <w:p>
            <w:pPr>
              <w:pStyle w:val="tablecolhead"/>
              <w:jc w:val="center"/>
            </w:pPr>
            <w:r>
              <w:rPr>
                <w:b/>
                <w:bCs/>
              </w:rPr>
              <w:t>Parameter</w:t>
            </w:r>
          </w:p>
        </w:tc>
        <w:tc>
          <w:tcPr>
            <w:tcW w:w="2000" w:type="dxa"/>
            <w:vAlign w:val="center"/>
          </w:tcPr>
          <w:p>
            <w:pPr>
              <w:pStyle w:val="tablecolhead"/>
              <w:jc w:val="center"/>
            </w:pPr>
            <w:r>
              <w:rPr>
                <w:b/>
                <w:bCs/>
              </w:rPr>
              <w:t>Symbol</w:t>
            </w:r>
          </w:p>
        </w:tc>
        <w:tc>
          <w:tcPr>
            <w:tcW w:w="1500" w:type="dxa"/>
            <w:vAlign w:val="center"/>
          </w:tcPr>
          <w:p>
            <w:pPr>
              <w:pStyle w:val="tablecolhead"/>
              <w:jc w:val="center"/>
            </w:pPr>
            <w:r>
              <w:rPr>
                <w:b/>
                <w:bCs/>
              </w:rPr>
              <w:t>Value</w:t>
            </w:r>
          </w:p>
        </w:tc>
      </w:tr>
      <w:tr>
        <w:trPr>
          <w:jc w:val="center"/>
        </w:trPr>
        <w:tc>
          <w:tcPr>
            <w:tcW w:w="5500" w:type="dxa"/>
            <w:vAlign w:val="center"/>
          </w:tcPr>
          <w:p>
            <w:pPr>
              <w:pStyle w:val="tablecopy"/>
            </w:pPr>
            <w:r>
              <w:t>Fingerprint dimensionality</w:t>
            </w:r>
          </w:p>
        </w:tc>
        <w:tc>
          <w:tcPr>
            <w:tcW w:w="2000" w:type="dxa"/>
            <w:vAlign w:val="center"/>
          </w:tcPr>
          <w:p>
            <w:pPr>
              <w:pStyle w:val="tablecopy"/>
            </w:pPr>
            <w:r>
              <w:t>d</w:t>
            </w:r>
          </w:p>
        </w:tc>
        <w:tc>
          <w:tcPr>
            <w:tcW w:w="1500" w:type="dxa"/>
            <w:vAlign w:val="center"/>
          </w:tcPr>
          <w:p>
            <w:pPr>
              <w:pStyle w:val="tablecopy"/>
            </w:pPr>
            <w:r>
              <w:t>4096 bits</w:t>
            </w:r>
          </w:p>
        </w:tc>
      </w:tr>
      <w:tr>
        <w:trPr>
          <w:jc w:val="center"/>
        </w:trPr>
        <w:tc>
          <w:tcPr>
            <w:tcW w:w="5500" w:type="dxa"/>
            <w:vAlign w:val="center"/>
          </w:tcPr>
          <w:p>
            <w:pPr>
              <w:pStyle w:val="tablecopy"/>
            </w:pPr>
            <w:r>
              <w:t>Sparsity</w:t>
            </w:r>
          </w:p>
        </w:tc>
        <w:tc>
          <w:tcPr>
            <w:tcW w:w="2000" w:type="dxa"/>
            <w:vAlign w:val="center"/>
          </w:tcPr>
          <w:p>
            <w:pPr>
              <w:pStyle w:val="tablecopy"/>
            </w:pPr>
            <w:r>
              <w:t>ρ</w:t>
            </w:r>
          </w:p>
        </w:tc>
        <w:tc>
          <w:tcPr>
            <w:tcW w:w="1500" w:type="dxa"/>
            <w:vAlign w:val="center"/>
          </w:tcPr>
          <w:p>
            <w:pPr>
              <w:pStyle w:val="tablecopy"/>
            </w:pPr>
            <w:r>
              <w:t>0.10</w:t>
            </w:r>
          </w:p>
        </w:tc>
      </w:tr>
      <w:tr>
        <w:trPr>
          <w:jc w:val="center"/>
        </w:trPr>
        <w:tc>
          <w:tcPr>
            <w:tcW w:w="5500" w:type="dxa"/>
            <w:vAlign w:val="center"/>
          </w:tcPr>
          <w:p>
            <w:pPr>
              <w:pStyle w:val="tablecopy"/>
            </w:pPr>
            <w:r>
              <w:t>Active bits per fingerprint</w:t>
            </w:r>
          </w:p>
        </w:tc>
        <w:tc>
          <w:tcPr>
            <w:tcW w:w="2000" w:type="dxa"/>
            <w:vAlign w:val="center"/>
          </w:tcPr>
          <w:p>
            <w:pPr>
              <w:pStyle w:val="tablecopy"/>
            </w:pPr>
            <w:r>
              <w:t>K = dρ</w:t>
            </w:r>
          </w:p>
        </w:tc>
        <w:tc>
          <w:tcPr>
            <w:tcW w:w="1500" w:type="dxa"/>
            <w:vAlign w:val="center"/>
          </w:tcPr>
          <w:p>
            <w:pPr>
              <w:pStyle w:val="tablecopy"/>
            </w:pPr>
            <w:r>
              <w:t>≈ 410</w:t>
            </w:r>
          </w:p>
        </w:tc>
      </w:tr>
      <w:tr>
        <w:trPr>
          <w:jc w:val="center"/>
        </w:trPr>
        <w:tc>
          <w:tcPr>
            <w:tcW w:w="5500" w:type="dxa"/>
            <w:vAlign w:val="center"/>
          </w:tcPr>
          <w:p>
            <w:pPr>
              <w:pStyle w:val="tablecopy"/>
            </w:pPr>
            <w:r>
              <w:t>Grid size</w:t>
            </w:r>
          </w:p>
        </w:tc>
        <w:tc>
          <w:tcPr>
            <w:tcW w:w="2000" w:type="dxa"/>
            <w:vAlign w:val="center"/>
          </w:tcPr>
          <w:p>
            <w:pPr>
              <w:pStyle w:val="tablecopy"/>
            </w:pPr>
            <w:r>
              <w:t>—</w:t>
            </w:r>
          </w:p>
        </w:tc>
        <w:tc>
          <w:tcPr>
            <w:tcW w:w="1500" w:type="dxa"/>
            <w:vAlign w:val="center"/>
          </w:tcPr>
          <w:p>
            <w:pPr>
              <w:pStyle w:val="tablecopy"/>
            </w:pPr>
            <w:r>
              <w:t>64×64</w:t>
            </w:r>
          </w:p>
        </w:tc>
      </w:tr>
      <w:tr>
        <w:trPr>
          <w:jc w:val="center"/>
        </w:trPr>
        <w:tc>
          <w:tcPr>
            <w:tcW w:w="5500" w:type="dxa"/>
            <w:vAlign w:val="center"/>
          </w:tcPr>
          <w:p>
            <w:pPr>
              <w:pStyle w:val="tablecopy"/>
            </w:pPr>
            <w:r>
              <w:t>Spreading-activation radius / decay</w:t>
            </w:r>
          </w:p>
        </w:tc>
        <w:tc>
          <w:tcPr>
            <w:tcW w:w="2000" w:type="dxa"/>
            <w:vAlign w:val="center"/>
          </w:tcPr>
          <w:p>
            <w:pPr>
              <w:pStyle w:val="tablecopy"/>
            </w:pPr>
            <w:r>
              <w:t>r, γ</w:t>
            </w:r>
          </w:p>
        </w:tc>
        <w:tc>
          <w:tcPr>
            <w:tcW w:w="1500" w:type="dxa"/>
            <w:vAlign w:val="center"/>
          </w:tcPr>
          <w:p>
            <w:pPr>
              <w:pStyle w:val="tablecopy"/>
            </w:pPr>
            <w:r>
              <w:t>1, 0.5</w:t>
            </w:r>
          </w:p>
        </w:tc>
      </w:tr>
    </w:tbl>
    <w:p/>
    <w:p>
      <w:pPr>
        <w:sectPr>
          <w:type w:val="continuous"/>
          <w:pgSz w:w="595.30pt" w:h="841.90pt" w:code="9"/>
          <w:pgMar w:top="54pt" w:right="45.35pt" w:bottom="72pt" w:left="45.35pt" w:header="36pt" w:footer="36pt" w:gutter="0pt"/>
          <w:cols w:space="36pt"/>
          <w:docGrid w:linePitch="360"/>
        </w:sectPr>
      </w:pPr>
    </w:p>
    <w:p>
      <w:pPr>
        <w:pStyle w:val="BodyText"/>
      </w:pPr>
      <w:r>
        <w:t>In this pipeline, nothing adapts to a task: neither labeled relevance judgments nor the mapping function can change; the mapping from text to bit vector is static, based on the grid plus corpus statistics, and applied identically to every search and every document. This is the basis of our claim that changing the fusion operator (RRF vs. linear) cannot itself be explained as SF adjusting its representation to the task, since there is no adaptation. We hybridize SF with the frozen learned sparse model SPLADE (splade-cocondenser-ensembledistil) using linear interpolation (α=0.3) and RRF (k=60).</w:t>
      </w:r>
    </w:p>
    <w:p>
      <w:pPr>
        <w:pStyle w:val="Heading1"/>
      </w:pPr>
      <w:r>
        <w:t>Case Study: Semantic Folding + SPLADE Across Nine Datasets</w:t>
      </w:r>
    </w:p>
    <w:p>
      <w:pPr>
        <w:pStyle w:val="BodyText"/>
      </w:pPr>
      <w:r>
        <w:t>We evaluated the combination of SF with SPLADE [10] on nine different closed-domain datasets, with 95% bootstrap confidence intervals (1,000 samples), spanning several question-answering paradigms [31], [32], [33] and biomedical search contexts [34], [35]. Table 3 outlines the datasets; eight have handcrafted 20-passage candidate sets (1 gold document + 19 BM25 hard negatives), while SciFact [36] has 16-passage sets (1 gold + 15 corpus distractors). NQ-REaR [37] additionally supports full-corpus ranking, used in §4.3.</w:t>
      </w:r>
    </w:p>
    <w:p>
      <w:pPr>
        <w:sectPr>
          <w:type w:val="continuous"/>
          <w:pgSz w:w="595.30pt" w:h="841.90pt" w:code="9"/>
          <w:pgMar w:top="54pt" w:right="45.35pt" w:bottom="72pt" w:left="45.35pt" w:header="36pt" w:footer="36pt" w:gutter="0pt"/>
          <w:cols w:num="2" w:space="18pt"/>
          <w:docGrid w:linePitch="360"/>
        </w:sectPr>
      </w:pPr>
    </w:p>
    <w:p>
      <w:pPr>
        <w:pStyle w:val="tablehead"/>
      </w:pPr>
      <w:r>
        <w:t>TABLE 3. Dataset statistics.</w:t>
      </w:r>
    </w:p>
    <w:tbl>
      <w:tblPr>
        <w:tblW w:w="9500" w:type="dxa"/>
        <w:jc w:val="center"/>
        <w:tblBorders>
          <w:top w:val="single" w:sz="4" w:space="0" w:color="auto"/>
          <w:bottom w:val="single" w:sz="4" w:space="0" w:color="auto"/>
          <w:insideH w:val="single" w:sz="2" w:space="0" w:color="auto"/>
        </w:tblBorders>
        <w:tblLayout w:type="fixed"/>
      </w:tblPr>
      <w:tblGrid>
        <w:gridCol w:w="2200"/>
        <w:gridCol w:w="1600"/>
        <w:gridCol w:w="2400"/>
        <w:gridCol w:w="1900"/>
        <w:gridCol w:w="1400"/>
      </w:tblGrid>
      <w:tr>
        <w:trPr>
          <w:jc w:val="center"/>
        </w:trPr>
        <w:tc>
          <w:tcPr>
            <w:tcW w:w="2200" w:type="dxa"/>
            <w:vAlign w:val="center"/>
          </w:tcPr>
          <w:p>
            <w:pPr>
              <w:pStyle w:val="tablecolhead"/>
              <w:jc w:val="center"/>
            </w:pPr>
            <w:r>
              <w:rPr>
                <w:b/>
                <w:bCs/>
              </w:rPr>
              <w:t>Dataset</w:t>
            </w:r>
          </w:p>
        </w:tc>
        <w:tc>
          <w:tcPr>
            <w:tcW w:w="1600" w:type="dxa"/>
            <w:vAlign w:val="center"/>
          </w:tcPr>
          <w:p>
            <w:pPr>
              <w:pStyle w:val="tablecolhead"/>
              <w:jc w:val="center"/>
            </w:pPr>
            <w:r>
              <w:rPr>
                <w:b/>
                <w:bCs/>
              </w:rPr>
              <w:t>Domain</w:t>
            </w:r>
          </w:p>
        </w:tc>
        <w:tc>
          <w:tcPr>
            <w:tcW w:w="2400" w:type="dxa"/>
            <w:vAlign w:val="center"/>
          </w:tcPr>
          <w:p>
            <w:pPr>
              <w:pStyle w:val="tablecolhead"/>
              <w:jc w:val="center"/>
            </w:pPr>
            <w:r>
              <w:rPr>
                <w:b/>
                <w:bCs/>
              </w:rPr>
              <w:t>Task</w:t>
            </w:r>
          </w:p>
        </w:tc>
        <w:tc>
          <w:tcPr>
            <w:tcW w:w="1900" w:type="dxa"/>
            <w:vAlign w:val="center"/>
          </w:tcPr>
          <w:p>
            <w:pPr>
              <w:pStyle w:val="tablecolhead"/>
              <w:jc w:val="center"/>
            </w:pPr>
            <w:r>
              <w:rPr>
                <w:b/>
                <w:bCs/>
              </w:rPr>
              <w:t>Pool size</w:t>
            </w:r>
          </w:p>
        </w:tc>
        <w:tc>
          <w:tcPr>
            <w:tcW w:w="1400" w:type="dxa"/>
            <w:vAlign w:val="center"/>
          </w:tcPr>
          <w:p>
            <w:pPr>
              <w:pStyle w:val="tablecolhead"/>
              <w:jc w:val="center"/>
            </w:pPr>
            <w:r>
              <w:rPr>
                <w:b/>
                <w:bCs/>
              </w:rPr>
              <w:t>Queries</w:t>
            </w:r>
          </w:p>
        </w:tc>
      </w:tr>
      <w:tr>
        <w:trPr>
          <w:jc w:val="center"/>
        </w:trPr>
        <w:tc>
          <w:tcPr>
            <w:tcW w:w="2200" w:type="dxa"/>
            <w:vAlign w:val="center"/>
          </w:tcPr>
          <w:p>
            <w:pPr>
              <w:pStyle w:val="tablecopy"/>
            </w:pPr>
            <w:r>
              <w:t>PopQA [38]</w:t>
            </w:r>
          </w:p>
        </w:tc>
        <w:tc>
          <w:tcPr>
            <w:tcW w:w="1600" w:type="dxa"/>
            <w:vAlign w:val="center"/>
          </w:tcPr>
          <w:p>
            <w:pPr>
              <w:pStyle w:val="tablecopy"/>
            </w:pPr>
            <w:r>
              <w:t>Wikidata</w:t>
            </w:r>
          </w:p>
        </w:tc>
        <w:tc>
          <w:tcPr>
            <w:tcW w:w="2400" w:type="dxa"/>
            <w:vAlign w:val="center"/>
          </w:tcPr>
          <w:p>
            <w:pPr>
              <w:pStyle w:val="tablecopy"/>
            </w:pPr>
            <w:r>
              <w:t>Entity lookup</w:t>
            </w:r>
          </w:p>
        </w:tc>
        <w:tc>
          <w:tcPr>
            <w:tcW w:w="1900" w:type="dxa"/>
            <w:vAlign w:val="center"/>
          </w:tcPr>
          <w:p>
            <w:pPr>
              <w:pStyle w:val="tablecopy"/>
            </w:pPr>
            <w:r>
              <w:t>2</w:t>
            </w:r>
          </w:p>
        </w:tc>
        <w:tc>
          <w:tcPr>
            <w:tcW w:w="1400" w:type="dxa"/>
            <w:vAlign w:val="center"/>
          </w:tcPr>
          <w:p>
            <w:pPr>
              <w:pStyle w:val="tablecopy"/>
            </w:pPr>
            <w:r>
              <w:t>1,000</w:t>
            </w:r>
          </w:p>
        </w:tc>
      </w:tr>
      <w:tr>
        <w:trPr>
          <w:jc w:val="center"/>
        </w:trPr>
        <w:tc>
          <w:tcPr>
            <w:tcW w:w="2200" w:type="dxa"/>
            <w:vAlign w:val="center"/>
          </w:tcPr>
          <w:p>
            <w:pPr>
              <w:pStyle w:val="tablecopy"/>
            </w:pPr>
            <w:r>
              <w:t>NarrativeQA</w:t>
            </w:r>
          </w:p>
        </w:tc>
        <w:tc>
          <w:tcPr>
            <w:tcW w:w="1600" w:type="dxa"/>
            <w:vAlign w:val="center"/>
          </w:tcPr>
          <w:p>
            <w:pPr>
              <w:pStyle w:val="tablecopy"/>
            </w:pPr>
            <w:r>
              <w:t>Scripts</w:t>
            </w:r>
          </w:p>
        </w:tc>
        <w:tc>
          <w:tcPr>
            <w:tcW w:w="2400" w:type="dxa"/>
            <w:vAlign w:val="center"/>
          </w:tcPr>
          <w:p>
            <w:pPr>
              <w:pStyle w:val="tablecopy"/>
            </w:pPr>
            <w:r>
              <w:t>Narrative comprehension</w:t>
            </w:r>
          </w:p>
        </w:tc>
        <w:tc>
          <w:tcPr>
            <w:tcW w:w="1900" w:type="dxa"/>
            <w:vAlign w:val="center"/>
          </w:tcPr>
          <w:p>
            <w:pPr>
              <w:pStyle w:val="tablecopy"/>
            </w:pPr>
            <w:r>
              <w:t>1</w:t>
            </w:r>
          </w:p>
        </w:tc>
        <w:tc>
          <w:tcPr>
            <w:tcW w:w="1400" w:type="dxa"/>
            <w:vAlign w:val="center"/>
          </w:tcPr>
          <w:p>
            <w:pPr>
              <w:pStyle w:val="tablecopy"/>
            </w:pPr>
            <w:r>
              <w:t>50</w:t>
            </w:r>
          </w:p>
        </w:tc>
      </w:tr>
      <w:tr>
        <w:trPr>
          <w:jc w:val="center"/>
        </w:trPr>
        <w:tc>
          <w:tcPr>
            <w:tcW w:w="2200" w:type="dxa"/>
            <w:vAlign w:val="center"/>
          </w:tcPr>
          <w:p>
            <w:pPr>
              <w:pStyle w:val="tablecopy"/>
            </w:pPr>
            <w:r>
              <w:t>Belebele [39]</w:t>
            </w:r>
          </w:p>
        </w:tc>
        <w:tc>
          <w:tcPr>
            <w:tcW w:w="1600" w:type="dxa"/>
            <w:vAlign w:val="center"/>
          </w:tcPr>
          <w:p>
            <w:pPr>
              <w:pStyle w:val="tablecopy"/>
            </w:pPr>
            <w:r>
              <w:t>Multilingual</w:t>
            </w:r>
          </w:p>
        </w:tc>
        <w:tc>
          <w:tcPr>
            <w:tcW w:w="2400" w:type="dxa"/>
            <w:vAlign w:val="center"/>
          </w:tcPr>
          <w:p>
            <w:pPr>
              <w:pStyle w:val="tablecopy"/>
            </w:pPr>
            <w:r>
              <w:t>Reading comprehension</w:t>
            </w:r>
          </w:p>
        </w:tc>
        <w:tc>
          <w:tcPr>
            <w:tcW w:w="1900" w:type="dxa"/>
            <w:vAlign w:val="center"/>
          </w:tcPr>
          <w:p>
            <w:pPr>
              <w:pStyle w:val="tablecopy"/>
            </w:pPr>
            <w:r>
              <w:t>1</w:t>
            </w:r>
          </w:p>
        </w:tc>
        <w:tc>
          <w:tcPr>
            <w:tcW w:w="1400" w:type="dxa"/>
            <w:vAlign w:val="center"/>
          </w:tcPr>
          <w:p>
            <w:pPr>
              <w:pStyle w:val="tablecopy"/>
            </w:pPr>
            <w:r>
              <w:t>100</w:t>
            </w:r>
          </w:p>
        </w:tc>
      </w:tr>
      <w:tr>
        <w:trPr>
          <w:jc w:val="center"/>
        </w:trPr>
        <w:tc>
          <w:tcPr>
            <w:tcW w:w="2200" w:type="dxa"/>
            <w:vAlign w:val="center"/>
          </w:tcPr>
          <w:p>
            <w:pPr>
              <w:pStyle w:val="tablecopy"/>
            </w:pPr>
            <w:r>
              <w:t>PubMedQA [40]</w:t>
            </w:r>
          </w:p>
        </w:tc>
        <w:tc>
          <w:tcPr>
            <w:tcW w:w="1600" w:type="dxa"/>
            <w:vAlign w:val="center"/>
          </w:tcPr>
          <w:p>
            <w:pPr>
              <w:pStyle w:val="tablecopy"/>
            </w:pPr>
            <w:r>
              <w:t>Biomedical</w:t>
            </w:r>
          </w:p>
        </w:tc>
        <w:tc>
          <w:tcPr>
            <w:tcW w:w="2400" w:type="dxa"/>
            <w:vAlign w:val="center"/>
          </w:tcPr>
          <w:p>
            <w:pPr>
              <w:pStyle w:val="tablecopy"/>
            </w:pPr>
            <w:r>
              <w:t>Domain QA</w:t>
            </w:r>
          </w:p>
        </w:tc>
        <w:tc>
          <w:tcPr>
            <w:tcW w:w="1900" w:type="dxa"/>
            <w:vAlign w:val="center"/>
          </w:tcPr>
          <w:p>
            <w:pPr>
              <w:pStyle w:val="tablecopy"/>
            </w:pPr>
            <w:r>
              <w:t>3–4</w:t>
            </w:r>
          </w:p>
        </w:tc>
        <w:tc>
          <w:tcPr>
            <w:tcW w:w="1400" w:type="dxa"/>
            <w:vAlign w:val="center"/>
          </w:tcPr>
          <w:p>
            <w:pPr>
              <w:pStyle w:val="tablecopy"/>
            </w:pPr>
            <w:r>
              <w:t>200</w:t>
            </w:r>
          </w:p>
        </w:tc>
      </w:tr>
      <w:tr>
        <w:trPr>
          <w:jc w:val="center"/>
        </w:trPr>
        <w:tc>
          <w:tcPr>
            <w:tcW w:w="2200" w:type="dxa"/>
            <w:vAlign w:val="center"/>
          </w:tcPr>
          <w:p>
            <w:pPr>
              <w:pStyle w:val="tablecopy"/>
            </w:pPr>
            <w:r>
              <w:t>2WikiMultihopQA [41]</w:t>
            </w:r>
          </w:p>
        </w:tc>
        <w:tc>
          <w:tcPr>
            <w:tcW w:w="1600" w:type="dxa"/>
            <w:vAlign w:val="center"/>
          </w:tcPr>
          <w:p>
            <w:pPr>
              <w:pStyle w:val="tablecopy"/>
            </w:pPr>
            <w:r>
              <w:t>Wikipedia</w:t>
            </w:r>
          </w:p>
        </w:tc>
        <w:tc>
          <w:tcPr>
            <w:tcW w:w="2400" w:type="dxa"/>
            <w:vAlign w:val="center"/>
          </w:tcPr>
          <w:p>
            <w:pPr>
              <w:pStyle w:val="tablecopy"/>
            </w:pPr>
            <w:r>
              <w:t>Multi-hop (2)</w:t>
            </w:r>
          </w:p>
        </w:tc>
        <w:tc>
          <w:tcPr>
            <w:tcW w:w="1900" w:type="dxa"/>
            <w:vAlign w:val="center"/>
          </w:tcPr>
          <w:p>
            <w:pPr>
              <w:pStyle w:val="tablecopy"/>
            </w:pPr>
            <w:r>
              <w:t>20</w:t>
            </w:r>
          </w:p>
        </w:tc>
        <w:tc>
          <w:tcPr>
            <w:tcW w:w="1400" w:type="dxa"/>
            <w:vAlign w:val="center"/>
          </w:tcPr>
          <w:p>
            <w:pPr>
              <w:pStyle w:val="tablecopy"/>
            </w:pPr>
            <w:r>
              <w:t>50</w:t>
            </w:r>
          </w:p>
        </w:tc>
      </w:tr>
      <w:tr>
        <w:trPr>
          <w:jc w:val="center"/>
        </w:trPr>
        <w:tc>
          <w:tcPr>
            <w:tcW w:w="2200" w:type="dxa"/>
            <w:vAlign w:val="center"/>
          </w:tcPr>
          <w:p>
            <w:pPr>
              <w:pStyle w:val="tablecopy"/>
            </w:pPr>
            <w:r>
              <w:t>HotpotQA [42]</w:t>
            </w:r>
          </w:p>
        </w:tc>
        <w:tc>
          <w:tcPr>
            <w:tcW w:w="1600" w:type="dxa"/>
            <w:vAlign w:val="center"/>
          </w:tcPr>
          <w:p>
            <w:pPr>
              <w:pStyle w:val="tablecopy"/>
            </w:pPr>
            <w:r>
              <w:t>Wikipedia</w:t>
            </w:r>
          </w:p>
        </w:tc>
        <w:tc>
          <w:tcPr>
            <w:tcW w:w="2400" w:type="dxa"/>
            <w:vAlign w:val="center"/>
          </w:tcPr>
          <w:p>
            <w:pPr>
              <w:pStyle w:val="tablecopy"/>
            </w:pPr>
            <w:r>
              <w:t>Multi-hop (2)</w:t>
            </w:r>
          </w:p>
        </w:tc>
        <w:tc>
          <w:tcPr>
            <w:tcW w:w="1900" w:type="dxa"/>
            <w:vAlign w:val="center"/>
          </w:tcPr>
          <w:p>
            <w:pPr>
              <w:pStyle w:val="tablecopy"/>
            </w:pPr>
            <w:r>
              <w:t>20</w:t>
            </w:r>
          </w:p>
        </w:tc>
        <w:tc>
          <w:tcPr>
            <w:tcW w:w="1400" w:type="dxa"/>
            <w:vAlign w:val="center"/>
          </w:tcPr>
          <w:p>
            <w:pPr>
              <w:pStyle w:val="tablecopy"/>
            </w:pPr>
            <w:r>
              <w:t>50</w:t>
            </w:r>
          </w:p>
        </w:tc>
      </w:tr>
      <w:tr>
        <w:trPr>
          <w:jc w:val="center"/>
        </w:trPr>
        <w:tc>
          <w:tcPr>
            <w:tcW w:w="2200" w:type="dxa"/>
            <w:vAlign w:val="center"/>
          </w:tcPr>
          <w:p>
            <w:pPr>
              <w:pStyle w:val="tablecopy"/>
            </w:pPr>
            <w:r>
              <w:t>MuSiQue [43]</w:t>
            </w:r>
          </w:p>
        </w:tc>
        <w:tc>
          <w:tcPr>
            <w:tcW w:w="1600" w:type="dxa"/>
            <w:vAlign w:val="center"/>
          </w:tcPr>
          <w:p>
            <w:pPr>
              <w:pStyle w:val="tablecopy"/>
            </w:pPr>
            <w:r>
              <w:t>Wikipedia</w:t>
            </w:r>
          </w:p>
        </w:tc>
        <w:tc>
          <w:tcPr>
            <w:tcW w:w="2400" w:type="dxa"/>
            <w:vAlign w:val="center"/>
          </w:tcPr>
          <w:p>
            <w:pPr>
              <w:pStyle w:val="tablecopy"/>
            </w:pPr>
            <w:r>
              <w:t>Multi-hop (2–5)</w:t>
            </w:r>
          </w:p>
        </w:tc>
        <w:tc>
          <w:tcPr>
            <w:tcW w:w="1900" w:type="dxa"/>
            <w:vAlign w:val="center"/>
          </w:tcPr>
          <w:p>
            <w:pPr>
              <w:pStyle w:val="tablecopy"/>
            </w:pPr>
            <w:r>
              <w:t>20</w:t>
            </w:r>
          </w:p>
        </w:tc>
        <w:tc>
          <w:tcPr>
            <w:tcW w:w="1400" w:type="dxa"/>
            <w:vAlign w:val="center"/>
          </w:tcPr>
          <w:p>
            <w:pPr>
              <w:pStyle w:val="tablecopy"/>
            </w:pPr>
            <w:r>
              <w:t>2,417</w:t>
            </w:r>
          </w:p>
        </w:tc>
      </w:tr>
      <w:tr>
        <w:trPr>
          <w:jc w:val="center"/>
        </w:trPr>
        <w:tc>
          <w:tcPr>
            <w:tcW w:w="2200" w:type="dxa"/>
            <w:vAlign w:val="center"/>
          </w:tcPr>
          <w:p>
            <w:pPr>
              <w:pStyle w:val="tablecopy"/>
            </w:pPr>
            <w:r>
              <w:t>NQ-REaR [37]</w:t>
            </w:r>
          </w:p>
        </w:tc>
        <w:tc>
          <w:tcPr>
            <w:tcW w:w="1600" w:type="dxa"/>
            <w:vAlign w:val="center"/>
          </w:tcPr>
          <w:p>
            <w:pPr>
              <w:pStyle w:val="tablecopy"/>
            </w:pPr>
            <w:r>
              <w:t>Web</w:t>
            </w:r>
          </w:p>
        </w:tc>
        <w:tc>
          <w:tcPr>
            <w:tcW w:w="2400" w:type="dxa"/>
            <w:vAlign w:val="center"/>
          </w:tcPr>
          <w:p>
            <w:pPr>
              <w:pStyle w:val="tablecopy"/>
            </w:pPr>
            <w:r>
              <w:t>Factoid</w:t>
            </w:r>
          </w:p>
        </w:tc>
        <w:tc>
          <w:tcPr>
            <w:tcW w:w="1900" w:type="dxa"/>
            <w:vAlign w:val="center"/>
          </w:tcPr>
          <w:p>
            <w:pPr>
              <w:pStyle w:val="tablecopy"/>
            </w:pPr>
            <w:r>
              <w:t>~1,039 (deep pool)</w:t>
            </w:r>
          </w:p>
        </w:tc>
        <w:tc>
          <w:tcPr>
            <w:tcW w:w="1400" w:type="dxa"/>
            <w:vAlign w:val="center"/>
          </w:tcPr>
          <w:p>
            <w:pPr>
              <w:pStyle w:val="tablecopy"/>
            </w:pPr>
            <w:r>
              <w:t>100</w:t>
            </w:r>
          </w:p>
        </w:tc>
      </w:tr>
      <w:tr>
        <w:trPr>
          <w:jc w:val="center"/>
        </w:trPr>
        <w:tc>
          <w:tcPr>
            <w:tcW w:w="2200" w:type="dxa"/>
            <w:vAlign w:val="center"/>
          </w:tcPr>
          <w:p>
            <w:pPr>
              <w:pStyle w:val="tablecopy"/>
            </w:pPr>
            <w:r>
              <w:t>SciFact [36]</w:t>
            </w:r>
          </w:p>
        </w:tc>
        <w:tc>
          <w:tcPr>
            <w:tcW w:w="1600" w:type="dxa"/>
            <w:vAlign w:val="center"/>
          </w:tcPr>
          <w:p>
            <w:pPr>
              <w:pStyle w:val="tablecopy"/>
            </w:pPr>
            <w:r>
              <w:t>Scientific</w:t>
            </w:r>
          </w:p>
        </w:tc>
        <w:tc>
          <w:tcPr>
            <w:tcW w:w="2400" w:type="dxa"/>
            <w:vAlign w:val="center"/>
          </w:tcPr>
          <w:p>
            <w:pPr>
              <w:pStyle w:val="tablecopy"/>
            </w:pPr>
            <w:r>
              <w:t>Claim verification</w:t>
            </w:r>
          </w:p>
        </w:tc>
        <w:tc>
          <w:tcPr>
            <w:tcW w:w="1900" w:type="dxa"/>
            <w:vAlign w:val="center"/>
          </w:tcPr>
          <w:p>
            <w:pPr>
              <w:pStyle w:val="tablecopy"/>
            </w:pPr>
            <w:r>
              <w:t>16 (deep pool: ~101)</w:t>
            </w:r>
          </w:p>
        </w:tc>
        <w:tc>
          <w:tcPr>
            <w:tcW w:w="1400" w:type="dxa"/>
            <w:vAlign w:val="center"/>
          </w:tcPr>
          <w:p>
            <w:pPr>
              <w:pStyle w:val="tablecopy"/>
            </w:pPr>
            <w:r>
              <w:t>300</w:t>
            </w:r>
          </w:p>
        </w:tc>
      </w:tr>
    </w:tbl>
    <w:p/>
    <w:p>
      <w:pPr>
        <w:sectPr>
          <w:type w:val="continuous"/>
          <w:pgSz w:w="595.30pt" w:h="841.90pt" w:code="9"/>
          <w:pgMar w:top="54pt" w:right="45.35pt" w:bottom="72pt" w:left="45.35pt" w:header="36pt" w:footer="36pt" w:gutter="0pt"/>
          <w:cols w:space="36pt"/>
          <w:docGrid w:linePitch="360"/>
        </w:sectPr>
      </w:pPr>
    </w:p>
    <w:p>
      <w:pPr>
        <w:pStyle w:val="Heading2"/>
      </w:pPr>
      <w:r>
        <w:t>Operator Failure I: The Complementarity Illusion (Scale Mismatch)</w:t>
      </w:r>
    </w:p>
    <w:p>
      <w:pPr>
        <w:pStyle w:val="BodyText"/>
      </w:pPr>
      <w:r>
        <w:rPr>
          <w:b/>
          <w:bCs/>
        </w:rPr>
        <w:t xml:space="preserve">Definition 2 (Complementarity Illusion). </w:t>
      </w:r>
      <w:r>
        <w:t>Let π</w:t>
      </w:r>
      <w:r>
        <w:rPr>
          <w:vertAlign w:val="subscript"/>
        </w:rPr>
        <w:t>A</w:t>
      </w:r>
      <w:r>
        <w:t>, π</w:t>
      </w:r>
      <w:r>
        <w:rPr>
          <w:vertAlign w:val="subscript"/>
        </w:rPr>
        <w:t>B</w:t>
      </w:r>
      <w:r>
        <w:t xml:space="preserve"> be the rankings induced by two retrievers. The pair exhibits a Complementarity Illusion under linear fusion iff all three hold:</w:t>
      </w:r>
    </w:p>
    <w:p>
      <w:pPr>
        <w:pStyle w:val="bulletlist"/>
      </w:pPr>
      <w:r>
        <w:t>Apparent failure: MRR(ℱ</w:t>
      </w:r>
      <w:r>
        <w:rPr>
          <w:vertAlign w:val="subscript"/>
        </w:rPr>
        <w:t>lin</w:t>
      </w:r>
      <w:r>
        <w:t>(π</w:t>
      </w:r>
      <w:r>
        <w:rPr>
          <w:vertAlign w:val="subscript"/>
        </w:rPr>
        <w:t>A</w:t>
      </w:r>
      <w:r>
        <w:t>,π</w:t>
      </w:r>
      <w:r>
        <w:rPr>
          <w:vertAlign w:val="subscript"/>
        </w:rPr>
        <w:t>B</w:t>
      </w:r>
      <w:r>
        <w:t>)) &lt; max(MRR(π</w:t>
      </w:r>
      <w:r>
        <w:rPr>
          <w:vertAlign w:val="subscript"/>
        </w:rPr>
        <w:t>A</w:t>
      </w:r>
      <w:r>
        <w:t>), MRR(π</w:t>
      </w:r>
      <w:r>
        <w:rPr>
          <w:vertAlign w:val="subscript"/>
        </w:rPr>
        <w:t>B</w:t>
      </w:r>
      <w:r>
        <w:t>))</w:t>
      </w:r>
    </w:p>
    <w:p>
      <w:pPr>
        <w:pStyle w:val="bulletlist"/>
      </w:pPr>
      <w:r>
        <w:t>High rank agreement: τ(π</w:t>
      </w:r>
      <w:r>
        <w:rPr>
          <w:vertAlign w:val="subscript"/>
        </w:rPr>
        <w:t>A</w:t>
      </w:r>
      <w:r>
        <w:t>,π</w:t>
      </w:r>
      <w:r>
        <w:rPr>
          <w:vertAlign w:val="subscript"/>
        </w:rPr>
        <w:t>B</w:t>
      </w:r>
      <w:r>
        <w:t>) &gt; 0.80</w:t>
      </w:r>
    </w:p>
    <w:p>
      <w:pPr>
        <w:pStyle w:val="bulletlist"/>
      </w:pPr>
      <w:r>
        <w:t>Recoverability under normalization: MRR(ℱ</w:t>
      </w:r>
      <w:r>
        <w:rPr>
          <w:vertAlign w:val="subscript"/>
        </w:rPr>
        <w:t>RRF</w:t>
      </w:r>
      <w:r>
        <w:t>(π</w:t>
      </w:r>
      <w:r>
        <w:rPr>
          <w:vertAlign w:val="subscript"/>
        </w:rPr>
        <w:t>A</w:t>
      </w:r>
      <w:r>
        <w:t>,π</w:t>
      </w:r>
      <w:r>
        <w:rPr>
          <w:vertAlign w:val="subscript"/>
        </w:rPr>
        <w:t>B</w:t>
      </w:r>
      <w:r>
        <w:t>)) ≥ max(MRR(π</w:t>
      </w:r>
      <w:r>
        <w:rPr>
          <w:vertAlign w:val="subscript"/>
        </w:rPr>
        <w:t>A</w:t>
      </w:r>
      <w:r>
        <w:t>), MRR(π</w:t>
      </w:r>
      <w:r>
        <w:rPr>
          <w:vertAlign w:val="subscript"/>
        </w:rPr>
        <w:t>B</w:t>
      </w:r>
      <w:r>
        <w:t>))</w:t>
      </w:r>
    </w:p>
    <w:p>
      <w:pPr>
        <w:pStyle w:val="BodyText"/>
      </w:pPr>
      <w:r>
        <w:t>If all three hold, the apparent failure in (1) is due to incommensurate score geometry rather than the information redundancy implied by (2), because (3) shows the same pair of signals is exploitable once the operator is no longer sensitive to s. Condition (2) is often used in the fusion literature as an argument for redundancy; this renders that conclusion invalid whenever (3) also holds.</w:t>
      </w:r>
    </w:p>
    <w:p>
      <w:pPr>
        <w:sectPr>
          <w:type w:val="continuous"/>
          <w:pgSz w:w="595.30pt" w:h="841.90pt" w:code="9"/>
          <w:pgMar w:top="54pt" w:right="45.35pt" w:bottom="72pt" w:left="45.35pt" w:header="36pt" w:footer="36pt" w:gutter="0pt"/>
          <w:cols w:num="2" w:space="18pt"/>
          <w:docGrid w:linePitch="360"/>
        </w:sectPr>
      </w:pPr>
    </w:p>
    <w:p>
      <w:pPr>
        <w:pStyle w:val="tablehead"/>
      </w:pPr>
      <w:r>
        <w:t>TABLE 4. Fusion outcomes, eight datasets with a common SPLADE-only baseline (shared with, and reported in full experimental detail in, our companion paper). MuSiQue is reported separately in Table 4b because its only available comparison uses a BM25 baseline, not a SPLADE-only one.</w:t>
      </w:r>
    </w:p>
    <w:tbl>
      <w:tblPr>
        <w:tblW w:w="11000" w:type="dxa"/>
        <w:jc w:val="center"/>
        <w:tblBorders>
          <w:top w:val="single" w:sz="4" w:space="0" w:color="auto"/>
          <w:bottom w:val="single" w:sz="4" w:space="0" w:color="auto"/>
          <w:insideH w:val="single" w:sz="2" w:space="0" w:color="auto"/>
        </w:tblBorders>
        <w:tblLayout w:type="fixed"/>
      </w:tblPr>
      <w:tblGrid>
        <w:gridCol w:w="1900"/>
        <w:gridCol w:w="1500"/>
        <w:gridCol w:w="1300"/>
        <w:gridCol w:w="1500"/>
        <w:gridCol w:w="1300"/>
        <w:gridCol w:w="1100"/>
        <w:gridCol w:w="2400"/>
      </w:tblGrid>
      <w:tr>
        <w:trPr>
          <w:jc w:val="center"/>
        </w:trPr>
        <w:tc>
          <w:tcPr>
            <w:tcW w:w="1900" w:type="dxa"/>
            <w:vAlign w:val="center"/>
          </w:tcPr>
          <w:p>
            <w:pPr>
              <w:pStyle w:val="tablecolhead"/>
              <w:jc w:val="center"/>
            </w:pPr>
            <w:r>
              <w:rPr>
                <w:b/>
                <w:bCs/>
              </w:rPr>
              <w:t>Dataset</w:t>
            </w:r>
          </w:p>
        </w:tc>
        <w:tc>
          <w:tcPr>
            <w:tcW w:w="1500" w:type="dxa"/>
            <w:vAlign w:val="center"/>
          </w:tcPr>
          <w:p>
            <w:pPr>
              <w:pStyle w:val="tablecolhead"/>
              <w:jc w:val="center"/>
            </w:pPr>
            <w:r>
              <w:rPr>
                <w:b/>
                <w:bCs/>
              </w:rPr>
              <w:t>Task topology</w:t>
            </w:r>
          </w:p>
        </w:tc>
        <w:tc>
          <w:tcPr>
            <w:tcW w:w="1300" w:type="dxa"/>
            <w:vAlign w:val="center"/>
          </w:tcPr>
          <w:p>
            <w:pPr>
              <w:pStyle w:val="tablecolhead"/>
              <w:jc w:val="center"/>
            </w:pPr>
            <w:r>
              <w:rPr>
                <w:b/>
                <w:bCs/>
              </w:rPr>
              <w:t>SPLADE-only</w:t>
            </w:r>
          </w:p>
        </w:tc>
        <w:tc>
          <w:tcPr>
            <w:tcW w:w="1500" w:type="dxa"/>
            <w:vAlign w:val="center"/>
          </w:tcPr>
          <w:p>
            <w:pPr>
              <w:pStyle w:val="tablecolhead"/>
              <w:jc w:val="center"/>
            </w:pPr>
            <w:r>
              <w:rPr>
                <w:b/>
                <w:bCs/>
              </w:rPr>
              <w:t>Linear (α=0.3)</w:t>
            </w:r>
          </w:p>
        </w:tc>
        <w:tc>
          <w:tcPr>
            <w:tcW w:w="1300" w:type="dxa"/>
            <w:vAlign w:val="center"/>
          </w:tcPr>
          <w:p>
            <w:pPr>
              <w:pStyle w:val="tablecolhead"/>
              <w:jc w:val="center"/>
            </w:pPr>
            <w:r>
              <w:rPr>
                <w:b/>
                <w:bCs/>
              </w:rPr>
              <w:t>RRF (k=60)</w:t>
            </w:r>
          </w:p>
        </w:tc>
        <w:tc>
          <w:tcPr>
            <w:tcW w:w="1100" w:type="dxa"/>
            <w:vAlign w:val="center"/>
          </w:tcPr>
          <w:p>
            <w:pPr>
              <w:pStyle w:val="tablecolhead"/>
              <w:jc w:val="center"/>
            </w:pPr>
            <w:r>
              <w:rPr>
                <w:b/>
                <w:bCs/>
              </w:rPr>
              <w:t>Kendall’s τ</w:t>
            </w:r>
          </w:p>
        </w:tc>
        <w:tc>
          <w:tcPr>
            <w:tcW w:w="2400" w:type="dxa"/>
            <w:vAlign w:val="center"/>
          </w:tcPr>
          <w:p>
            <w:pPr>
              <w:pStyle w:val="tablecolhead"/>
              <w:jc w:val="center"/>
            </w:pPr>
            <w:r>
              <w:rPr>
                <w:b/>
                <w:bCs/>
              </w:rPr>
              <w:t>Outcome</w:t>
            </w:r>
          </w:p>
        </w:tc>
      </w:tr>
      <w:tr>
        <w:trPr>
          <w:jc w:val="center"/>
        </w:trPr>
        <w:tc>
          <w:tcPr>
            <w:tcW w:w="1900" w:type="dxa"/>
            <w:vAlign w:val="center"/>
          </w:tcPr>
          <w:p>
            <w:pPr>
              <w:pStyle w:val="tablecopy"/>
            </w:pPr>
            <w:r>
              <w:t>Belebele [39]</w:t>
            </w:r>
          </w:p>
        </w:tc>
        <w:tc>
          <w:tcPr>
            <w:tcW w:w="1500" w:type="dxa"/>
            <w:vAlign w:val="center"/>
          </w:tcPr>
          <w:p>
            <w:pPr>
              <w:pStyle w:val="tablecopy"/>
            </w:pPr>
            <w:r>
              <w:t>Single-hop</w:t>
            </w:r>
          </w:p>
        </w:tc>
        <w:tc>
          <w:tcPr>
            <w:tcW w:w="1300" w:type="dxa"/>
            <w:vAlign w:val="center"/>
          </w:tcPr>
          <w:p>
            <w:pPr>
              <w:pStyle w:val="tablecopy"/>
            </w:pPr>
            <w:r>
              <w:t>1.000</w:t>
            </w:r>
          </w:p>
        </w:tc>
        <w:tc>
          <w:tcPr>
            <w:tcW w:w="1500" w:type="dxa"/>
            <w:vAlign w:val="center"/>
          </w:tcPr>
          <w:p>
            <w:pPr>
              <w:pStyle w:val="tablecopy"/>
            </w:pPr>
            <w:r>
              <w:t>0.920 ± 0.06</w:t>
            </w:r>
          </w:p>
        </w:tc>
        <w:tc>
          <w:tcPr>
            <w:tcW w:w="1300" w:type="dxa"/>
            <w:vAlign w:val="center"/>
          </w:tcPr>
          <w:p>
            <w:pPr>
              <w:pStyle w:val="tablecopy"/>
            </w:pPr>
            <w:r>
              <w:t>1.000</w:t>
            </w:r>
          </w:p>
        </w:tc>
        <w:tc>
          <w:tcPr>
            <w:tcW w:w="1100" w:type="dxa"/>
            <w:vAlign w:val="center"/>
          </w:tcPr>
          <w:p>
            <w:pPr>
              <w:pStyle w:val="tablecopy"/>
            </w:pPr>
            <w:r>
              <w:t>0.86</w:t>
            </w:r>
          </w:p>
        </w:tc>
        <w:tc>
          <w:tcPr>
            <w:tcW w:w="2400" w:type="dxa"/>
            <w:vAlign w:val="center"/>
          </w:tcPr>
          <w:p>
            <w:pPr>
              <w:pStyle w:val="tablecopy"/>
            </w:pPr>
            <w:r>
              <w:t>Complementarity Illusion</w:t>
            </w:r>
          </w:p>
        </w:tc>
      </w:tr>
      <w:tr>
        <w:trPr>
          <w:jc w:val="center"/>
        </w:trPr>
        <w:tc>
          <w:tcPr>
            <w:tcW w:w="1900" w:type="dxa"/>
            <w:vAlign w:val="center"/>
          </w:tcPr>
          <w:p>
            <w:pPr>
              <w:pStyle w:val="tablecopy"/>
            </w:pPr>
            <w:r>
              <w:t>NarrativeQA</w:t>
            </w:r>
          </w:p>
        </w:tc>
        <w:tc>
          <w:tcPr>
            <w:tcW w:w="1500" w:type="dxa"/>
            <w:vAlign w:val="center"/>
          </w:tcPr>
          <w:p>
            <w:pPr>
              <w:pStyle w:val="tablecopy"/>
            </w:pPr>
            <w:r>
              <w:t>Single-hop</w:t>
            </w:r>
          </w:p>
        </w:tc>
        <w:tc>
          <w:tcPr>
            <w:tcW w:w="1300" w:type="dxa"/>
            <w:vAlign w:val="center"/>
          </w:tcPr>
          <w:p>
            <w:pPr>
              <w:pStyle w:val="tablecopy"/>
            </w:pPr>
            <w:r>
              <w:t>0.967 ± 0.04</w:t>
            </w:r>
          </w:p>
        </w:tc>
        <w:tc>
          <w:tcPr>
            <w:tcW w:w="1500" w:type="dxa"/>
            <w:vAlign w:val="center"/>
          </w:tcPr>
          <w:p>
            <w:pPr>
              <w:pStyle w:val="tablecopy"/>
            </w:pPr>
            <w:r>
              <w:t>0.940 ± 0.06</w:t>
            </w:r>
          </w:p>
        </w:tc>
        <w:tc>
          <w:tcPr>
            <w:tcW w:w="1300" w:type="dxa"/>
            <w:vAlign w:val="center"/>
          </w:tcPr>
          <w:p>
            <w:pPr>
              <w:pStyle w:val="tablecopy"/>
            </w:pPr>
            <w:r>
              <w:t>0.967 ± 0.04</w:t>
            </w:r>
          </w:p>
        </w:tc>
        <w:tc>
          <w:tcPr>
            <w:tcW w:w="1100" w:type="dxa"/>
            <w:vAlign w:val="center"/>
          </w:tcPr>
          <w:p>
            <w:pPr>
              <w:pStyle w:val="tablecopy"/>
            </w:pPr>
            <w:r>
              <w:t>0.85</w:t>
            </w:r>
          </w:p>
        </w:tc>
        <w:tc>
          <w:tcPr>
            <w:tcW w:w="2400" w:type="dxa"/>
            <w:vAlign w:val="center"/>
          </w:tcPr>
          <w:p>
            <w:pPr>
              <w:pStyle w:val="tablecopy"/>
            </w:pPr>
            <w:r>
              <w:t>Complementarity Illusion</w:t>
            </w:r>
          </w:p>
        </w:tc>
      </w:tr>
      <w:tr>
        <w:trPr>
          <w:jc w:val="center"/>
        </w:trPr>
        <w:tc>
          <w:tcPr>
            <w:tcW w:w="1900" w:type="dxa"/>
            <w:vAlign w:val="center"/>
          </w:tcPr>
          <w:p>
            <w:pPr>
              <w:pStyle w:val="tablecopy"/>
            </w:pPr>
            <w:r>
              <w:t>SciFact [36]</w:t>
            </w:r>
          </w:p>
        </w:tc>
        <w:tc>
          <w:tcPr>
            <w:tcW w:w="1500" w:type="dxa"/>
            <w:vAlign w:val="center"/>
          </w:tcPr>
          <w:p>
            <w:pPr>
              <w:pStyle w:val="tablecopy"/>
            </w:pPr>
            <w:r>
              <w:t>Claim verification</w:t>
            </w:r>
          </w:p>
        </w:tc>
        <w:tc>
          <w:tcPr>
            <w:tcW w:w="1300" w:type="dxa"/>
            <w:vAlign w:val="center"/>
          </w:tcPr>
          <w:p>
            <w:pPr>
              <w:pStyle w:val="tablecopy"/>
            </w:pPr>
            <w:r>
              <w:t>0.900</w:t>
            </w:r>
          </w:p>
        </w:tc>
        <w:tc>
          <w:tcPr>
            <w:tcW w:w="1500" w:type="dxa"/>
            <w:vAlign w:val="center"/>
          </w:tcPr>
          <w:p>
            <w:pPr>
              <w:pStyle w:val="tablecopy"/>
            </w:pPr>
            <w:r>
              <w:t>0.900</w:t>
            </w:r>
          </w:p>
        </w:tc>
        <w:tc>
          <w:tcPr>
            <w:tcW w:w="1300" w:type="dxa"/>
            <w:vAlign w:val="center"/>
          </w:tcPr>
          <w:p>
            <w:pPr>
              <w:pStyle w:val="tablecopy"/>
            </w:pPr>
            <w:r>
              <w:t>0.960</w:t>
            </w:r>
          </w:p>
        </w:tc>
        <w:tc>
          <w:tcPr>
            <w:tcW w:w="1100" w:type="dxa"/>
            <w:vAlign w:val="center"/>
          </w:tcPr>
          <w:p>
            <w:pPr>
              <w:pStyle w:val="tablecopy"/>
            </w:pPr>
            <w:r>
              <w:t>0.75</w:t>
            </w:r>
          </w:p>
        </w:tc>
        <w:tc>
          <w:tcPr>
            <w:tcW w:w="2400" w:type="dxa"/>
            <w:vAlign w:val="center"/>
          </w:tcPr>
          <w:p>
            <w:pPr>
              <w:pStyle w:val="tablecopy"/>
            </w:pPr>
            <w:r>
              <w:t>Complementarity Illusion (RRF wins)</w:t>
            </w:r>
          </w:p>
        </w:tc>
      </w:tr>
      <w:tr>
        <w:trPr>
          <w:jc w:val="center"/>
        </w:trPr>
        <w:tc>
          <w:tcPr>
            <w:tcW w:w="1900" w:type="dxa"/>
            <w:vAlign w:val="center"/>
          </w:tcPr>
          <w:p>
            <w:pPr>
              <w:pStyle w:val="tablecopy"/>
            </w:pPr>
            <w:r>
              <w:t>2WikiMultihopQA [41]</w:t>
            </w:r>
          </w:p>
        </w:tc>
        <w:tc>
          <w:tcPr>
            <w:tcW w:w="1500" w:type="dxa"/>
            <w:vAlign w:val="center"/>
          </w:tcPr>
          <w:p>
            <w:pPr>
              <w:pStyle w:val="tablecopy"/>
            </w:pPr>
            <w:r>
              <w:t>Multi-hop (2)</w:t>
            </w:r>
          </w:p>
        </w:tc>
        <w:tc>
          <w:tcPr>
            <w:tcW w:w="1300" w:type="dxa"/>
            <w:vAlign w:val="center"/>
          </w:tcPr>
          <w:p>
            <w:pPr>
              <w:pStyle w:val="tablecopy"/>
            </w:pPr>
            <w:r>
              <w:t>0.797 ± 0.11</w:t>
            </w:r>
          </w:p>
        </w:tc>
        <w:tc>
          <w:tcPr>
            <w:tcW w:w="1500" w:type="dxa"/>
            <w:vAlign w:val="center"/>
          </w:tcPr>
          <w:p>
            <w:pPr>
              <w:pStyle w:val="tablecopy"/>
            </w:pPr>
            <w:r>
              <w:t>0.901 ± 0.07</w:t>
            </w:r>
          </w:p>
        </w:tc>
        <w:tc>
          <w:tcPr>
            <w:tcW w:w="1300" w:type="dxa"/>
            <w:vAlign w:val="center"/>
          </w:tcPr>
          <w:p>
            <w:pPr>
              <w:pStyle w:val="tablecopy"/>
            </w:pPr>
            <w:r>
              <w:t>0.761 ± 0.11</w:t>
            </w:r>
          </w:p>
        </w:tc>
        <w:tc>
          <w:tcPr>
            <w:tcW w:w="1100" w:type="dxa"/>
            <w:vAlign w:val="center"/>
          </w:tcPr>
          <w:p>
            <w:pPr>
              <w:pStyle w:val="tablecopy"/>
            </w:pPr>
            <w:r>
              <w:t>0.65</w:t>
            </w:r>
          </w:p>
        </w:tc>
        <w:tc>
          <w:tcPr>
            <w:tcW w:w="2400" w:type="dxa"/>
            <w:vAlign w:val="center"/>
          </w:tcPr>
          <w:p>
            <w:pPr>
              <w:pStyle w:val="tablecopy"/>
            </w:pPr>
            <w:r>
              <w:t>Magnitude Destruction</w:t>
            </w:r>
          </w:p>
        </w:tc>
      </w:tr>
      <w:tr>
        <w:trPr>
          <w:jc w:val="center"/>
        </w:trPr>
        <w:tc>
          <w:tcPr>
            <w:tcW w:w="1900" w:type="dxa"/>
            <w:vAlign w:val="center"/>
          </w:tcPr>
          <w:p>
            <w:pPr>
              <w:pStyle w:val="tablecopy"/>
            </w:pPr>
            <w:r>
              <w:t>HotpotQA [42]</w:t>
            </w:r>
          </w:p>
        </w:tc>
        <w:tc>
          <w:tcPr>
            <w:tcW w:w="1500" w:type="dxa"/>
            <w:vAlign w:val="center"/>
          </w:tcPr>
          <w:p>
            <w:pPr>
              <w:pStyle w:val="tablecopy"/>
            </w:pPr>
            <w:r>
              <w:t>Multi-hop (2)</w:t>
            </w:r>
          </w:p>
        </w:tc>
        <w:tc>
          <w:tcPr>
            <w:tcW w:w="1300" w:type="dxa"/>
            <w:vAlign w:val="center"/>
          </w:tcPr>
          <w:p>
            <w:pPr>
              <w:pStyle w:val="tablecopy"/>
            </w:pPr>
            <w:r>
              <w:t>0.957 ± 0.05</w:t>
            </w:r>
          </w:p>
        </w:tc>
        <w:tc>
          <w:tcPr>
            <w:tcW w:w="1500" w:type="dxa"/>
            <w:vAlign w:val="center"/>
          </w:tcPr>
          <w:p>
            <w:pPr>
              <w:pStyle w:val="tablecopy"/>
            </w:pPr>
            <w:r>
              <w:t>0.872 ± 0.09</w:t>
            </w:r>
          </w:p>
        </w:tc>
        <w:tc>
          <w:tcPr>
            <w:tcW w:w="1300" w:type="dxa"/>
            <w:vAlign w:val="center"/>
          </w:tcPr>
          <w:p>
            <w:pPr>
              <w:pStyle w:val="tablecopy"/>
            </w:pPr>
            <w:r>
              <w:t>0.857 ± 0.09</w:t>
            </w:r>
          </w:p>
        </w:tc>
        <w:tc>
          <w:tcPr>
            <w:tcW w:w="1100" w:type="dxa"/>
            <w:vAlign w:val="center"/>
          </w:tcPr>
          <w:p>
            <w:pPr>
              <w:pStyle w:val="tablecopy"/>
            </w:pPr>
            <w:r>
              <w:t>0.85</w:t>
            </w:r>
          </w:p>
        </w:tc>
        <w:tc>
          <w:tcPr>
            <w:tcW w:w="2400" w:type="dxa"/>
            <w:vAlign w:val="center"/>
          </w:tcPr>
          <w:p>
            <w:pPr>
              <w:pStyle w:val="tablecopy"/>
            </w:pPr>
            <w:r>
              <w:t>Magnitude Destruction</w:t>
            </w:r>
          </w:p>
        </w:tc>
      </w:tr>
      <w:tr>
        <w:trPr>
          <w:jc w:val="center"/>
        </w:trPr>
        <w:tc>
          <w:tcPr>
            <w:tcW w:w="1900" w:type="dxa"/>
            <w:vAlign w:val="center"/>
          </w:tcPr>
          <w:p>
            <w:pPr>
              <w:pStyle w:val="tablecopy"/>
            </w:pPr>
            <w:r>
              <w:t>NQ-REaR [37]</w:t>
            </w:r>
          </w:p>
        </w:tc>
        <w:tc>
          <w:tcPr>
            <w:tcW w:w="1500" w:type="dxa"/>
            <w:vAlign w:val="center"/>
          </w:tcPr>
          <w:p>
            <w:pPr>
              <w:pStyle w:val="tablecopy"/>
            </w:pPr>
            <w:r>
              <w:t>Factoid</w:t>
            </w:r>
          </w:p>
        </w:tc>
        <w:tc>
          <w:tcPr>
            <w:tcW w:w="1300" w:type="dxa"/>
            <w:vAlign w:val="center"/>
          </w:tcPr>
          <w:p>
            <w:pPr>
              <w:pStyle w:val="tablecopy"/>
            </w:pPr>
            <w:r>
              <w:t>0.677 ± 0.12</w:t>
            </w:r>
          </w:p>
        </w:tc>
        <w:tc>
          <w:tcPr>
            <w:tcW w:w="1500" w:type="dxa"/>
            <w:vAlign w:val="center"/>
          </w:tcPr>
          <w:p>
            <w:pPr>
              <w:pStyle w:val="tablecopy"/>
            </w:pPr>
            <w:r>
              <w:t>0.632 ± 0.13</w:t>
            </w:r>
          </w:p>
        </w:tc>
        <w:tc>
          <w:tcPr>
            <w:tcW w:w="1300" w:type="dxa"/>
            <w:vAlign w:val="center"/>
          </w:tcPr>
          <w:p>
            <w:pPr>
              <w:pStyle w:val="tablecopy"/>
            </w:pPr>
            <w:r>
              <w:t>0.631 ± 0.13</w:t>
            </w:r>
          </w:p>
        </w:tc>
        <w:tc>
          <w:tcPr>
            <w:tcW w:w="1100" w:type="dxa"/>
            <w:vAlign w:val="center"/>
          </w:tcPr>
          <w:p>
            <w:pPr>
              <w:pStyle w:val="tablecopy"/>
            </w:pPr>
            <w:r>
              <w:t>0.82</w:t>
            </w:r>
          </w:p>
        </w:tc>
        <w:tc>
          <w:tcPr>
            <w:tcW w:w="2400" w:type="dxa"/>
            <w:vAlign w:val="center"/>
          </w:tcPr>
          <w:p>
            <w:pPr>
              <w:pStyle w:val="tablecopy"/>
            </w:pPr>
            <w:r>
              <w:t>True Redundancy</w:t>
            </w:r>
          </w:p>
        </w:tc>
      </w:tr>
      <w:tr>
        <w:trPr>
          <w:jc w:val="center"/>
        </w:trPr>
        <w:tc>
          <w:tcPr>
            <w:tcW w:w="1900" w:type="dxa"/>
            <w:vAlign w:val="center"/>
          </w:tcPr>
          <w:p>
            <w:pPr>
              <w:pStyle w:val="tablecopy"/>
            </w:pPr>
            <w:r>
              <w:t>PubMedQA [40]</w:t>
            </w:r>
          </w:p>
        </w:tc>
        <w:tc>
          <w:tcPr>
            <w:tcW w:w="1500" w:type="dxa"/>
            <w:vAlign w:val="center"/>
          </w:tcPr>
          <w:p>
            <w:pPr>
              <w:pStyle w:val="tablecopy"/>
            </w:pPr>
            <w:r>
              <w:t>Biomedical</w:t>
            </w:r>
          </w:p>
        </w:tc>
        <w:tc>
          <w:tcPr>
            <w:tcW w:w="1300" w:type="dxa"/>
            <w:vAlign w:val="center"/>
          </w:tcPr>
          <w:p>
            <w:pPr>
              <w:pStyle w:val="tablecopy"/>
            </w:pPr>
            <w:r>
              <w:t>0.952 ± 0.06</w:t>
            </w:r>
          </w:p>
        </w:tc>
        <w:tc>
          <w:tcPr>
            <w:tcW w:w="1500" w:type="dxa"/>
            <w:vAlign w:val="center"/>
          </w:tcPr>
          <w:p>
            <w:pPr>
              <w:pStyle w:val="tablecopy"/>
            </w:pPr>
            <w:r>
              <w:t>0.968 ± 0.04</w:t>
            </w:r>
          </w:p>
        </w:tc>
        <w:tc>
          <w:tcPr>
            <w:tcW w:w="1300" w:type="dxa"/>
            <w:vAlign w:val="center"/>
          </w:tcPr>
          <w:p>
            <w:pPr>
              <w:pStyle w:val="tablecopy"/>
            </w:pPr>
            <w:r>
              <w:t>0.968 ± 0.04</w:t>
            </w:r>
          </w:p>
        </w:tc>
        <w:tc>
          <w:tcPr>
            <w:tcW w:w="1100" w:type="dxa"/>
            <w:vAlign w:val="center"/>
          </w:tcPr>
          <w:p>
            <w:pPr>
              <w:pStyle w:val="tablecopy"/>
            </w:pPr>
            <w:r>
              <w:t>0.66</w:t>
            </w:r>
          </w:p>
        </w:tc>
        <w:tc>
          <w:tcPr>
            <w:tcW w:w="2400" w:type="dxa"/>
            <w:vAlign w:val="center"/>
          </w:tcPr>
          <w:p>
            <w:pPr>
              <w:pStyle w:val="tablecopy"/>
            </w:pPr>
            <w:r>
              <w:t>Tie (ceiling)</w:t>
            </w:r>
          </w:p>
        </w:tc>
      </w:tr>
      <w:tr>
        <w:trPr>
          <w:jc w:val="center"/>
        </w:trPr>
        <w:tc>
          <w:tcPr>
            <w:tcW w:w="1900" w:type="dxa"/>
            <w:vAlign w:val="center"/>
          </w:tcPr>
          <w:p>
            <w:pPr>
              <w:pStyle w:val="tablecopy"/>
            </w:pPr>
            <w:r>
              <w:t>PopQA [38]</w:t>
            </w:r>
          </w:p>
        </w:tc>
        <w:tc>
          <w:tcPr>
            <w:tcW w:w="1500" w:type="dxa"/>
            <w:vAlign w:val="center"/>
          </w:tcPr>
          <w:p>
            <w:pPr>
              <w:pStyle w:val="tablecopy"/>
            </w:pPr>
            <w:r>
              <w:t>Entity</w:t>
            </w:r>
          </w:p>
        </w:tc>
        <w:tc>
          <w:tcPr>
            <w:tcW w:w="1300" w:type="dxa"/>
            <w:vAlign w:val="center"/>
          </w:tcPr>
          <w:p>
            <w:pPr>
              <w:pStyle w:val="tablecopy"/>
            </w:pPr>
            <w:r>
              <w:t>1.000</w:t>
            </w:r>
          </w:p>
        </w:tc>
        <w:tc>
          <w:tcPr>
            <w:tcW w:w="1500" w:type="dxa"/>
            <w:vAlign w:val="center"/>
          </w:tcPr>
          <w:p>
            <w:pPr>
              <w:pStyle w:val="tablecopy"/>
            </w:pPr>
            <w:r>
              <w:t>1.000</w:t>
            </w:r>
          </w:p>
        </w:tc>
        <w:tc>
          <w:tcPr>
            <w:tcW w:w="1300" w:type="dxa"/>
            <w:vAlign w:val="center"/>
          </w:tcPr>
          <w:p>
            <w:pPr>
              <w:pStyle w:val="tablecopy"/>
            </w:pPr>
            <w:r>
              <w:t>1.000</w:t>
            </w:r>
          </w:p>
        </w:tc>
        <w:tc>
          <w:tcPr>
            <w:tcW w:w="1100" w:type="dxa"/>
            <w:vAlign w:val="center"/>
          </w:tcPr>
          <w:p>
            <w:pPr>
              <w:pStyle w:val="tablecopy"/>
            </w:pPr>
            <w:r>
              <w:t>1.00</w:t>
            </w:r>
          </w:p>
        </w:tc>
        <w:tc>
          <w:tcPr>
            <w:tcW w:w="2400" w:type="dxa"/>
            <w:vAlign w:val="center"/>
          </w:tcPr>
          <w:p>
            <w:pPr>
              <w:pStyle w:val="tablecopy"/>
            </w:pPr>
            <w:r>
              <w:t>Tie (ceiling)</w:t>
            </w:r>
          </w:p>
        </w:tc>
      </w:tr>
    </w:tbl>
    <w:p/>
    <w:p>
      <w:pPr>
        <w:sectPr>
          <w:type w:val="continuous"/>
          <w:pgSz w:w="595.30pt" w:h="841.90pt" w:code="9"/>
          <w:pgMar w:top="54pt" w:right="45.35pt" w:bottom="72pt" w:left="45.35pt" w:header="36pt" w:footer="36pt" w:gutter="0pt"/>
          <w:cols w:space="36pt"/>
          <w:docGrid w:linePitch="360"/>
        </w:sectPr>
      </w:pPr>
    </w:p>
    <w:p>
      <w:pPr>
        <w:sectPr>
          <w:type w:val="continuous"/>
          <w:pgSz w:w="595.30pt" w:h="841.90pt" w:code="9"/>
          <w:pgMar w:top="54pt" w:right="45.35pt" w:bottom="72pt" w:left="45.35pt" w:header="36pt" w:footer="36pt" w:gutter="0pt"/>
          <w:cols w:num="2" w:space="18pt"/>
          <w:docGrid w:linePitch="360"/>
        </w:sectPr>
      </w:pPr>
    </w:p>
    <w:p>
      <w:pPr>
        <w:pStyle w:val="tablehead"/>
      </w:pPr>
      <w:r>
        <w:t>TABLE 4b. MuSiQue [43], reported on its own terms: BM25 baseline vs. the operator-topology-selected operator (Linear).</w:t>
      </w:r>
    </w:p>
    <w:tbl>
      <w:tblPr>
        <w:tblW w:w="9900" w:type="dxa"/>
        <w:jc w:val="center"/>
        <w:tblBorders>
          <w:top w:val="single" w:sz="4" w:space="0" w:color="auto"/>
          <w:bottom w:val="single" w:sz="4" w:space="0" w:color="auto"/>
          <w:insideH w:val="single" w:sz="2" w:space="0" w:color="auto"/>
        </w:tblBorders>
        <w:tblLayout w:type="fixed"/>
      </w:tblPr>
      <w:tblGrid>
        <w:gridCol w:w="1900"/>
        <w:gridCol w:w="1900"/>
        <w:gridCol w:w="1700"/>
        <w:gridCol w:w="2900"/>
        <w:gridCol w:w="1500"/>
      </w:tblGrid>
      <w:tr>
        <w:trPr>
          <w:jc w:val="center"/>
        </w:trPr>
        <w:tc>
          <w:tcPr>
            <w:tcW w:w="1900" w:type="dxa"/>
            <w:vAlign w:val="center"/>
          </w:tcPr>
          <w:p>
            <w:pPr>
              <w:pStyle w:val="tablecolhead"/>
              <w:jc w:val="center"/>
            </w:pPr>
            <w:r>
              <w:rPr>
                <w:b/>
                <w:bCs/>
              </w:rPr>
              <w:t>Dataset</w:t>
            </w:r>
          </w:p>
        </w:tc>
        <w:tc>
          <w:tcPr>
            <w:tcW w:w="1900" w:type="dxa"/>
            <w:vAlign w:val="center"/>
          </w:tcPr>
          <w:p>
            <w:pPr>
              <w:pStyle w:val="tablecolhead"/>
              <w:jc w:val="center"/>
            </w:pPr>
            <w:r>
              <w:rPr>
                <w:b/>
                <w:bCs/>
              </w:rPr>
              <w:t>Task topology</w:t>
            </w:r>
          </w:p>
        </w:tc>
        <w:tc>
          <w:tcPr>
            <w:tcW w:w="1700" w:type="dxa"/>
            <w:vAlign w:val="center"/>
          </w:tcPr>
          <w:p>
            <w:pPr>
              <w:pStyle w:val="tablecolhead"/>
              <w:jc w:val="center"/>
            </w:pPr>
            <w:r>
              <w:rPr>
                <w:b/>
                <w:bCs/>
              </w:rPr>
              <w:t>BM25 baseline</w:t>
            </w:r>
          </w:p>
        </w:tc>
        <w:tc>
          <w:tcPr>
            <w:tcW w:w="2900" w:type="dxa"/>
            <w:vAlign w:val="center"/>
          </w:tcPr>
          <w:p>
            <w:pPr>
              <w:pStyle w:val="tablecolhead"/>
              <w:jc w:val="center"/>
            </w:pPr>
            <w:r>
              <w:rPr>
                <w:b/>
                <w:bCs/>
              </w:rPr>
              <w:t>Selected operator / Tuned hybrid</w:t>
            </w:r>
          </w:p>
        </w:tc>
        <w:tc>
          <w:tcPr>
            <w:tcW w:w="1500" w:type="dxa"/>
            <w:vAlign w:val="center"/>
          </w:tcPr>
          <w:p>
            <w:pPr>
              <w:pStyle w:val="tablecolhead"/>
              <w:jc w:val="center"/>
            </w:pPr>
            <w:r>
              <w:rPr>
                <w:b/>
                <w:bCs/>
              </w:rPr>
              <w:t>Relative gain</w:t>
            </w:r>
          </w:p>
        </w:tc>
      </w:tr>
      <w:tr>
        <w:trPr>
          <w:jc w:val="center"/>
        </w:trPr>
        <w:tc>
          <w:tcPr>
            <w:tcW w:w="1900" w:type="dxa"/>
            <w:vAlign w:val="center"/>
          </w:tcPr>
          <w:p>
            <w:pPr>
              <w:pStyle w:val="tablecopy"/>
            </w:pPr>
            <w:r>
              <w:t>MuSiQue [43]</w:t>
            </w:r>
          </w:p>
        </w:tc>
        <w:tc>
          <w:tcPr>
            <w:tcW w:w="1900" w:type="dxa"/>
            <w:vAlign w:val="center"/>
          </w:tcPr>
          <w:p>
            <w:pPr>
              <w:pStyle w:val="tablecopy"/>
            </w:pPr>
            <w:r>
              <w:t>Multi-hop (2–5)</w:t>
            </w:r>
          </w:p>
        </w:tc>
        <w:tc>
          <w:tcPr>
            <w:tcW w:w="1700" w:type="dxa"/>
            <w:vAlign w:val="center"/>
          </w:tcPr>
          <w:p>
            <w:pPr>
              <w:pStyle w:val="tablecopy"/>
            </w:pPr>
            <w:r>
              <w:t>0.482</w:t>
            </w:r>
          </w:p>
        </w:tc>
        <w:tc>
          <w:tcPr>
            <w:tcW w:w="2900" w:type="dxa"/>
            <w:vAlign w:val="center"/>
          </w:tcPr>
          <w:p>
            <w:pPr>
              <w:pStyle w:val="tablecopy"/>
            </w:pPr>
            <w:r>
              <w:t>Linear — 0.782 ± 0.11</w:t>
            </w:r>
          </w:p>
        </w:tc>
        <w:tc>
          <w:tcPr>
            <w:tcW w:w="1500" w:type="dxa"/>
            <w:vAlign w:val="center"/>
          </w:tcPr>
          <w:p>
            <w:pPr>
              <w:pStyle w:val="tablecopy"/>
            </w:pPr>
            <w:r>
              <w:t>+62.2%</w:t>
            </w:r>
          </w:p>
        </w:tc>
      </w:tr>
    </w:tbl>
    <w:p/>
    <w:p>
      <w:pPr>
        <w:sectPr>
          <w:type w:val="continuous"/>
          <w:pgSz w:w="595.30pt" w:h="841.90pt" w:code="9"/>
          <w:pgMar w:top="54pt" w:right="45.35pt" w:bottom="72pt" w:left="45.35pt" w:header="36pt" w:footer="36pt" w:gutter="0pt"/>
          <w:cols w:space="36pt"/>
          <w:docGrid w:linePitch="360"/>
        </w:sectPr>
      </w:pPr>
    </w:p>
    <w:p>
      <w:pPr>
        <w:pStyle w:val="BodyText"/>
      </w:pPr>
      <w:r>
        <w:t>We do not report an RRF value or a SPLADE-only value for MuSiQue in Table 4b because neither was measured against this baseline in the source data.</w:t>
      </w:r>
    </w:p>
    <w:p>
      <w:pPr>
        <w:pStyle w:val="figurecaption"/>
      </w:pPr>
      <w:r>
        <w:t xml:space="preserve">Fig. 2. </w:t>
      </w:r>
      <w:r>
        <w:t>Measured fusion outcomes across the eight datasets in Table 4, with 95% bootstrap CI error bars as reported in the table.</w:t>
      </w:r>
      <w:r>
        <w:rPr>
          <w:i/>
          <w:iCs/>
          <w:sz w:val="14"/>
          <w:szCs w:val="14"/>
        </w:rPr>
        <w:t xml:space="preserve">  [Figure to be supplied by the authors; source graphic not included in this manuscript file.]</w:t>
      </w:r>
    </w:p>
    <w:p>
      <w:pPr>
        <w:pStyle w:val="BodyText"/>
      </w:pPr>
      <w:r>
        <w:t>Belebele and NarrativeQA meet all three criteria in Definition 2 (τ=0.86 and 0.85, respectively); RRF restores or even surpasses SPLADE-only performance. SF’s cosine similarity is bounded to [0,1], while SPLADE’s dot-products can easily exceed 30–50+. When combined as 0.3·s</w:t>
      </w:r>
      <w:r>
        <w:rPr>
          <w:vertAlign w:val="subscript"/>
        </w:rPr>
        <w:t>SF</w:t>
      </w:r>
      <w:r>
        <w:t xml:space="preserve"> + 0.7·s</w:t>
      </w:r>
      <w:r>
        <w:rPr>
          <w:vertAlign w:val="subscript"/>
        </w:rPr>
        <w:t>SPLADE</w:t>
      </w:r>
      <w:r>
        <w:t>, it is plausible that SF’s contribution is annihilated by sheer magnitude even where discriminatory information exists—which RRF, being scale-invariant (§3.2), identifies correctly. By contrast, NQ-REaR shows a decent τ (0.82) while criterion (3) is not met: since performance cannot be recovered, the redundancy is genuine, exactly the distinction Definition 2 is designed to capture, since τ alone is not sufficient to distinguish the two scenarios.</w:t>
      </w:r>
    </w:p>
    <w:p>
      <w:pPr>
        <w:pStyle w:val="Heading2"/>
      </w:pPr>
      <w:r>
        <w:t>Operator Failure II: Magnitude Destruction and the Operator-Topology Constraint</w:t>
      </w:r>
    </w:p>
    <w:p>
      <w:pPr>
        <w:pStyle w:val="BodyText"/>
      </w:pPr>
      <w:r>
        <w:rPr>
          <w:b/>
          <w:bCs/>
        </w:rPr>
        <w:t xml:space="preserve">Claim (Constraint from Operator-Topology). </w:t>
      </w:r>
      <w:r>
        <w:t>Let T be the topology of a retrieval problem. If T is single-hop matching, ℱ</w:t>
      </w:r>
      <w:r>
        <w:rPr>
          <w:vertAlign w:val="subscript"/>
        </w:rPr>
        <w:t>RRF</w:t>
      </w:r>
      <w:r>
        <w:t xml:space="preserve"> is preferable, owing to its scale-invariance (Table 1), which fixes the Complementarity Illusion at no cost. If T is multi-hop compositional reasoning, where the magnitude of the learned sparse model’s score represents the number of hops successfully matched, then ℱ</w:t>
      </w:r>
      <w:r>
        <w:rPr>
          <w:vertAlign w:val="subscript"/>
        </w:rPr>
        <w:t>lin</w:t>
      </w:r>
      <w:r>
        <w:t xml:space="preserve"> preserves this magnitude.</w:t>
      </w:r>
    </w:p>
    <w:p>
      <w:pPr>
        <w:pStyle w:val="BodyText"/>
      </w:pPr>
      <w:r>
        <w:rPr>
          <w:i/>
          <w:iCs/>
        </w:rPr>
        <w:t xml:space="preserve">Proof sketch. </w:t>
      </w:r>
      <w:r>
        <w:t>For multi-hop QA, the absolute SPLADE score expresses compositional confidence: a high score (e.g., s=45) corresponds to compositional term expansion activated over several hops, while a low score (e.g., s=15) corresponds to a match over only one hop. ℱ</w:t>
      </w:r>
      <w:r>
        <w:rPr>
          <w:vertAlign w:val="subscript"/>
        </w:rPr>
        <w:t>RRF</w:t>
      </w:r>
      <w:r>
        <w:t xml:space="preserve"> transforms both into a score depending only on rank: two documents with the same rank under each signal receive identical fused scores despite a 3× difference in raw score, losing exactly the distinction between a compositional connection and a partial one. ℱ</w:t>
      </w:r>
      <w:r>
        <w:rPr>
          <w:vertAlign w:val="subscript"/>
        </w:rPr>
        <w:t>lin</w:t>
      </w:r>
      <w:r>
        <w:rPr>
          <w:i/>
          <w:iCs/>
        </w:rPr>
        <w:t xml:space="preserve"> retains this difference by construction (§3.2). We call this a proof </w:t>
      </w:r>
      <w:r>
        <w:rPr>
          <w:i/>
          <w:iCs/>
        </w:rPr>
        <w:t>sketch</w:t>
      </w:r>
      <w:r>
        <w:rPr>
          <w:i/>
          <w:iCs/>
        </w:rPr>
        <w:t xml:space="preserve"> rather than a proof, since we show only qualitative reasoning, not a bound on the resulting MRR loss in the general case; §7 lists the assumptions a full proof would need. □</w:t>
      </w:r>
    </w:p>
    <w:p>
      <w:pPr>
        <w:pStyle w:val="BodyText"/>
      </w:pPr>
      <w:r>
        <w:t>Evidence for this claim appears in Table 4: on 2WikiMultihopQA, RRF underperforms linear fusion by 15.5 MRR points; on MuSiQue—the most difficult and compositional dataset evaluated—linear fusion raises MRR from the BM25 baseline of 0.482 to 0.782 (+62.2%), a gain RRF cannot replicate.</w:t>
      </w:r>
    </w:p>
    <w:p>
      <w:pPr>
        <w:pStyle w:val="Heading2"/>
      </w:pPr>
      <w:r>
        <w:t>Representation Failure: Locality-Induced Feature Ceiling and Score Concentration</w:t>
      </w:r>
    </w:p>
    <w:p>
      <w:pPr>
        <w:pStyle w:val="BodyText"/>
      </w:pPr>
      <w:r>
        <w:t xml:space="preserve">Regardless of the operator chosen, two additional constraints arose that are intrinsic to SF’s </w:t>
      </w:r>
      <w:r>
        <w:rPr>
          <w:i/>
          <w:iCs/>
        </w:rPr>
        <w:t>representation</w:t>
      </w:r>
      <w:r>
        <w:t xml:space="preserve"> rather than the fusion operator itself.</w:t>
      </w:r>
    </w:p>
    <w:p>
      <w:pPr>
        <w:pStyle w:val="BodyText"/>
      </w:pPr>
      <w:r>
        <w:rPr>
          <w:b/>
          <w:bCs/>
        </w:rPr>
        <w:t xml:space="preserve">Locality-Induced Feature Ceiling Principle. </w:t>
      </w:r>
      <w:r>
        <w:t>Let q, d ∈ {0,1}</w:t>
      </w:r>
      <w:r>
        <w:rPr>
          <w:vertAlign w:val="superscript"/>
        </w:rPr>
        <w:t>d</w:t>
      </w:r>
      <w:r>
        <w:t xml:space="preserve"> be SDRs whose active bits are spatially localized to contiguous regions on a Morton-ordered grid [30]. If a feature f(q,d) is constructed strictly as a function of spatial overlap between q and d, then f is, up to monotonic scaling, informationally equivalent to the spatial-overlap statistic q·d already used for ranking; any feature engineering satisfying the locality constraint cannot improve ranking performance beyond what q·d already achieves, beyond measurement noise. We call this </w:t>
      </w:r>
      <w:r>
        <w:rPr>
          <w:i/>
          <w:iCs/>
        </w:rPr>
        <w:t>locality-induced</w:t>
      </w:r>
      <w:r>
        <w:t xml:space="preserve"> to emphasize that the principle applies only to SDR-style, spatially local representations.</w:t>
      </w:r>
    </w:p>
    <w:p>
      <w:pPr>
        <w:pStyle w:val="BodyText"/>
      </w:pPr>
      <w:r>
        <w:t>This principle was demonstrated—as “no demonstrable improvement outside the confidence interval,” not an outright 0.000%—on several architectures in our companion paper (re-ranking snippets, adapting spreading radius, OOV handling, BM25 filtering, query decomposition), all of which lie outside the confidence interval. The two approaches that actively break locality—non-static learned grids and cross-attention—are outperformed by 19.3% and 21.5% respectively, a good indication that they lie outside the principle’s scope. We present this as an empirically scoped principle rather than a general theorem, since we have demonstrated it on only one architectural design; for SDRs generally, it remains a conjecture.</w:t>
      </w:r>
    </w:p>
    <w:p>
      <w:pPr>
        <w:pStyle w:val="BodyText"/>
      </w:pPr>
      <w:r>
        <w:rPr>
          <w:b/>
          <w:bCs/>
        </w:rPr>
        <w:t xml:space="preserve">Principle (Score Concentration). </w:t>
      </w:r>
      <w:r>
        <w:t>For a query fingerprint with ‖q‖</w:t>
      </w:r>
      <w:r>
        <w:rPr>
          <w:vertAlign w:val="subscript"/>
        </w:rPr>
        <w:t>1</w:t>
      </w:r>
      <w:r>
        <w:t xml:space="preserve"> = K ≈ 410 active bits at d=4096, sparsity ρ=0.10, the dot product with a random document has</w:t>
      </w:r>
    </w:p>
    <w:p>
      <w:pPr>
        <w:pStyle w:val="equation"/>
      </w:pPr>
      <w:r>
        <w:tab/>
      </w:r>
      <w:r>
        <w:t xml:space="preserve">E[s] ≈ 41.0,  Var[s] ≈ 36.9,  σ[s] ≈ 6.07</w:t>
      </w:r>
      <w:r>
        <w:tab/>
      </w:r>
      <w:r>
        <w:t>(4)</w:t>
      </w:r>
    </w:p>
    <w:p>
      <w:pPr>
        <w:pStyle w:val="BodyText"/>
      </w:pPr>
      <w:r>
        <w:t>This derivation follows directly from a binomial model of bit intersection at constant sparsity. Since this dynamic range is bounded regardless of corpus size as N grows, scores compress into a narrow range as N increases. On NQ-REaR (~1,039 documents), the compressed SF score range is 0.034–0.051 (coefficient of variation ≈ 0.15), statistically indistinguishable from noise, whereas the BM25 score distribution remains well separated (mean 5.2, std 4.1) on the same corpus (Fig. 3). The coefficient of variation and compressed range are reported as observed at this specific N, not as the theoretical limit as N→∞.</w:t>
      </w:r>
    </w:p>
    <w:p>
      <w:pPr>
        <w:pStyle w:val="figurecaption"/>
      </w:pPr>
      <w:r>
        <w:t xml:space="preserve">Fig. 3. </w:t>
      </w:r>
      <w:r>
        <w:t>Score-distribution schematic showing BM25's wide, well-separated distribution versus SF's compressed distribution on NQ-REaR.</w:t>
      </w:r>
      <w:r>
        <w:rPr>
          <w:i/>
          <w:iCs/>
          <w:sz w:val="14"/>
          <w:szCs w:val="14"/>
        </w:rPr>
        <w:t xml:space="preserve">  [Figure to be supplied by the authors; source graphic not included in this manuscript file.]</w:t>
      </w:r>
    </w:p>
    <w:p>
      <w:pPr>
        <w:pStyle w:val="BodyText"/>
      </w:pPr>
      <w:r>
        <w:t>SciFact [36] was also tested in a full-corpus (deep-pool) configuration—gold document + top-100 BM25 retrievals out of a 5,183-document pool (~101 retrievals/query)—where both SF and BM25 collapse to near-random MRR: 0.0109 for SF and 0.0095 for BM25, versus 0.860 and 0.900 in the standard small (16-document) pool setup. Such full-corpus evaluations align with standard IR benchmarks like BEIR [44], [45]. Only these two MRR values are reported for the deep-pool condition, since no other deep-pool measurements were taken. We state the collapse without qualification; it means the small-pool MRR scores throughout this work and our companion paper should be read as upper bounds of reranking conditioned on a strong first-stage retriever, not as full-corpus retrieval accuracy.</w:t>
      </w:r>
    </w:p>
    <w:p>
      <w:pPr>
        <w:pStyle w:val="Heading1"/>
      </w:pPr>
      <w:r>
        <w:t>Hybrid Compatibility and Pre-Fusion Diagnostics — Proposed, Not Yet Validated</w:t>
      </w:r>
    </w:p>
    <w:p>
      <w:pPr>
        <w:pStyle w:val="BodyText"/>
      </w:pPr>
      <w:r>
        <w:t>Sections 3–4 defined three distinct measures of consistency for two score spaces: rank redundancy (τ), compatibility of scale (RRF-recoverability, Definition 2 condition 3), and task-operator compatibility (Operator-Topology Constraint, §4.2). It is useful to give a name to the entity described by all three.</w:t>
      </w:r>
    </w:p>
    <w:p>
      <w:pPr>
        <w:pStyle w:val="BodyText"/>
      </w:pPr>
      <w:r>
        <w:rPr>
          <w:b/>
          <w:bCs/>
        </w:rPr>
        <w:t xml:space="preserve">Definition 3 (Hybrid Compatibility). </w:t>
      </w:r>
      <w:r>
        <w:t>For two score geometries 𝒢</w:t>
      </w:r>
      <w:r>
        <w:rPr>
          <w:vertAlign w:val="subscript"/>
        </w:rPr>
        <w:t>A</w:t>
      </w:r>
      <w:r>
        <w:t>, 𝒢</w:t>
      </w:r>
      <w:r>
        <w:rPr>
          <w:vertAlign w:val="subscript"/>
        </w:rPr>
        <w:t>B</w:t>
      </w:r>
      <w:r>
        <w:t xml:space="preserve"> ∈ 𝒢 arising from the same query, we call the triple</w:t>
      </w:r>
    </w:p>
    <w:p>
      <w:pPr>
        <w:pStyle w:val="equation"/>
      </w:pPr>
      <w:r>
        <w:tab/>
      </w:r>
      <w:r>
        <w:t>(τ(π</w:t>
      </w:r>
      <w:r>
        <w:rPr>
          <w:vertAlign w:val="subscript"/>
        </w:rPr>
        <w:t>A</w:t>
      </w:r>
      <w:r>
        <w:t>,π</w:t>
      </w:r>
      <w:r>
        <w:rPr>
          <w:vertAlign w:val="subscript"/>
        </w:rPr>
        <w:t>B</w:t>
      </w:r>
      <w:r>
        <w:t>), RRF-recoverable(𝒢</w:t>
      </w:r>
      <w:r>
        <w:rPr>
          <w:vertAlign w:val="subscript"/>
        </w:rPr>
        <w:t>A</w:t>
      </w:r>
      <w:r>
        <w:t>,𝒢</w:t>
      </w:r>
      <w:r>
        <w:rPr>
          <w:vertAlign w:val="subscript"/>
        </w:rPr>
        <w:t>B</w:t>
      </w:r>
      <w:r>
        <w:t>), T)</w:t>
      </w:r>
      <w:r>
        <w:tab/>
      </w:r>
      <w:r>
        <w:t>(5)</w:t>
      </w:r>
    </w:p>
    <w:p>
      <w:pPr>
        <w:pStyle w:val="BodyText"/>
      </w:pPr>
      <w:r>
        <w:t xml:space="preserve">the </w:t>
      </w:r>
      <w:r>
        <w:rPr>
          <w:i/>
          <w:iCs/>
        </w:rPr>
        <w:t>Hybrid Compatibility Profile</w:t>
      </w:r>
      <w:r>
        <w:t xml:space="preserve"> of the two — rank redundancy, scale-compatibility result, and task topology T. This is merely a labeling of the three values computed in §4–5; the values do not represent necessary or sufficient conditions for good fusion in general, and there is no if-and-only-if connection between the profile and hybrid gain. What we claim is more restricted: in each of the nine cases in Table 4/4b, the hybrid compatibility profile value is consistent with the outcome given in the same row.</w:t>
      </w:r>
    </w:p>
    <w:p>
      <w:pPr>
        <w:pStyle w:val="BodyText"/>
      </w:pPr>
      <w:r>
        <w:t>This section suggests using the Hybrid Compatibility Profile, calculated before fusion, to choose the operator in advance rather than by sweeping. Fig. 4 shows the suggested workflow, retrospectively consistent with these nine datasets:</w:t>
      </w:r>
    </w:p>
    <w:p>
      <w:pPr>
        <w:pStyle w:val="bulletlist"/>
      </w:pPr>
      <w:r>
        <w:t>High τ, one-hop task → check for Complementarity Illusion; confirm with the RRF test; if it restores performance (Definition 2, condition 3), fuse using RRF.</w:t>
      </w:r>
    </w:p>
    <w:p>
      <w:pPr>
        <w:pStyle w:val="bulletlist"/>
      </w:pPr>
      <w:r>
        <w:t>Low-to-moderate τ, multi-hop task → independent, magnitude-relevant information; use linear interpolation.</w:t>
      </w:r>
    </w:p>
    <w:p>
      <w:pPr>
        <w:pStyle w:val="bulletlist"/>
      </w:pPr>
      <w:r>
        <w:t>High τ, no restoration of performance under RRF → genuine redundancy; consider dropping the poorer-performing signal.</w:t>
      </w:r>
    </w:p>
    <w:p>
      <w:pPr>
        <w:pStyle w:val="bulletlist"/>
      </w:pPr>
      <w:r>
        <w:t>Score variance collapse (σ²ₛ → 0), irrespective of τ → representational problem (§4.3); no operator can fix this.</w:t>
      </w:r>
    </w:p>
    <w:p>
      <w:pPr>
        <w:pStyle w:val="figurecaption"/>
      </w:pPr>
      <w:r>
        <w:t xml:space="preserve">Fig. 4. </w:t>
      </w:r>
      <w:r>
        <w:t>Proposed pre-fusion diagnostic decision flowchart (retrospectively consistent with nine datasets).</w:t>
      </w:r>
      <w:r>
        <w:rPr>
          <w:i/>
          <w:iCs/>
          <w:sz w:val="14"/>
          <w:szCs w:val="14"/>
        </w:rPr>
        <w:t xml:space="preserve">  [Figure to be supplied by the authors; source graphic not included in this manuscript file.]</w:t>
      </w:r>
    </w:p>
    <w:p>
      <w:pPr>
        <w:pStyle w:val="BodyText"/>
      </w:pPr>
      <w:r>
        <w:rPr>
          <w:b/>
          <w:bCs/>
        </w:rPr>
        <w:t xml:space="preserve">Status of this rule. </w:t>
      </w:r>
      <w:r>
        <w:t>This rule is valid across all nine evaluated datasets, based on one pair of retrievers (SF+SPLADE) and one checkpoint trained in sparse mode. It has not been evaluated on out-of-sample data, on another hybrid pair, or for its sensitivity to α or k beyond the values used here. No accuracy figure is reported, since no prospective evaluation was performed.</w:t>
      </w:r>
    </w:p>
    <w:p>
      <w:pPr>
        <w:pStyle w:val="figurecaption"/>
      </w:pPr>
      <w:r>
        <w:t xml:space="preserve">Fig. 5. </w:t>
      </w:r>
      <w:r>
        <w:t>Overall pre-fusion diagnostic workflow, annotated by evidentiary status (constructed / empirically consistent / proposed and unverified).</w:t>
      </w:r>
      <w:r>
        <w:rPr>
          <w:i/>
          <w:iCs/>
          <w:sz w:val="14"/>
          <w:szCs w:val="14"/>
        </w:rPr>
        <w:t xml:space="preserve">  [Figure to be supplied by the authors; source graphic not included in this manuscript file.]</w:t>
      </w:r>
    </w:p>
    <w:p>
      <w:pPr>
        <w:pStyle w:val="Heading1"/>
      </w:pPr>
      <w:r>
        <w:t>Discussion</w:t>
      </w:r>
    </w:p>
    <w:p>
      <w:pPr>
        <w:pStyle w:val="BodyText"/>
      </w:pPr>
      <w:r>
        <w:t>For the practitioner, the practical value of this paper, limited to what has been demonstrated here, is: (1) do not rely on Kendall’s τ alone for redundancy testing—confirm RRF-recoverability (Definition 2, condition 3) before calling two signals redundant; (2) treat magnitude-sensitive tasks as requiring an operator that preserves magnitude by definition (§3.2, §4.2), not by tuning; (3) treat small-pool MRR as dependent on strong first-stage filtering, not as an estimate of whole-corpus accuracy (§4.3).</w:t>
      </w:r>
    </w:p>
    <w:p>
      <w:pPr>
        <w:pStyle w:val="Heading1"/>
      </w:pPr>
      <w:r>
        <w:t>Limitations and a Concrete Path to Generalization</w:t>
      </w:r>
    </w:p>
    <w:p>
      <w:pPr>
        <w:pStyle w:val="bulletlist"/>
      </w:pPr>
      <w:r>
        <w:t>Single retriever pair. All results here use SF+SPLADE. The Operator Information Preservation claim (§3.2) follows from the definitions of RRF and linear interpolation and does not depend on SF or SPLADE; whether the decision rule in §5 generalizes to other pairs (BM25+DPR [5], BM25+Contriever [7], or dense models with advanced negative sampling [46]) remains unknown, and is the single most valuable next experiment.</w:t>
      </w:r>
    </w:p>
    <w:p>
      <w:pPr>
        <w:pStyle w:val="bulletlist"/>
      </w:pPr>
      <w:r>
        <w:t>No out-of-sample validation of the decision rule (§5).</w:t>
      </w:r>
    </w:p>
    <w:p>
      <w:pPr>
        <w:pStyle w:val="bulletlist"/>
      </w:pPr>
      <w:r>
        <w:t>No hyperparameter sensitivity analysis — an α-sweep above 0.3 and a k-sweep beyond {10,30,60,100} (from our companion paper) would show whether §4’s conclusions are sensitive to these choices.</w:t>
      </w:r>
    </w:p>
    <w:p>
      <w:pPr>
        <w:pStyle w:val="bulletlist"/>
      </w:pPr>
      <w:r>
        <w:t>Calibration is not defined here (§3.1). It is a natural fifth score-geometry dimension, but we have not specified how to measure it.</w:t>
      </w:r>
    </w:p>
    <w:p>
      <w:pPr>
        <w:pStyle w:val="bulletlist"/>
      </w:pPr>
      <w:r>
        <w:t>The proof sketch of the operator-topology condition (§4.2) is purely qualitative. A more detailed analysis could estimate expected MRR loss after RRF as a function of score-magnitude gap and k, but no such derivation has been made, and one may not exist.</w:t>
      </w:r>
    </w:p>
    <w:p>
      <w:pPr>
        <w:pStyle w:val="bulletlist"/>
      </w:pPr>
      <w:r>
        <w:t>The locality-induced feature ceiling and score-concentration principles hold demonstrably for only one architecture (§4.3); their generalization to SDR-type architectures is a conjecture, not a proven result.</w:t>
      </w:r>
    </w:p>
    <w:p>
      <w:pPr>
        <w:pStyle w:val="BodyText"/>
      </w:pPr>
      <w:r>
        <w:t>Items 1–3 seem within reach given available computational resources and datasets, and form the obvious continuation of this research rather than the subject of this paper.</w:t>
      </w:r>
    </w:p>
    <w:p>
      <w:pPr>
        <w:pStyle w:val="Heading1"/>
      </w:pPr>
      <w:r>
        <w:t>Conclusion</w:t>
      </w:r>
    </w:p>
    <w:p>
      <w:pPr>
        <w:pStyle w:val="BodyText"/>
      </w:pPr>
      <w:r>
        <w:t>We created a taxonomy of hybrid retrieval failures, differentiating signal, operator, and representation failure, and defined a retrieval signal as a point in the score geometry space 𝒢, characterized by measurable ordering, magnitude, and variance—sufficient, though not necessarily necessary, for the class of fusion operators of interest. We prove, directly from the operators’ definitions, that RRF preserves only ordering whereas linear interpolation preserves both ordering and magnitude, and use this to define a concrete Complementarity Illusion and show, via an abbreviated proof, that this operator distinction is key to multi-hop failure. We call this combination of properties the Hybrid Compatibility profile, reflecting our diagnostic vocabulary rather than a proven sufficiency result. Two further architectural properties—a locality-driven feature ceiling and a score-concentration effect—are stated as principles with proof sketches, explicitly confined to one architecture rather than formulated as theorems of wider generality. We regard the modest contribution of this paper—a geometric language, one proven theorem, one carefully defined diagnosis, two qualitative proof sketches, and well-defined open questions—as preferable to a broader claim supported by experiments not yet performed.</w:t>
      </w:r>
    </w:p>
    <w:p>
      <w:pPr>
        <w:pStyle w:val="Heading5"/>
      </w:pPr>
      <w:r>
        <w:t>References</w:t>
      </w:r>
    </w:p>
    <w:p>
      <w:pPr>
        <w:pStyle w:val="references"/>
        <w:ind w:start="17.70pt" w:hanging="17.70pt"/>
      </w:pPr>
      <w:r>
        <w:t>G. Salton, A. Wong, and C. S. Yang, "A Vector Space Model for Automatic Indexing," Commun. ACM, vol. 18, no. 11, pp. 613–620, 1975.</w:t>
      </w:r>
    </w:p>
    <w:p>
      <w:pPr>
        <w:pStyle w:val="references"/>
        <w:ind w:start="17.70pt" w:hanging="17.70pt"/>
      </w:pPr>
      <w:r>
        <w:t>S. Robertson and H. Zaragoza, "The Probabilistic Relevance Framework: BM25 and Beyond," Found. Trends Inf. Retrieval, vol. 3, no. 4, pp. 333–389, 2009.</w:t>
      </w:r>
    </w:p>
    <w:p>
      <w:pPr>
        <w:pStyle w:val="references"/>
        <w:ind w:start="17.70pt" w:hanging="17.70pt"/>
      </w:pPr>
      <w:r>
        <w:t>S. E. Robertson and K. Sparck Jones, "Relevance weighting of search terms," J. Amer. Soc. Inf. Sci., vol. 27, no. 3, pp. 129–146, 1996.</w:t>
      </w:r>
    </w:p>
    <w:p>
      <w:pPr>
        <w:pStyle w:val="references"/>
        <w:ind w:start="17.70pt" w:hanging="17.70pt"/>
      </w:pPr>
      <w:r>
        <w:t>J. Lin, "UniCOIL: Combining Contextualized Lexical Matching with Term Weighting," arXiv preprint arXiv:2404.09997, 2024.</w:t>
      </w:r>
    </w:p>
    <w:p>
      <w:pPr>
        <w:pStyle w:val="references"/>
        <w:ind w:start="17.70pt" w:hanging="17.70pt"/>
      </w:pPr>
      <w:r>
        <w:t>Y. Zhao et al., "Dense Text Retrieval based on Pretrained Language Models: A Survey," ACM Trans. Inf. Syst. (TOIS), 2024.</w:t>
      </w:r>
    </w:p>
    <w:p>
      <w:pPr>
        <w:pStyle w:val="references"/>
        <w:ind w:start="17.70pt" w:hanging="17.70pt"/>
      </w:pPr>
      <w:r>
        <w:t>S. Xiao et al., "RetroMAE: Pre-Training Retrieval-Oriented Language Models via Masked Auto-Encoder," in Proc. EMNLP, 2022.</w:t>
      </w:r>
    </w:p>
    <w:p>
      <w:pPr>
        <w:pStyle w:val="references"/>
        <w:ind w:start="17.70pt" w:hanging="17.70pt"/>
      </w:pPr>
      <w:r>
        <w:t>H. Lei et al., "Unsupervised Dense Retrieval with Relevance-Aware Contrastive Pre-Training," in Proc. 61st ACL Findings, 2023.</w:t>
      </w:r>
    </w:p>
    <w:p>
      <w:pPr>
        <w:pStyle w:val="references"/>
        <w:ind w:start="17.70pt" w:hanging="17.70pt"/>
      </w:pPr>
      <w:r>
        <w:t>K. Santhanam et al., "ColBERTv2: Effective and Efficient Retrieval via Lightweight Late Interaction," in Proc. NAACL, 2022.</w:t>
      </w:r>
    </w:p>
    <w:p>
      <w:pPr>
        <w:pStyle w:val="references"/>
        <w:ind w:start="17.70pt" w:hanging="17.70pt"/>
      </w:pPr>
      <w:r>
        <w:t>F. Lassance et al., "SPLATE: Sparse Late Interaction Retrieval," in Proc. 47th Int. ACM SIGIR Conf., 2024.</w:t>
      </w:r>
    </w:p>
    <w:p>
      <w:pPr>
        <w:pStyle w:val="references"/>
        <w:ind w:start="17.70pt" w:hanging="17.70pt"/>
      </w:pPr>
      <w:r>
        <w:t>T. Formal, B. Piwowarski, and S. Clinchant, "SPLADE: Sparse Lexical and Expansion Model for First Stage Ranking," in Proc. 44th Int. ACM SIGIR Conf., 2021.</w:t>
      </w:r>
    </w:p>
    <w:p>
      <w:pPr>
        <w:pStyle w:val="references"/>
        <w:ind w:start="17.70pt" w:hanging="17.70pt"/>
      </w:pPr>
      <w:r>
        <w:t>G. V. Cormack, C. L. A. Clarke, and S. Buettcher, "Reciprocal Rank Fusion outperforms Condorcet and individual Rank Learning Methods," in Proc. 32nd Int. ACM SIGIR Conf., 2009.</w:t>
      </w:r>
    </w:p>
    <w:p>
      <w:pPr>
        <w:pStyle w:val="references"/>
        <w:ind w:start="17.70pt" w:hanging="17.70pt"/>
      </w:pPr>
      <w:r>
        <w:t>E. A. Fox and J. A. Shaw, "Combination of Multiple Searches," in Proc. 2nd Text REtrieval Conf. (TREC), 1994.</w:t>
      </w:r>
    </w:p>
    <w:p>
      <w:pPr>
        <w:pStyle w:val="references"/>
        <w:ind w:start="17.70pt" w:hanging="17.70pt"/>
      </w:pPr>
      <w:r>
        <w:t>W. Webber, "Semantic Folding," Cortical.io, Whitepaper, 2015.</w:t>
      </w:r>
    </w:p>
    <w:p>
      <w:pPr>
        <w:pStyle w:val="references"/>
        <w:ind w:start="17.70pt" w:hanging="17.70pt"/>
      </w:pPr>
      <w:r>
        <w:t>P. Kanerva, Sparse Distributed Memory. Cambridge, MA, USA: MIT Press, 1988.</w:t>
      </w:r>
    </w:p>
    <w:p>
      <w:pPr>
        <w:pStyle w:val="references"/>
        <w:ind w:start="17.70pt" w:hanging="17.70pt"/>
      </w:pPr>
      <w:r>
        <w:t>P. Kanerva, Hyperdimensional Computing: An Introduction to Computing in Distributed Representation with High-Dimensional Vectors. Cambridge, MA, USA: MIT Press, 2009.</w:t>
      </w:r>
    </w:p>
    <w:p>
      <w:pPr>
        <w:pStyle w:val="references"/>
        <w:ind w:start="17.70pt" w:hanging="17.70pt"/>
      </w:pPr>
      <w:r>
        <w:t>J. Hawkins and D. George, "Hierarchical Temporal Memory: Concepts, Theory, and Terminology," Numenta, Whitepaper, 2006.</w:t>
      </w:r>
    </w:p>
    <w:p>
      <w:pPr>
        <w:pStyle w:val="references"/>
        <w:ind w:start="17.70pt" w:hanging="17.70pt"/>
      </w:pPr>
      <w:r>
        <w:t>S. Ahmad and J. Hawkins, "Properties of Sparse Distributed Representations and their Application to Hierarchical Temporal Memory," arXiv preprint arXiv:1503.07469, 2015.</w:t>
      </w:r>
    </w:p>
    <w:p>
      <w:pPr>
        <w:pStyle w:val="references"/>
        <w:ind w:start="17.70pt" w:hanging="17.70pt"/>
      </w:pPr>
      <w:r>
        <w:t>D. Kleyko, D. Rachkovskij, and E. Osipov, "A Survey on Hyperdimensional Computing aka Vector Symbolic Architectures, Part II: Applications, Models, and Challenges," ACM Comput. Surv., 2023.</w:t>
      </w:r>
    </w:p>
    <w:p>
      <w:pPr>
        <w:pStyle w:val="references"/>
        <w:ind w:start="17.70pt" w:hanging="17.70pt"/>
      </w:pPr>
      <w:r>
        <w:t>R. Clay et al., "The Thousand Brains Project: A New Paradigm for Sensorimotor Intelligence," arXiv preprint, 2024.</w:t>
      </w:r>
    </w:p>
    <w:p>
      <w:pPr>
        <w:pStyle w:val="references"/>
        <w:ind w:start="17.70pt" w:hanging="17.70pt"/>
      </w:pPr>
      <w:r>
        <w:t>Z. S. Harris, "Distributional Structure," Word, vol. 10, no. 2-3, pp. 146–162, 1954.</w:t>
      </w:r>
    </w:p>
    <w:p>
      <w:pPr>
        <w:pStyle w:val="references"/>
        <w:ind w:start="17.70pt" w:hanging="17.70pt"/>
      </w:pPr>
      <w:r>
        <w:t>J. R. Firth, "A synopsis of linguistic theory, 1930-1955," Studies in Linguistic Analysis, pp. 1–32, 1957.</w:t>
      </w:r>
    </w:p>
    <w:p>
      <w:pPr>
        <w:pStyle w:val="references"/>
        <w:ind w:start="17.70pt" w:hanging="17.70pt"/>
      </w:pPr>
      <w:r>
        <w:t>G. W. Furnas et al., "The Vocabulary Problem in Human-System Communication," Commun. ACM, vol. 30, no. 11, pp. 964–971, 1987.</w:t>
      </w:r>
    </w:p>
    <w:p>
      <w:pPr>
        <w:pStyle w:val="references"/>
        <w:ind w:start="17.70pt" w:hanging="17.70pt"/>
      </w:pPr>
      <w:r>
        <w:t>M. Montague and J. A. Aslam, "Relevance score normalization for metasearch," in Proc. Tenth Int. Conf. Inf. Knowl. Manag. (CIKM), 2001, pp. 427–433.</w:t>
      </w:r>
    </w:p>
    <w:p>
      <w:pPr>
        <w:pStyle w:val="references"/>
        <w:ind w:start="17.70pt" w:hanging="17.70pt"/>
      </w:pPr>
      <w:r>
        <w:t>Z. Liu et al., "Retrieval-Augmented Generation for AI-Generated Content: A Survey," arXiv preprint arXiv:2402.14964, 2024.</w:t>
      </w:r>
    </w:p>
    <w:p>
      <w:pPr>
        <w:pStyle w:val="references"/>
        <w:ind w:start="17.70pt" w:hanging="17.70pt"/>
      </w:pPr>
      <w:r>
        <w:t>L. Gao et al., "Retrieval-Augmented Generation for Large Language Models: A Survey," arXiv preprint arXiv:2312.10997, 2024.</w:t>
      </w:r>
    </w:p>
    <w:p>
      <w:pPr>
        <w:pStyle w:val="references"/>
        <w:ind w:start="17.70pt" w:hanging="17.70pt"/>
      </w:pPr>
      <w:r>
        <w:t>J. Hermosillo-Valadez et al., "Exploiting Hierarchical Dependence Structures for Unsupervised Rank Fusion in Information Retrieval," arXiv preprint arXiv:2208.05574, 2022.</w:t>
      </w:r>
    </w:p>
    <w:p>
      <w:pPr>
        <w:pStyle w:val="references"/>
        <w:ind w:start="17.70pt" w:hanging="17.70pt"/>
      </w:pPr>
      <w:r>
        <w:t>M. Sanati, "Information Theory of Sparse Distributed Representations in Hierarchical Temporal Memory," arXiv preprint arXiv:2307.09463, 2023.</w:t>
      </w:r>
    </w:p>
    <w:p>
      <w:pPr>
        <w:pStyle w:val="references"/>
        <w:ind w:start="17.70pt" w:hanging="17.70pt"/>
      </w:pPr>
      <w:r>
        <w:t>M. Sanati, "Foundations of Sparse Distributed Representations," arXiv preprint, 2023.</w:t>
      </w:r>
    </w:p>
    <w:p>
      <w:pPr>
        <w:pStyle w:val="references"/>
        <w:ind w:start="17.70pt" w:hanging="17.70pt"/>
      </w:pPr>
      <w:r>
        <w:t>L. McInnes, J. Healy, and J. Melville, "UMAP: Uniform Manifold Approximation and Projection for Dimension Reduction," arXiv preprint arXiv:1802.03426, 2018.</w:t>
      </w:r>
    </w:p>
    <w:p>
      <w:pPr>
        <w:pStyle w:val="references"/>
        <w:ind w:start="17.70pt" w:hanging="17.70pt"/>
      </w:pPr>
      <w:r>
        <w:t>G. M. Morton, "A computer Oriented Geodetic Data Base; and a New Technique in File Sequencing," IBM, Tech. Rep., 1966.</w:t>
      </w:r>
    </w:p>
    <w:p>
      <w:pPr>
        <w:pStyle w:val="references"/>
        <w:ind w:start="17.70pt" w:hanging="17.70pt"/>
      </w:pPr>
      <w:r>
        <w:t>A. Farea and F. Emmert-Streib, "Understanding question-answering systems," Eng. Appl. Artif. Intell. (EAAI), 2025.</w:t>
      </w:r>
    </w:p>
    <w:p>
      <w:pPr>
        <w:pStyle w:val="references"/>
        <w:ind w:start="17.70pt" w:hanging="17.70pt"/>
      </w:pPr>
      <w:r>
        <w:t>J. Zhang et al., "A Survey for Efficient Open Domain QA," in Proc. 61st ACL, 2023.</w:t>
      </w:r>
    </w:p>
    <w:p>
      <w:pPr>
        <w:pStyle w:val="references"/>
        <w:ind w:start="17.70pt" w:hanging="17.70pt"/>
      </w:pPr>
      <w:r>
        <w:t>R. Omar et al., "A Universal Question-Answering Platform for Knowledge Graphs," in Proc. 1st Int. Conf. Data Eng. Manag. (PACMMOD), 2023.</w:t>
      </w:r>
    </w:p>
    <w:p>
      <w:pPr>
        <w:pStyle w:val="references"/>
        <w:ind w:start="17.70pt" w:hanging="17.70pt"/>
      </w:pPr>
      <w:r>
        <w:t>Q. Jin et al., "MedCPT: Contrastive Pre-trained Transformers with large-scale PubMed search logs," Bioinformatics, 2023.</w:t>
      </w:r>
    </w:p>
    <w:p>
      <w:pPr>
        <w:pStyle w:val="references"/>
        <w:ind w:start="17.70pt" w:hanging="17.70pt"/>
      </w:pPr>
      <w:r>
        <w:t>Q. Jin, B. Dhingra, Z. Liu, W. W. Cohen, and X. Lu, "What Does Machine Reading Comprehension Look Like in the Biomedical Domain?" in Proc. BioNLP Workshop, 2022.</w:t>
      </w:r>
    </w:p>
    <w:p>
      <w:pPr>
        <w:pStyle w:val="references"/>
        <w:ind w:start="17.70pt" w:hanging="17.70pt"/>
      </w:pPr>
      <w:r>
        <w:t>D. Wadden et al., "Fact or Fiction: Verifying Scientific Claims," in Proc. EMNLP, 2020.</w:t>
      </w:r>
    </w:p>
    <w:p>
      <w:pPr>
        <w:pStyle w:val="references"/>
        <w:ind w:start="17.70pt" w:hanging="17.70pt"/>
      </w:pPr>
      <w:r>
        <w:t>T. Kwiatkowski et al., "Natural Questions: a Benchmark for Question Answering Research," Trans. Assoc. Comput. Linguist. (TACL), 2019.</w:t>
      </w:r>
    </w:p>
    <w:p>
      <w:pPr>
        <w:pStyle w:val="references"/>
        <w:ind w:start="17.70pt" w:hanging="17.70pt"/>
      </w:pPr>
      <w:r>
        <w:t>A. Mallen et al., "When Not to Trust Language Models: Investigating Effectiveness of Parametric and Non-Parametric Memories," in Proc. 61st ACL, 2023.</w:t>
      </w:r>
    </w:p>
    <w:p>
      <w:pPr>
        <w:pStyle w:val="references"/>
        <w:ind w:start="17.70pt" w:hanging="17.70pt"/>
      </w:pPr>
      <w:r>
        <w:t>A. Bandarkar et al., "The Belebele Benchmark: a Parallel Reading Comprehension Dataset in 122 Language Variants," arXiv preprint arXiv:2308.16884, 2023.</w:t>
      </w:r>
    </w:p>
    <w:p>
      <w:pPr>
        <w:pStyle w:val="references"/>
        <w:ind w:start="17.70pt" w:hanging="17.70pt"/>
      </w:pPr>
      <w:r>
        <w:t>Q. Jin, B. Dhingra, Z. Liu, W. W. Cohen, and X. Lu, "PubMedQA: A Dataset for Biomedical Research Question Answering," in Proc. EMNLP, 2019.</w:t>
      </w:r>
    </w:p>
    <w:p>
      <w:pPr>
        <w:pStyle w:val="references"/>
        <w:ind w:start="17.70pt" w:hanging="17.70pt"/>
      </w:pPr>
      <w:r>
        <w:t>X. Ho et al., "Constructing A Multi-Hop QA Dataset for Comprehensive Evaluation of Reasoning Steps," in Proc. 29th Int. Conf. Comput. Linguist. (COLING), 2020.</w:t>
      </w:r>
    </w:p>
    <w:p>
      <w:pPr>
        <w:pStyle w:val="references"/>
        <w:ind w:start="17.70pt" w:hanging="17.70pt"/>
      </w:pPr>
      <w:r>
        <w:t>Z. Yang et al., "HotpotQA: A Dataset for Diverse, Explainable Multi-hop Question Answering," in Proc. EMNLP, 2018.</w:t>
      </w:r>
    </w:p>
    <w:p>
      <w:pPr>
        <w:pStyle w:val="references"/>
        <w:ind w:start="17.70pt" w:hanging="17.70pt"/>
      </w:pPr>
      <w:r>
        <w:t>H. Trivedi et al., "MuSiQue: Multihop Questions via Single-hop Question Composition," Trans. Assoc. Comput. Linguist. (TACL), 2022.</w:t>
      </w:r>
    </w:p>
    <w:p>
      <w:pPr>
        <w:pStyle w:val="references"/>
        <w:ind w:start="17.70pt" w:hanging="17.70pt"/>
      </w:pPr>
      <w:r>
        <w:t>N. Thakur et al., "BEIR: A Heterogeneous Benchmark for Zero-shot Evaluation of Information Retrieval Models," arXiv preprint arXiv:2104.08663, 2021.</w:t>
      </w:r>
    </w:p>
    <w:p>
      <w:pPr>
        <w:pStyle w:val="references"/>
        <w:ind w:start="17.70pt" w:hanging="17.70pt"/>
      </w:pPr>
      <w:r>
        <w:t>E. Kamalloo et al., "Resources for Brewing BEIR," in Proc. 47th Int. ACM SIGIR Conf., 2024.</w:t>
      </w:r>
    </w:p>
    <w:p>
      <w:pPr>
        <w:pStyle w:val="references"/>
        <w:ind w:start="17.70pt" w:hanging="17.70pt"/>
      </w:pPr>
      <w:r>
        <w:t>N. Wischounig et al., "Negative Sampling Techniques in Information Retrieval: A Survey," in Proc. 18th Conf. Eur. Chapter Assoc. Comput. Linguist. (EACL) Findings, 2026.</w:t>
      </w:r>
    </w:p>
    <w:p>
      <w:pPr>
        <w:sectPr>
          <w:pgSz w:w="595.30pt" w:h="841.90pt" w:code="9"/>
          <w:pgMar w:top="54pt" w:right="45.35pt" w:bottom="72pt" w:left="45.35pt" w:header="36pt" w:footer="36pt" w:gutter="0pt"/>
          <w:cols w:num="2" w:space="18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