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D6E3" w14:textId="77777777" w:rsidR="00561027" w:rsidRDefault="00561027" w:rsidP="002972AF">
      <w:pPr>
        <w:jc w:val="both"/>
        <w:rPr>
          <w:b/>
          <w:bCs/>
          <w:sz w:val="32"/>
          <w:szCs w:val="32"/>
        </w:rPr>
      </w:pPr>
    </w:p>
    <w:p w14:paraId="0F137B4C" w14:textId="77777777" w:rsidR="00BF7815" w:rsidRDefault="00BF7815" w:rsidP="00561027">
      <w:pPr>
        <w:pStyle w:val="Title"/>
        <w:spacing w:line="278" w:lineRule="auto"/>
        <w:jc w:val="center"/>
        <w:rPr>
          <w:rFonts w:ascii="Trebuchet MS" w:hAnsi="Trebuchet MS"/>
          <w:b/>
          <w:bCs/>
          <w:w w:val="120"/>
          <w:sz w:val="40"/>
          <w:szCs w:val="40"/>
        </w:rPr>
      </w:pPr>
    </w:p>
    <w:p w14:paraId="03D945B8" w14:textId="77777777" w:rsidR="00BF7815" w:rsidRDefault="00BF7815" w:rsidP="00561027">
      <w:pPr>
        <w:pStyle w:val="Title"/>
        <w:spacing w:line="278" w:lineRule="auto"/>
        <w:jc w:val="center"/>
        <w:rPr>
          <w:rFonts w:ascii="Trebuchet MS" w:hAnsi="Trebuchet MS"/>
          <w:b/>
          <w:bCs/>
          <w:w w:val="120"/>
          <w:sz w:val="40"/>
          <w:szCs w:val="40"/>
        </w:rPr>
      </w:pPr>
    </w:p>
    <w:p w14:paraId="50FF1A26" w14:textId="77777777" w:rsidR="001858C6" w:rsidRDefault="001858C6" w:rsidP="001858C6"/>
    <w:p w14:paraId="05E795C8" w14:textId="77777777" w:rsidR="001858C6" w:rsidRDefault="001858C6" w:rsidP="001858C6"/>
    <w:p w14:paraId="15AD4600" w14:textId="77777777" w:rsidR="001858C6" w:rsidRDefault="001858C6" w:rsidP="001858C6"/>
    <w:p w14:paraId="7FAB9899" w14:textId="77777777" w:rsidR="001858C6" w:rsidRDefault="001858C6" w:rsidP="001858C6"/>
    <w:p w14:paraId="1FDFD2A3" w14:textId="77777777" w:rsidR="001858C6" w:rsidRDefault="001858C6" w:rsidP="001858C6"/>
    <w:p w14:paraId="6D85D5D5" w14:textId="77777777" w:rsidR="001858C6" w:rsidRDefault="001858C6" w:rsidP="001858C6"/>
    <w:p w14:paraId="5A169F9F" w14:textId="77777777" w:rsidR="001858C6" w:rsidRDefault="001858C6" w:rsidP="001858C6"/>
    <w:p w14:paraId="78957DC3" w14:textId="77777777" w:rsidR="001858C6" w:rsidRPr="001858C6" w:rsidRDefault="001858C6" w:rsidP="001858C6"/>
    <w:p w14:paraId="53013FCD" w14:textId="41E53F9E" w:rsidR="00561027" w:rsidRPr="00561027" w:rsidRDefault="00E4098E" w:rsidP="00561027">
      <w:pPr>
        <w:pStyle w:val="Title"/>
        <w:spacing w:line="278" w:lineRule="auto"/>
        <w:jc w:val="center"/>
        <w:rPr>
          <w:rFonts w:ascii="Trebuchet MS" w:hAnsi="Trebuchet MS"/>
          <w:b/>
          <w:bCs/>
          <w:sz w:val="40"/>
          <w:szCs w:val="40"/>
        </w:rPr>
      </w:pPr>
      <w:r>
        <w:rPr>
          <w:rFonts w:ascii="Trebuchet MS" w:hAnsi="Trebuchet MS"/>
          <w:b/>
          <w:bCs/>
          <w:w w:val="120"/>
          <w:sz w:val="40"/>
          <w:szCs w:val="40"/>
        </w:rPr>
        <w:t>An analysis of 2 methods o</w:t>
      </w:r>
      <w:r w:rsidR="00542694">
        <w:rPr>
          <w:rFonts w:ascii="Trebuchet MS" w:hAnsi="Trebuchet MS"/>
          <w:b/>
          <w:bCs/>
          <w:w w:val="120"/>
          <w:sz w:val="40"/>
          <w:szCs w:val="40"/>
        </w:rPr>
        <w:t>f</w:t>
      </w:r>
      <w:r>
        <w:rPr>
          <w:rFonts w:ascii="Trebuchet MS" w:hAnsi="Trebuchet MS"/>
          <w:b/>
          <w:bCs/>
          <w:w w:val="120"/>
          <w:sz w:val="40"/>
          <w:szCs w:val="40"/>
        </w:rPr>
        <w:t xml:space="preserve"> stock market valuation and Report on the Valuation of S&amp;P 500 and FTSE 100</w:t>
      </w:r>
    </w:p>
    <w:p w14:paraId="74CA1B97" w14:textId="77777777" w:rsidR="00561027" w:rsidRDefault="00561027" w:rsidP="00561027">
      <w:pPr>
        <w:pStyle w:val="BodyText"/>
        <w:spacing w:line="278" w:lineRule="auto"/>
        <w:ind w:left="3814" w:right="2314" w:hanging="590"/>
        <w:jc w:val="center"/>
      </w:pPr>
    </w:p>
    <w:p w14:paraId="4F5F375E" w14:textId="77777777" w:rsidR="00561027" w:rsidRDefault="00561027" w:rsidP="00561027">
      <w:pPr>
        <w:pStyle w:val="BodyText"/>
        <w:spacing w:line="278" w:lineRule="auto"/>
        <w:ind w:left="3814" w:right="2314" w:hanging="590"/>
      </w:pPr>
    </w:p>
    <w:p w14:paraId="19DB5D32" w14:textId="77777777" w:rsidR="00561027" w:rsidRDefault="00561027" w:rsidP="00561027">
      <w:pPr>
        <w:pStyle w:val="BodyText"/>
        <w:spacing w:line="278" w:lineRule="auto"/>
        <w:ind w:left="3814" w:right="2314" w:hanging="590"/>
      </w:pPr>
    </w:p>
    <w:p w14:paraId="187A6B27" w14:textId="77777777" w:rsidR="00561027" w:rsidRDefault="00561027" w:rsidP="00561027">
      <w:pPr>
        <w:pStyle w:val="BodyText"/>
        <w:spacing w:line="278" w:lineRule="auto"/>
        <w:ind w:left="3814" w:right="2314" w:hanging="590"/>
      </w:pPr>
    </w:p>
    <w:p w14:paraId="21AF15F3" w14:textId="77777777" w:rsidR="00561027" w:rsidRDefault="00561027" w:rsidP="00561027">
      <w:pPr>
        <w:pStyle w:val="BodyText"/>
        <w:spacing w:line="278" w:lineRule="auto"/>
        <w:ind w:left="3814" w:right="2314" w:hanging="590"/>
      </w:pPr>
    </w:p>
    <w:p w14:paraId="282D8DEE" w14:textId="77777777" w:rsidR="00561027" w:rsidRDefault="00561027" w:rsidP="00561027">
      <w:pPr>
        <w:pStyle w:val="BodyText"/>
        <w:spacing w:line="278" w:lineRule="auto"/>
        <w:ind w:left="3814" w:right="2314" w:hanging="590"/>
      </w:pPr>
    </w:p>
    <w:p w14:paraId="375826C4" w14:textId="77777777" w:rsidR="00E4098E" w:rsidRDefault="00E4098E" w:rsidP="00561027">
      <w:pPr>
        <w:pStyle w:val="BodyText"/>
        <w:spacing w:line="278" w:lineRule="auto"/>
        <w:ind w:left="3814" w:right="2314" w:hanging="590"/>
      </w:pPr>
    </w:p>
    <w:p w14:paraId="1D78A131" w14:textId="77777777" w:rsidR="00E4098E" w:rsidRDefault="00E4098E" w:rsidP="00561027">
      <w:pPr>
        <w:pStyle w:val="BodyText"/>
        <w:spacing w:line="278" w:lineRule="auto"/>
        <w:ind w:left="3814" w:right="2314" w:hanging="590"/>
      </w:pPr>
    </w:p>
    <w:p w14:paraId="3E8906F6" w14:textId="77777777" w:rsidR="00E4098E" w:rsidRDefault="00E4098E" w:rsidP="00561027">
      <w:pPr>
        <w:pStyle w:val="BodyText"/>
        <w:spacing w:line="278" w:lineRule="auto"/>
        <w:ind w:left="3814" w:right="2314" w:hanging="590"/>
      </w:pPr>
    </w:p>
    <w:p w14:paraId="1C06E045" w14:textId="77777777" w:rsidR="00E4098E" w:rsidRDefault="00E4098E" w:rsidP="00561027">
      <w:pPr>
        <w:pStyle w:val="BodyText"/>
        <w:spacing w:line="278" w:lineRule="auto"/>
        <w:ind w:left="3814" w:right="2314" w:hanging="590"/>
      </w:pPr>
    </w:p>
    <w:p w14:paraId="7AE7B7AD" w14:textId="77777777" w:rsidR="00E4098E" w:rsidRDefault="00E4098E" w:rsidP="00561027">
      <w:pPr>
        <w:pStyle w:val="BodyText"/>
        <w:spacing w:line="278" w:lineRule="auto"/>
        <w:ind w:left="3814" w:right="2314" w:hanging="590"/>
      </w:pPr>
    </w:p>
    <w:p w14:paraId="56CCF61C" w14:textId="77777777" w:rsidR="00E4098E" w:rsidRDefault="00E4098E" w:rsidP="00561027">
      <w:pPr>
        <w:pStyle w:val="BodyText"/>
        <w:spacing w:line="278" w:lineRule="auto"/>
        <w:ind w:left="3814" w:right="2314" w:hanging="590"/>
      </w:pPr>
    </w:p>
    <w:p w14:paraId="49FD88FA" w14:textId="37A96F07" w:rsidR="00561027" w:rsidRDefault="00561027" w:rsidP="00561027">
      <w:pPr>
        <w:pStyle w:val="BodyText"/>
        <w:spacing w:line="278" w:lineRule="auto"/>
        <w:ind w:left="3814" w:right="2314" w:hanging="590"/>
      </w:pPr>
      <w:r>
        <w:t>Name:</w:t>
      </w:r>
      <w:r>
        <w:rPr>
          <w:spacing w:val="-11"/>
        </w:rPr>
        <w:t xml:space="preserve"> </w:t>
      </w:r>
      <w:r>
        <w:t>Sambit</w:t>
      </w:r>
      <w:r>
        <w:rPr>
          <w:spacing w:val="-11"/>
        </w:rPr>
        <w:t xml:space="preserve"> </w:t>
      </w:r>
      <w:r>
        <w:t>Kumar</w:t>
      </w:r>
      <w:r>
        <w:rPr>
          <w:spacing w:val="-12"/>
        </w:rPr>
        <w:t xml:space="preserve"> </w:t>
      </w:r>
      <w:r>
        <w:t>Samanta Student Id: ss4083</w:t>
      </w:r>
    </w:p>
    <w:p w14:paraId="117CF80C" w14:textId="77777777" w:rsidR="00E4098E" w:rsidRDefault="00561027" w:rsidP="00E4098E">
      <w:pPr>
        <w:pStyle w:val="BodyText"/>
        <w:spacing w:line="278" w:lineRule="auto"/>
        <w:ind w:left="2716" w:right="2314" w:firstLine="921"/>
      </w:pPr>
      <w:r>
        <w:t>Person Id: H00508467 Advanced Valuation of Financial Markets</w:t>
      </w:r>
    </w:p>
    <w:p w14:paraId="3379E969" w14:textId="4D328984" w:rsidR="00561027" w:rsidRDefault="00E4098E" w:rsidP="00E4098E">
      <w:pPr>
        <w:pStyle w:val="BodyText"/>
        <w:spacing w:line="278" w:lineRule="auto"/>
        <w:ind w:left="2716" w:right="2314" w:firstLine="921"/>
      </w:pPr>
      <w:r>
        <w:t xml:space="preserve">       </w:t>
      </w:r>
      <w:r w:rsidR="004227F0">
        <w:t xml:space="preserve"> </w:t>
      </w:r>
      <w:r w:rsidR="00561027">
        <w:t>Coursework I</w:t>
      </w:r>
    </w:p>
    <w:p w14:paraId="0A1C01FD" w14:textId="18E47D7C" w:rsidR="001858C6" w:rsidRDefault="001858C6" w:rsidP="00215F34">
      <w:pPr>
        <w:pStyle w:val="BodyText"/>
        <w:spacing w:line="278" w:lineRule="auto"/>
        <w:ind w:left="1996" w:right="2314" w:firstLine="720"/>
        <w:jc w:val="center"/>
      </w:pPr>
      <w:r>
        <w:t>Words: 21</w:t>
      </w:r>
      <w:r w:rsidR="007F44A9">
        <w:t>8</w:t>
      </w:r>
      <w:r w:rsidR="0032494C">
        <w:t>0</w:t>
      </w:r>
    </w:p>
    <w:p w14:paraId="2A617CE3" w14:textId="77777777" w:rsidR="001858C6" w:rsidRPr="00E4098E" w:rsidRDefault="001858C6" w:rsidP="00E4098E">
      <w:pPr>
        <w:pStyle w:val="BodyText"/>
        <w:spacing w:line="278" w:lineRule="auto"/>
        <w:ind w:left="2716" w:right="2314" w:firstLine="921"/>
      </w:pPr>
    </w:p>
    <w:p w14:paraId="057B07D2" w14:textId="77777777" w:rsidR="00BF7815" w:rsidRDefault="00BF7815" w:rsidP="00BF7815">
      <w:pPr>
        <w:pStyle w:val="BodyText"/>
        <w:spacing w:line="278" w:lineRule="auto"/>
        <w:ind w:right="2314"/>
        <w:rPr>
          <w:b/>
          <w:bCs/>
          <w:sz w:val="32"/>
          <w:szCs w:val="32"/>
        </w:rPr>
      </w:pPr>
      <w:r>
        <w:rPr>
          <w:b/>
          <w:bCs/>
          <w:sz w:val="32"/>
          <w:szCs w:val="32"/>
        </w:rPr>
        <w:lastRenderedPageBreak/>
        <w:t>Contents</w:t>
      </w:r>
    </w:p>
    <w:p w14:paraId="1E378300" w14:textId="77777777" w:rsidR="00CF1A40" w:rsidRDefault="00CF1A40" w:rsidP="00CF1A40">
      <w:pPr>
        <w:pStyle w:val="BodyText"/>
        <w:spacing w:line="278" w:lineRule="auto"/>
        <w:ind w:right="1229"/>
        <w:rPr>
          <w:b/>
          <w:bCs/>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513"/>
        <w:gridCol w:w="799"/>
      </w:tblGrid>
      <w:tr w:rsidR="00266CE9" w14:paraId="71E8E33C" w14:textId="77777777" w:rsidTr="000E3681">
        <w:tc>
          <w:tcPr>
            <w:tcW w:w="8217" w:type="dxa"/>
            <w:gridSpan w:val="2"/>
          </w:tcPr>
          <w:p w14:paraId="3B2C34FF" w14:textId="5820836C" w:rsidR="00266CE9" w:rsidRPr="00266CE9" w:rsidRDefault="00266CE9" w:rsidP="00BF7815">
            <w:pPr>
              <w:pStyle w:val="BodyText"/>
              <w:spacing w:line="278" w:lineRule="auto"/>
              <w:ind w:right="2314"/>
            </w:pPr>
            <w:r>
              <w:t>Introduction: Price vs Value</w:t>
            </w:r>
          </w:p>
        </w:tc>
        <w:tc>
          <w:tcPr>
            <w:tcW w:w="799" w:type="dxa"/>
          </w:tcPr>
          <w:p w14:paraId="29F9DEE6" w14:textId="1835649B" w:rsidR="00266CE9" w:rsidRPr="00266CE9" w:rsidRDefault="00266CE9" w:rsidP="00266CE9">
            <w:pPr>
              <w:pStyle w:val="BodyText"/>
              <w:spacing w:line="278" w:lineRule="auto"/>
              <w:jc w:val="right"/>
            </w:pPr>
            <w:r>
              <w:t>3</w:t>
            </w:r>
          </w:p>
        </w:tc>
      </w:tr>
      <w:tr w:rsidR="00266CE9" w14:paraId="387C26AA" w14:textId="77777777" w:rsidTr="000E3681">
        <w:tc>
          <w:tcPr>
            <w:tcW w:w="8217" w:type="dxa"/>
            <w:gridSpan w:val="2"/>
          </w:tcPr>
          <w:p w14:paraId="6DAD3AA0" w14:textId="14D497BA" w:rsidR="00266CE9" w:rsidRPr="00266CE9" w:rsidRDefault="00266CE9" w:rsidP="00266CE9">
            <w:pPr>
              <w:pStyle w:val="BodyText"/>
              <w:spacing w:line="278" w:lineRule="auto"/>
              <w:ind w:right="-50"/>
            </w:pPr>
            <w:r w:rsidRPr="00266CE9">
              <w:t>Section 1: Methods of Stock Valuation</w:t>
            </w:r>
          </w:p>
        </w:tc>
        <w:tc>
          <w:tcPr>
            <w:tcW w:w="799" w:type="dxa"/>
          </w:tcPr>
          <w:p w14:paraId="29AEF866" w14:textId="1167FC56" w:rsidR="00266CE9" w:rsidRPr="00266CE9" w:rsidRDefault="00266CE9" w:rsidP="00266CE9">
            <w:pPr>
              <w:pStyle w:val="BodyText"/>
              <w:spacing w:line="278" w:lineRule="auto"/>
              <w:jc w:val="right"/>
            </w:pPr>
            <w:r>
              <w:t>3</w:t>
            </w:r>
          </w:p>
        </w:tc>
      </w:tr>
      <w:tr w:rsidR="00266CE9" w14:paraId="697406C9" w14:textId="77777777" w:rsidTr="000E3681">
        <w:tc>
          <w:tcPr>
            <w:tcW w:w="704" w:type="dxa"/>
          </w:tcPr>
          <w:p w14:paraId="0E627228" w14:textId="77777777" w:rsidR="00266CE9" w:rsidRPr="00266CE9" w:rsidRDefault="00266CE9" w:rsidP="00BF7815">
            <w:pPr>
              <w:pStyle w:val="BodyText"/>
              <w:spacing w:line="278" w:lineRule="auto"/>
              <w:ind w:right="2314"/>
            </w:pPr>
          </w:p>
        </w:tc>
        <w:tc>
          <w:tcPr>
            <w:tcW w:w="7513" w:type="dxa"/>
          </w:tcPr>
          <w:p w14:paraId="71C217A9" w14:textId="5A4EF792" w:rsidR="00266CE9" w:rsidRPr="00266CE9" w:rsidRDefault="00266CE9" w:rsidP="00266CE9">
            <w:pPr>
              <w:pStyle w:val="BodyText"/>
              <w:spacing w:line="278" w:lineRule="auto"/>
              <w:ind w:right="-192"/>
            </w:pPr>
            <w:r>
              <w:t>The Superior Ratio: The Q Ratio</w:t>
            </w:r>
          </w:p>
        </w:tc>
        <w:tc>
          <w:tcPr>
            <w:tcW w:w="799" w:type="dxa"/>
          </w:tcPr>
          <w:p w14:paraId="3E1291E6" w14:textId="5D481AC6" w:rsidR="00266CE9" w:rsidRPr="00266CE9" w:rsidRDefault="00266CE9" w:rsidP="00266CE9">
            <w:pPr>
              <w:pStyle w:val="BodyText"/>
              <w:spacing w:line="278" w:lineRule="auto"/>
              <w:jc w:val="right"/>
            </w:pPr>
            <w:r>
              <w:t>3</w:t>
            </w:r>
          </w:p>
        </w:tc>
      </w:tr>
      <w:tr w:rsidR="00266CE9" w14:paraId="40DFDB7C" w14:textId="77777777" w:rsidTr="000E3681">
        <w:tc>
          <w:tcPr>
            <w:tcW w:w="704" w:type="dxa"/>
          </w:tcPr>
          <w:p w14:paraId="23352BE1" w14:textId="77777777" w:rsidR="00266CE9" w:rsidRPr="00266CE9" w:rsidRDefault="00266CE9" w:rsidP="00BF7815">
            <w:pPr>
              <w:pStyle w:val="BodyText"/>
              <w:spacing w:line="278" w:lineRule="auto"/>
              <w:ind w:right="2314"/>
            </w:pPr>
          </w:p>
        </w:tc>
        <w:tc>
          <w:tcPr>
            <w:tcW w:w="7513" w:type="dxa"/>
          </w:tcPr>
          <w:p w14:paraId="49E12EEE" w14:textId="035F9DEF" w:rsidR="00266CE9" w:rsidRPr="00266CE9" w:rsidRDefault="00266CE9" w:rsidP="00266CE9">
            <w:pPr>
              <w:pStyle w:val="BodyText"/>
              <w:spacing w:line="278" w:lineRule="auto"/>
              <w:ind w:right="-192"/>
            </w:pPr>
            <w:r w:rsidRPr="00266CE9">
              <w:t>Why Q is the best measure?</w:t>
            </w:r>
          </w:p>
        </w:tc>
        <w:tc>
          <w:tcPr>
            <w:tcW w:w="799" w:type="dxa"/>
          </w:tcPr>
          <w:p w14:paraId="5ED23248" w14:textId="32380C3A" w:rsidR="00266CE9" w:rsidRPr="00266CE9" w:rsidRDefault="00266CE9" w:rsidP="00266CE9">
            <w:pPr>
              <w:pStyle w:val="BodyText"/>
              <w:spacing w:line="278" w:lineRule="auto"/>
              <w:jc w:val="right"/>
            </w:pPr>
            <w:r>
              <w:t>3</w:t>
            </w:r>
          </w:p>
        </w:tc>
      </w:tr>
      <w:tr w:rsidR="00266CE9" w14:paraId="7364834C" w14:textId="77777777" w:rsidTr="000E3681">
        <w:tc>
          <w:tcPr>
            <w:tcW w:w="704" w:type="dxa"/>
          </w:tcPr>
          <w:p w14:paraId="66F3EA07" w14:textId="77777777" w:rsidR="00266CE9" w:rsidRPr="00266CE9" w:rsidRDefault="00266CE9" w:rsidP="00BF7815">
            <w:pPr>
              <w:pStyle w:val="BodyText"/>
              <w:spacing w:line="278" w:lineRule="auto"/>
              <w:ind w:right="2314"/>
            </w:pPr>
          </w:p>
        </w:tc>
        <w:tc>
          <w:tcPr>
            <w:tcW w:w="7513" w:type="dxa"/>
          </w:tcPr>
          <w:p w14:paraId="36660169" w14:textId="5B69EFB0" w:rsidR="00266CE9" w:rsidRPr="00266CE9" w:rsidRDefault="00266CE9" w:rsidP="00266CE9">
            <w:pPr>
              <w:pStyle w:val="BodyText"/>
              <w:spacing w:line="278" w:lineRule="auto"/>
              <w:ind w:right="-192"/>
            </w:pPr>
            <w:r>
              <w:t>Challenges</w:t>
            </w:r>
          </w:p>
        </w:tc>
        <w:tc>
          <w:tcPr>
            <w:tcW w:w="799" w:type="dxa"/>
          </w:tcPr>
          <w:p w14:paraId="0250DE15" w14:textId="0A1D1BB1" w:rsidR="00266CE9" w:rsidRPr="00266CE9" w:rsidRDefault="00266CE9" w:rsidP="00266CE9">
            <w:pPr>
              <w:pStyle w:val="BodyText"/>
              <w:spacing w:line="278" w:lineRule="auto"/>
              <w:jc w:val="right"/>
            </w:pPr>
            <w:r>
              <w:t>5</w:t>
            </w:r>
          </w:p>
        </w:tc>
      </w:tr>
      <w:tr w:rsidR="00266CE9" w14:paraId="5D4D5399" w14:textId="77777777" w:rsidTr="000E3681">
        <w:tc>
          <w:tcPr>
            <w:tcW w:w="704" w:type="dxa"/>
          </w:tcPr>
          <w:p w14:paraId="720DF93D" w14:textId="77777777" w:rsidR="00266CE9" w:rsidRPr="00266CE9" w:rsidRDefault="00266CE9" w:rsidP="00BF7815">
            <w:pPr>
              <w:pStyle w:val="BodyText"/>
              <w:spacing w:line="278" w:lineRule="auto"/>
              <w:ind w:right="2314"/>
            </w:pPr>
          </w:p>
        </w:tc>
        <w:tc>
          <w:tcPr>
            <w:tcW w:w="7513" w:type="dxa"/>
          </w:tcPr>
          <w:p w14:paraId="1D1F8908" w14:textId="08A18696" w:rsidR="00266CE9" w:rsidRPr="00266CE9" w:rsidRDefault="00266CE9" w:rsidP="00266CE9">
            <w:pPr>
              <w:pStyle w:val="BodyText"/>
              <w:spacing w:line="278" w:lineRule="auto"/>
              <w:ind w:right="-192"/>
            </w:pPr>
            <w:r w:rsidRPr="00266CE9">
              <w:t>The Inferior Ratio: Yield Ratios and Yield Differences</w:t>
            </w:r>
          </w:p>
        </w:tc>
        <w:tc>
          <w:tcPr>
            <w:tcW w:w="799" w:type="dxa"/>
          </w:tcPr>
          <w:p w14:paraId="5DD8B2B9" w14:textId="54EF1ADA" w:rsidR="00266CE9" w:rsidRPr="00266CE9" w:rsidRDefault="00266CE9" w:rsidP="00266CE9">
            <w:pPr>
              <w:pStyle w:val="BodyText"/>
              <w:spacing w:line="278" w:lineRule="auto"/>
              <w:jc w:val="right"/>
            </w:pPr>
            <w:r>
              <w:t>5</w:t>
            </w:r>
          </w:p>
        </w:tc>
      </w:tr>
      <w:tr w:rsidR="00266CE9" w14:paraId="7295F34D" w14:textId="77777777" w:rsidTr="000E3681">
        <w:tc>
          <w:tcPr>
            <w:tcW w:w="704" w:type="dxa"/>
          </w:tcPr>
          <w:p w14:paraId="7A8D001A" w14:textId="77777777" w:rsidR="00266CE9" w:rsidRPr="00266CE9" w:rsidRDefault="00266CE9" w:rsidP="00BF7815">
            <w:pPr>
              <w:pStyle w:val="BodyText"/>
              <w:spacing w:line="278" w:lineRule="auto"/>
              <w:ind w:right="2314"/>
            </w:pPr>
          </w:p>
        </w:tc>
        <w:tc>
          <w:tcPr>
            <w:tcW w:w="7513" w:type="dxa"/>
          </w:tcPr>
          <w:p w14:paraId="0E49D864" w14:textId="73E60D23" w:rsidR="00266CE9" w:rsidRPr="00266CE9" w:rsidRDefault="00266CE9" w:rsidP="00266CE9">
            <w:pPr>
              <w:pStyle w:val="BodyText"/>
              <w:spacing w:line="278" w:lineRule="auto"/>
              <w:ind w:right="-192"/>
            </w:pPr>
            <w:r w:rsidRPr="00266CE9">
              <w:t>Why Yield Ratios and Yield Differences are the worst measure?</w:t>
            </w:r>
          </w:p>
        </w:tc>
        <w:tc>
          <w:tcPr>
            <w:tcW w:w="799" w:type="dxa"/>
          </w:tcPr>
          <w:p w14:paraId="41FF1A04" w14:textId="60E0859C" w:rsidR="00266CE9" w:rsidRPr="00266CE9" w:rsidRDefault="00266CE9" w:rsidP="00266CE9">
            <w:pPr>
              <w:pStyle w:val="BodyText"/>
              <w:spacing w:line="278" w:lineRule="auto"/>
              <w:jc w:val="right"/>
            </w:pPr>
            <w:r>
              <w:t>5</w:t>
            </w:r>
          </w:p>
        </w:tc>
      </w:tr>
      <w:tr w:rsidR="00266CE9" w14:paraId="5B664683" w14:textId="77777777" w:rsidTr="000E3681">
        <w:tc>
          <w:tcPr>
            <w:tcW w:w="704" w:type="dxa"/>
          </w:tcPr>
          <w:p w14:paraId="04B41B7F" w14:textId="77777777" w:rsidR="00266CE9" w:rsidRPr="00266CE9" w:rsidRDefault="00266CE9" w:rsidP="00BF7815">
            <w:pPr>
              <w:pStyle w:val="BodyText"/>
              <w:spacing w:line="278" w:lineRule="auto"/>
              <w:ind w:right="2314"/>
            </w:pPr>
          </w:p>
        </w:tc>
        <w:tc>
          <w:tcPr>
            <w:tcW w:w="7513" w:type="dxa"/>
          </w:tcPr>
          <w:p w14:paraId="0C8F82D3" w14:textId="637931E3" w:rsidR="00F818E0" w:rsidRPr="00266CE9" w:rsidRDefault="00F818E0" w:rsidP="00266CE9">
            <w:pPr>
              <w:pStyle w:val="BodyText"/>
              <w:spacing w:line="278" w:lineRule="auto"/>
              <w:ind w:right="-192"/>
            </w:pPr>
            <w:r>
              <w:t>Evidence</w:t>
            </w:r>
          </w:p>
        </w:tc>
        <w:tc>
          <w:tcPr>
            <w:tcW w:w="799" w:type="dxa"/>
          </w:tcPr>
          <w:p w14:paraId="789A8827" w14:textId="2595BB2C" w:rsidR="00266CE9" w:rsidRDefault="00F818E0" w:rsidP="00266CE9">
            <w:pPr>
              <w:pStyle w:val="BodyText"/>
              <w:spacing w:line="278" w:lineRule="auto"/>
              <w:jc w:val="right"/>
            </w:pPr>
            <w:r>
              <w:t>5</w:t>
            </w:r>
          </w:p>
        </w:tc>
      </w:tr>
      <w:tr w:rsidR="00F818E0" w14:paraId="1AA58B8A" w14:textId="77777777" w:rsidTr="000E3681">
        <w:tc>
          <w:tcPr>
            <w:tcW w:w="8217" w:type="dxa"/>
            <w:gridSpan w:val="2"/>
          </w:tcPr>
          <w:p w14:paraId="64C32BC7" w14:textId="3A1ED733" w:rsidR="00F818E0" w:rsidRDefault="00F818E0" w:rsidP="00266CE9">
            <w:pPr>
              <w:pStyle w:val="BodyText"/>
              <w:spacing w:line="278" w:lineRule="auto"/>
              <w:ind w:right="-192"/>
            </w:pPr>
            <w:r w:rsidRPr="00F818E0">
              <w:t>Section 2: Current Valuation of US and UK Stock Markets</w:t>
            </w:r>
          </w:p>
        </w:tc>
        <w:tc>
          <w:tcPr>
            <w:tcW w:w="799" w:type="dxa"/>
          </w:tcPr>
          <w:p w14:paraId="2E735C38" w14:textId="4698365C" w:rsidR="00F818E0" w:rsidRDefault="00F818E0" w:rsidP="00266CE9">
            <w:pPr>
              <w:pStyle w:val="BodyText"/>
              <w:spacing w:line="278" w:lineRule="auto"/>
              <w:jc w:val="right"/>
            </w:pPr>
            <w:r>
              <w:t>6</w:t>
            </w:r>
          </w:p>
        </w:tc>
      </w:tr>
      <w:tr w:rsidR="00F818E0" w14:paraId="26AB4356" w14:textId="77777777" w:rsidTr="000E3681">
        <w:tc>
          <w:tcPr>
            <w:tcW w:w="704" w:type="dxa"/>
          </w:tcPr>
          <w:p w14:paraId="61B9C7AA" w14:textId="77777777" w:rsidR="00F818E0" w:rsidRPr="00266CE9" w:rsidRDefault="00F818E0" w:rsidP="00BF7815">
            <w:pPr>
              <w:pStyle w:val="BodyText"/>
              <w:spacing w:line="278" w:lineRule="auto"/>
              <w:ind w:right="2314"/>
            </w:pPr>
          </w:p>
        </w:tc>
        <w:tc>
          <w:tcPr>
            <w:tcW w:w="7513" w:type="dxa"/>
          </w:tcPr>
          <w:p w14:paraId="2F2DA32B" w14:textId="69678AAA" w:rsidR="00F818E0" w:rsidRDefault="00F818E0" w:rsidP="00266CE9">
            <w:pPr>
              <w:pStyle w:val="BodyText"/>
              <w:spacing w:line="278" w:lineRule="auto"/>
              <w:ind w:right="-192"/>
            </w:pPr>
            <w:r>
              <w:t>US Stock Market Valuation</w:t>
            </w:r>
          </w:p>
        </w:tc>
        <w:tc>
          <w:tcPr>
            <w:tcW w:w="799" w:type="dxa"/>
          </w:tcPr>
          <w:p w14:paraId="04D97D5E" w14:textId="443F784B" w:rsidR="00F818E0" w:rsidRDefault="00F818E0" w:rsidP="00266CE9">
            <w:pPr>
              <w:pStyle w:val="BodyText"/>
              <w:spacing w:line="278" w:lineRule="auto"/>
              <w:jc w:val="right"/>
            </w:pPr>
            <w:r>
              <w:t>6</w:t>
            </w:r>
          </w:p>
        </w:tc>
      </w:tr>
      <w:tr w:rsidR="00F818E0" w14:paraId="09D20A1D" w14:textId="77777777" w:rsidTr="000E3681">
        <w:tc>
          <w:tcPr>
            <w:tcW w:w="704" w:type="dxa"/>
          </w:tcPr>
          <w:p w14:paraId="7D929E9B" w14:textId="77777777" w:rsidR="00F818E0" w:rsidRPr="00266CE9" w:rsidRDefault="00F818E0" w:rsidP="00BF7815">
            <w:pPr>
              <w:pStyle w:val="BodyText"/>
              <w:spacing w:line="278" w:lineRule="auto"/>
              <w:ind w:right="2314"/>
            </w:pPr>
          </w:p>
        </w:tc>
        <w:tc>
          <w:tcPr>
            <w:tcW w:w="7513" w:type="dxa"/>
          </w:tcPr>
          <w:p w14:paraId="7CDB9B6A" w14:textId="482B87EC" w:rsidR="00F818E0" w:rsidRDefault="00F818E0" w:rsidP="00266CE9">
            <w:pPr>
              <w:pStyle w:val="BodyText"/>
              <w:spacing w:line="278" w:lineRule="auto"/>
              <w:ind w:right="-192"/>
            </w:pPr>
            <w:r w:rsidRPr="00F818E0">
              <w:t>Factors Driving S&amp;P 500 returns</w:t>
            </w:r>
          </w:p>
        </w:tc>
        <w:tc>
          <w:tcPr>
            <w:tcW w:w="799" w:type="dxa"/>
          </w:tcPr>
          <w:p w14:paraId="0FE61C22" w14:textId="490A445F" w:rsidR="00F818E0" w:rsidRDefault="00F818E0" w:rsidP="00266CE9">
            <w:pPr>
              <w:pStyle w:val="BodyText"/>
              <w:spacing w:line="278" w:lineRule="auto"/>
              <w:jc w:val="right"/>
            </w:pPr>
            <w:r>
              <w:t>9</w:t>
            </w:r>
          </w:p>
        </w:tc>
      </w:tr>
      <w:tr w:rsidR="00F818E0" w14:paraId="1B4AB6EC" w14:textId="77777777" w:rsidTr="000E3681">
        <w:tc>
          <w:tcPr>
            <w:tcW w:w="704" w:type="dxa"/>
          </w:tcPr>
          <w:p w14:paraId="37A4593C" w14:textId="77777777" w:rsidR="00F818E0" w:rsidRPr="00266CE9" w:rsidRDefault="00F818E0" w:rsidP="00BF7815">
            <w:pPr>
              <w:pStyle w:val="BodyText"/>
              <w:spacing w:line="278" w:lineRule="auto"/>
              <w:ind w:right="2314"/>
            </w:pPr>
          </w:p>
        </w:tc>
        <w:tc>
          <w:tcPr>
            <w:tcW w:w="7513" w:type="dxa"/>
          </w:tcPr>
          <w:p w14:paraId="3700133C" w14:textId="46A0D06E" w:rsidR="00F818E0" w:rsidRPr="00B071FA" w:rsidRDefault="00B071FA" w:rsidP="00266CE9">
            <w:pPr>
              <w:pStyle w:val="BodyText"/>
              <w:spacing w:line="278" w:lineRule="auto"/>
              <w:ind w:right="-192"/>
            </w:pPr>
            <w:r w:rsidRPr="00B071FA">
              <w:t>UK Stock Market Valuation</w:t>
            </w:r>
          </w:p>
        </w:tc>
        <w:tc>
          <w:tcPr>
            <w:tcW w:w="799" w:type="dxa"/>
          </w:tcPr>
          <w:p w14:paraId="18EEC6BB" w14:textId="6F426164" w:rsidR="00F818E0" w:rsidRDefault="00B071FA" w:rsidP="00266CE9">
            <w:pPr>
              <w:pStyle w:val="BodyText"/>
              <w:spacing w:line="278" w:lineRule="auto"/>
              <w:jc w:val="right"/>
            </w:pPr>
            <w:r>
              <w:t>10</w:t>
            </w:r>
          </w:p>
        </w:tc>
      </w:tr>
      <w:tr w:rsidR="00F818E0" w14:paraId="2CF45DCD" w14:textId="77777777" w:rsidTr="000E3681">
        <w:tc>
          <w:tcPr>
            <w:tcW w:w="704" w:type="dxa"/>
          </w:tcPr>
          <w:p w14:paraId="3DB9CB36" w14:textId="77777777" w:rsidR="00F818E0" w:rsidRPr="00266CE9" w:rsidRDefault="00F818E0" w:rsidP="00BF7815">
            <w:pPr>
              <w:pStyle w:val="BodyText"/>
              <w:spacing w:line="278" w:lineRule="auto"/>
              <w:ind w:right="2314"/>
            </w:pPr>
          </w:p>
        </w:tc>
        <w:tc>
          <w:tcPr>
            <w:tcW w:w="7513" w:type="dxa"/>
          </w:tcPr>
          <w:p w14:paraId="1BB5B328" w14:textId="05ABB1C2" w:rsidR="00F818E0" w:rsidRPr="00B071FA" w:rsidRDefault="00B071FA" w:rsidP="00266CE9">
            <w:pPr>
              <w:pStyle w:val="BodyText"/>
              <w:spacing w:line="278" w:lineRule="auto"/>
              <w:ind w:right="-192"/>
            </w:pPr>
            <w:r w:rsidRPr="00B071FA">
              <w:t>Factors Driving FTSE 100 returns</w:t>
            </w:r>
          </w:p>
        </w:tc>
        <w:tc>
          <w:tcPr>
            <w:tcW w:w="799" w:type="dxa"/>
          </w:tcPr>
          <w:p w14:paraId="24A6C586" w14:textId="548C2977" w:rsidR="00F818E0" w:rsidRDefault="00B071FA" w:rsidP="00266CE9">
            <w:pPr>
              <w:pStyle w:val="BodyText"/>
              <w:spacing w:line="278" w:lineRule="auto"/>
              <w:jc w:val="right"/>
            </w:pPr>
            <w:r>
              <w:t>12</w:t>
            </w:r>
          </w:p>
        </w:tc>
      </w:tr>
      <w:tr w:rsidR="00F818E0" w14:paraId="604B369E" w14:textId="77777777" w:rsidTr="000E3681">
        <w:tc>
          <w:tcPr>
            <w:tcW w:w="704" w:type="dxa"/>
          </w:tcPr>
          <w:p w14:paraId="6571FE90" w14:textId="77777777" w:rsidR="00F818E0" w:rsidRPr="00266CE9" w:rsidRDefault="00F818E0" w:rsidP="00BF7815">
            <w:pPr>
              <w:pStyle w:val="BodyText"/>
              <w:spacing w:line="278" w:lineRule="auto"/>
              <w:ind w:right="2314"/>
            </w:pPr>
          </w:p>
        </w:tc>
        <w:tc>
          <w:tcPr>
            <w:tcW w:w="7513" w:type="dxa"/>
          </w:tcPr>
          <w:p w14:paraId="613FD0D9" w14:textId="143660D3" w:rsidR="00F818E0" w:rsidRPr="00F818E0" w:rsidRDefault="00B071FA" w:rsidP="00266CE9">
            <w:pPr>
              <w:pStyle w:val="BodyText"/>
              <w:spacing w:line="278" w:lineRule="auto"/>
              <w:ind w:right="-192"/>
            </w:pPr>
            <w:r w:rsidRPr="00B071FA">
              <w:t>Investment Outlook and Risks</w:t>
            </w:r>
          </w:p>
        </w:tc>
        <w:tc>
          <w:tcPr>
            <w:tcW w:w="799" w:type="dxa"/>
          </w:tcPr>
          <w:p w14:paraId="683BFC4E" w14:textId="6042EA06" w:rsidR="00F818E0" w:rsidRDefault="00B071FA" w:rsidP="00266CE9">
            <w:pPr>
              <w:pStyle w:val="BodyText"/>
              <w:spacing w:line="278" w:lineRule="auto"/>
              <w:jc w:val="right"/>
            </w:pPr>
            <w:r>
              <w:t>13</w:t>
            </w:r>
          </w:p>
        </w:tc>
      </w:tr>
      <w:tr w:rsidR="00B071FA" w14:paraId="69B6D0BC" w14:textId="77777777" w:rsidTr="000E3681">
        <w:tc>
          <w:tcPr>
            <w:tcW w:w="8217" w:type="dxa"/>
            <w:gridSpan w:val="2"/>
          </w:tcPr>
          <w:p w14:paraId="4B6539CE" w14:textId="404BD34E" w:rsidR="00B071FA" w:rsidRPr="00B071FA" w:rsidRDefault="00B071FA" w:rsidP="00266CE9">
            <w:pPr>
              <w:pStyle w:val="BodyText"/>
              <w:spacing w:line="278" w:lineRule="auto"/>
              <w:ind w:right="-192"/>
            </w:pPr>
            <w:r>
              <w:t>Conclusion</w:t>
            </w:r>
          </w:p>
        </w:tc>
        <w:tc>
          <w:tcPr>
            <w:tcW w:w="799" w:type="dxa"/>
          </w:tcPr>
          <w:p w14:paraId="05675F11" w14:textId="78B874D0" w:rsidR="00B071FA" w:rsidRDefault="00B071FA" w:rsidP="00266CE9">
            <w:pPr>
              <w:pStyle w:val="BodyText"/>
              <w:spacing w:line="278" w:lineRule="auto"/>
              <w:jc w:val="right"/>
            </w:pPr>
            <w:r>
              <w:t>14</w:t>
            </w:r>
          </w:p>
        </w:tc>
      </w:tr>
      <w:tr w:rsidR="00B071FA" w14:paraId="1F95996D" w14:textId="77777777" w:rsidTr="000E3681">
        <w:tc>
          <w:tcPr>
            <w:tcW w:w="8217" w:type="dxa"/>
            <w:gridSpan w:val="2"/>
          </w:tcPr>
          <w:p w14:paraId="0EA3A36A" w14:textId="642501B8" w:rsidR="00B071FA" w:rsidRDefault="00B071FA" w:rsidP="00266CE9">
            <w:pPr>
              <w:pStyle w:val="BodyText"/>
              <w:spacing w:line="278" w:lineRule="auto"/>
              <w:ind w:right="-192"/>
            </w:pPr>
            <w:r>
              <w:t>References</w:t>
            </w:r>
          </w:p>
        </w:tc>
        <w:tc>
          <w:tcPr>
            <w:tcW w:w="799" w:type="dxa"/>
          </w:tcPr>
          <w:p w14:paraId="36C0DAC5" w14:textId="2EFE9E54" w:rsidR="00B071FA" w:rsidRDefault="00B071FA" w:rsidP="00266CE9">
            <w:pPr>
              <w:pStyle w:val="BodyText"/>
              <w:spacing w:line="278" w:lineRule="auto"/>
              <w:jc w:val="right"/>
            </w:pPr>
            <w:r>
              <w:t>15</w:t>
            </w:r>
          </w:p>
        </w:tc>
      </w:tr>
    </w:tbl>
    <w:p w14:paraId="0F254D0D" w14:textId="5A9E499E" w:rsidR="00561027" w:rsidRDefault="00561027" w:rsidP="00BF7815">
      <w:pPr>
        <w:pStyle w:val="BodyText"/>
        <w:spacing w:line="278" w:lineRule="auto"/>
        <w:ind w:right="2314"/>
        <w:rPr>
          <w:b/>
          <w:bCs/>
          <w:sz w:val="32"/>
          <w:szCs w:val="32"/>
        </w:rPr>
      </w:pPr>
      <w:r>
        <w:rPr>
          <w:b/>
          <w:bCs/>
          <w:sz w:val="32"/>
          <w:szCs w:val="32"/>
        </w:rPr>
        <w:br w:type="page"/>
      </w:r>
    </w:p>
    <w:p w14:paraId="7CD55966" w14:textId="6AF68A52" w:rsidR="003E58DE" w:rsidRDefault="00AA231D" w:rsidP="002972AF">
      <w:pPr>
        <w:jc w:val="both"/>
        <w:rPr>
          <w:b/>
          <w:bCs/>
          <w:sz w:val="32"/>
          <w:szCs w:val="32"/>
        </w:rPr>
      </w:pPr>
      <w:r>
        <w:rPr>
          <w:b/>
          <w:bCs/>
          <w:sz w:val="32"/>
          <w:szCs w:val="32"/>
        </w:rPr>
        <w:lastRenderedPageBreak/>
        <w:t xml:space="preserve">Introduction: </w:t>
      </w:r>
      <w:r w:rsidR="003E58DE">
        <w:rPr>
          <w:b/>
          <w:bCs/>
          <w:sz w:val="32"/>
          <w:szCs w:val="32"/>
        </w:rPr>
        <w:t>Price vs Value</w:t>
      </w:r>
    </w:p>
    <w:p w14:paraId="2105D37D" w14:textId="0704A5D9" w:rsidR="003E58DE" w:rsidRDefault="00D54233" w:rsidP="002972AF">
      <w:pPr>
        <w:jc w:val="both"/>
      </w:pPr>
      <w:r>
        <w:t xml:space="preserve">Financial markets </w:t>
      </w:r>
      <w:r w:rsidR="00DF5587">
        <w:t xml:space="preserve">move </w:t>
      </w:r>
      <w:r>
        <w:t xml:space="preserve">constantly </w:t>
      </w:r>
      <w:r w:rsidR="00A94DD0">
        <w:t>with</w:t>
      </w:r>
      <w:r w:rsidR="00881C15">
        <w:t xml:space="preserve"> price </w:t>
      </w:r>
      <w:r w:rsidR="00664D70">
        <w:t>fluctuations</w:t>
      </w:r>
      <w:r w:rsidR="00DF5587">
        <w:t>. Efficient Market Hypothesis suggests that price and value of a business are identical as all known information is immediately absorbed and reflected in the market</w:t>
      </w:r>
      <w:r>
        <w:t xml:space="preserve"> however, </w:t>
      </w:r>
      <w:r w:rsidR="00DF5587">
        <w:t>prices</w:t>
      </w:r>
      <w:r>
        <w:t xml:space="preserve"> </w:t>
      </w:r>
      <w:r w:rsidR="00EF5703">
        <w:t xml:space="preserve">are </w:t>
      </w:r>
      <w:r>
        <w:t>driven by liquidity, market sentiment and short term macro-economic surprises</w:t>
      </w:r>
      <w:r w:rsidR="00EB04EA">
        <w:t xml:space="preserve"> </w:t>
      </w:r>
      <w:r w:rsidR="00EB04EA" w:rsidRPr="00580F15">
        <w:t>(Shiller, 2015)</w:t>
      </w:r>
      <w:r>
        <w:t>. Value on the contrary reflects the economic worth of the business</w:t>
      </w:r>
      <w:r w:rsidR="0050346A">
        <w:t>.</w:t>
      </w:r>
      <w:r w:rsidR="00DF5587">
        <w:t xml:space="preserve"> </w:t>
      </w:r>
      <w:r w:rsidR="00EF5703">
        <w:t>P</w:t>
      </w:r>
      <w:r w:rsidR="0050346A">
        <w:t>rices can deviate from the value of the business however history shows that prices eventually move towards long term average.</w:t>
      </w:r>
    </w:p>
    <w:p w14:paraId="25F8D7D8" w14:textId="53A1A2E8" w:rsidR="009C3056" w:rsidRDefault="00F642E6" w:rsidP="002972AF">
      <w:pPr>
        <w:jc w:val="both"/>
      </w:pPr>
      <w:r>
        <w:t>Th</w:t>
      </w:r>
      <w:r w:rsidR="007E0E75">
        <w:t xml:space="preserve">e </w:t>
      </w:r>
      <w:r>
        <w:t>report examines two ways of valuing stock markets and identifies strengths and weaknesses in valuation methods</w:t>
      </w:r>
      <w:r w:rsidR="00FE7BE2">
        <w:t xml:space="preserve"> and </w:t>
      </w:r>
      <w:r w:rsidR="007E0E75">
        <w:t xml:space="preserve">applies the valuation methods to the US and UK stock markets and evaluates </w:t>
      </w:r>
      <w:r w:rsidR="00174F16">
        <w:t xml:space="preserve">how </w:t>
      </w:r>
      <w:r w:rsidR="00B06FDB">
        <w:t xml:space="preserve">S&amp;P500 and FTSE100 </w:t>
      </w:r>
      <w:r w:rsidR="00174F16">
        <w:t>are value</w:t>
      </w:r>
      <w:r w:rsidR="007E0E75">
        <w:t>d and how a fund manager might position themselves today based on the valuation, risk and long-term performance.</w:t>
      </w:r>
    </w:p>
    <w:p w14:paraId="0B411807" w14:textId="77777777" w:rsidR="009C3056" w:rsidRDefault="009C3056" w:rsidP="002972AF">
      <w:pPr>
        <w:jc w:val="both"/>
      </w:pPr>
    </w:p>
    <w:p w14:paraId="30C5AF60" w14:textId="77777777" w:rsidR="007E0E75" w:rsidRDefault="007E0E75" w:rsidP="002972AF">
      <w:pPr>
        <w:jc w:val="both"/>
        <w:rPr>
          <w:b/>
          <w:bCs/>
          <w:sz w:val="32"/>
          <w:szCs w:val="32"/>
        </w:rPr>
      </w:pPr>
      <w:r w:rsidRPr="007E0E75">
        <w:rPr>
          <w:b/>
          <w:bCs/>
          <w:sz w:val="32"/>
          <w:szCs w:val="32"/>
        </w:rPr>
        <w:t>Section 1: Methods of Stock Valuation</w:t>
      </w:r>
    </w:p>
    <w:p w14:paraId="4428EDF8" w14:textId="1204489C" w:rsidR="00BA2F72" w:rsidRDefault="00C24CE4" w:rsidP="002972AF">
      <w:pPr>
        <w:jc w:val="both"/>
        <w:rPr>
          <w:b/>
          <w:bCs/>
          <w:sz w:val="32"/>
          <w:szCs w:val="32"/>
        </w:rPr>
      </w:pPr>
      <w:r>
        <w:rPr>
          <w:b/>
          <w:bCs/>
          <w:sz w:val="32"/>
          <w:szCs w:val="32"/>
        </w:rPr>
        <w:t xml:space="preserve">The Superior Ratio: </w:t>
      </w:r>
      <w:r w:rsidR="00BA2F72" w:rsidRPr="00BA2F72">
        <w:rPr>
          <w:b/>
          <w:bCs/>
          <w:sz w:val="32"/>
          <w:szCs w:val="32"/>
        </w:rPr>
        <w:t>The Q Ratio</w:t>
      </w:r>
    </w:p>
    <w:p w14:paraId="0CCC07F3" w14:textId="4C1757E1" w:rsidR="00653929" w:rsidRDefault="00BA2F72" w:rsidP="002972AF">
      <w:pPr>
        <w:jc w:val="both"/>
      </w:pPr>
      <w:r>
        <w:t>The Q ratio is defined as the ratio of the market value of companies to the replacement cost of their assets</w:t>
      </w:r>
      <w:r w:rsidR="00EF2B49">
        <w:t xml:space="preserve"> estimating if</w:t>
      </w:r>
      <w:r w:rsidR="00D426A2">
        <w:t xml:space="preserve"> a </w:t>
      </w:r>
      <w:r w:rsidR="00002465">
        <w:t xml:space="preserve">company is overvalued, undervalued or fairly valued. </w:t>
      </w:r>
      <w:r w:rsidR="00A94DD0">
        <w:t>Equilibrium occurs when market value equals replacement cost</w:t>
      </w:r>
      <w:r w:rsidR="00EB04EA">
        <w:t xml:space="preserve"> (</w:t>
      </w:r>
      <w:r w:rsidR="00EB04EA" w:rsidRPr="00EB04EA">
        <w:t>Tobin, 1969</w:t>
      </w:r>
      <w:r w:rsidR="00EB5E63">
        <w:t xml:space="preserve">; </w:t>
      </w:r>
      <w:r w:rsidR="00EB5E63" w:rsidRPr="00EB5E63">
        <w:t>Tobin and Brainard, 1977</w:t>
      </w:r>
      <w:r w:rsidR="00EB04EA" w:rsidRPr="00EB04EA">
        <w:t>)</w:t>
      </w:r>
      <w:r w:rsidR="00002465">
        <w:t>.</w:t>
      </w:r>
    </w:p>
    <w:p w14:paraId="60AD8435" w14:textId="6B7B1A7C" w:rsidR="00BA2F72" w:rsidRDefault="00653929" w:rsidP="002972AF">
      <w:pPr>
        <w:jc w:val="both"/>
        <w:rPr>
          <w:b/>
          <w:bCs/>
          <w:sz w:val="28"/>
          <w:szCs w:val="28"/>
        </w:rPr>
      </w:pPr>
      <w:r w:rsidRPr="00561C79">
        <w:rPr>
          <w:b/>
          <w:bCs/>
          <w:sz w:val="28"/>
          <w:szCs w:val="28"/>
        </w:rPr>
        <w:t xml:space="preserve">Why Q is the </w:t>
      </w:r>
      <w:r w:rsidR="00561C79" w:rsidRPr="00561C79">
        <w:rPr>
          <w:b/>
          <w:bCs/>
          <w:sz w:val="28"/>
          <w:szCs w:val="28"/>
        </w:rPr>
        <w:t>best measure?</w:t>
      </w:r>
    </w:p>
    <w:p w14:paraId="51983338" w14:textId="7F328952" w:rsidR="00561C79" w:rsidRPr="00290338" w:rsidRDefault="00FB4885" w:rsidP="002972AF">
      <w:pPr>
        <w:pStyle w:val="ListParagraph"/>
        <w:numPr>
          <w:ilvl w:val="0"/>
          <w:numId w:val="3"/>
        </w:numPr>
        <w:jc w:val="both"/>
        <w:rPr>
          <w:b/>
          <w:bCs/>
        </w:rPr>
      </w:pPr>
      <w:r w:rsidRPr="00FB4885">
        <w:rPr>
          <w:b/>
          <w:bCs/>
        </w:rPr>
        <w:t>Stability</w:t>
      </w:r>
      <w:r>
        <w:t xml:space="preserve">- </w:t>
      </w:r>
      <w:r w:rsidR="00A11854">
        <w:t>Corporate Earnings or dividends are highly volatile</w:t>
      </w:r>
      <w:r w:rsidR="002129A2">
        <w:t xml:space="preserve"> and can be distorted by cyclical forces</w:t>
      </w:r>
      <w:r w:rsidR="008E54EE">
        <w:t xml:space="preserve">. Corporate profits fluctuate </w:t>
      </w:r>
      <w:r w:rsidR="00EE3E56">
        <w:t>macroeconomic conditions</w:t>
      </w:r>
      <w:r w:rsidR="00305F77">
        <w:t xml:space="preserve"> b</w:t>
      </w:r>
      <w:r w:rsidR="00A11854">
        <w:t xml:space="preserve">ut </w:t>
      </w:r>
      <w:r w:rsidR="005355A6">
        <w:t>the replace</w:t>
      </w:r>
      <w:r w:rsidR="005F1A2D">
        <w:t>ment</w:t>
      </w:r>
      <w:r w:rsidR="00543FB5">
        <w:t xml:space="preserve"> cost of assets rises slowly and steadily under normal circumstances </w:t>
      </w:r>
      <w:r w:rsidR="000B6CEA">
        <w:t xml:space="preserve">making </w:t>
      </w:r>
      <w:r w:rsidR="00877645">
        <w:t>Q</w:t>
      </w:r>
      <w:r w:rsidR="000B6CEA">
        <w:t xml:space="preserve"> </w:t>
      </w:r>
      <w:r w:rsidR="00877645">
        <w:t>less sensitive to short term fluctuations</w:t>
      </w:r>
      <w:r w:rsidR="00EB5E63">
        <w:t xml:space="preserve"> </w:t>
      </w:r>
      <w:r w:rsidR="00EB5E63" w:rsidRPr="00EB5E63">
        <w:t>(Wright et al., 2004</w:t>
      </w:r>
      <w:r w:rsidR="00EB5E63">
        <w:t xml:space="preserve">; </w:t>
      </w:r>
      <w:r w:rsidR="00EB5E63" w:rsidRPr="00EB5E63">
        <w:t xml:space="preserve">Smithers, </w:t>
      </w:r>
      <w:r w:rsidR="00405E86">
        <w:t>2025</w:t>
      </w:r>
      <w:r w:rsidR="00EB5E63" w:rsidRPr="00EB5E63">
        <w:t>)</w:t>
      </w:r>
      <w:r w:rsidR="000B6CEA">
        <w:t>.</w:t>
      </w:r>
      <w:r w:rsidR="00EB5E63">
        <w:t xml:space="preserve"> </w:t>
      </w:r>
    </w:p>
    <w:p w14:paraId="762915F4" w14:textId="5378C3B4" w:rsidR="00290338" w:rsidRPr="000B6CEA" w:rsidRDefault="00290338" w:rsidP="002972AF">
      <w:pPr>
        <w:pStyle w:val="ListParagraph"/>
        <w:numPr>
          <w:ilvl w:val="0"/>
          <w:numId w:val="3"/>
        </w:numPr>
        <w:jc w:val="both"/>
        <w:rPr>
          <w:b/>
          <w:bCs/>
        </w:rPr>
      </w:pPr>
      <w:r>
        <w:rPr>
          <w:b/>
          <w:bCs/>
        </w:rPr>
        <w:t xml:space="preserve">Mean Reversion- </w:t>
      </w:r>
      <w:r w:rsidR="000A409F">
        <w:t xml:space="preserve">The tendency of Q to revert back to its mean gives it </w:t>
      </w:r>
      <w:r w:rsidR="00585229">
        <w:t xml:space="preserve">the power of prediction. If returns were random walk, then </w:t>
      </w:r>
      <w:r w:rsidR="00AD6070">
        <w:t xml:space="preserve">it would be unpredictable </w:t>
      </w:r>
      <w:r w:rsidR="00395B63">
        <w:t xml:space="preserve">and the risk </w:t>
      </w:r>
      <w:r w:rsidR="00C10810">
        <w:t>of holding stocks would grow indefinitely. Because Q tends to revert to its mean, it is possible</w:t>
      </w:r>
      <w:r w:rsidR="005459F6">
        <w:t xml:space="preserve"> to </w:t>
      </w:r>
      <w:r w:rsidR="00126F3B">
        <w:t>value over long term and determine whether the market is overvalued or undervalued.</w:t>
      </w:r>
    </w:p>
    <w:p w14:paraId="76C5EAE7" w14:textId="0FABD576" w:rsidR="00EE4E46" w:rsidRDefault="000B6CEA" w:rsidP="002972AF">
      <w:pPr>
        <w:pStyle w:val="ListParagraph"/>
        <w:numPr>
          <w:ilvl w:val="0"/>
          <w:numId w:val="3"/>
        </w:numPr>
        <w:jc w:val="both"/>
        <w:rPr>
          <w:b/>
          <w:bCs/>
        </w:rPr>
      </w:pPr>
      <w:r w:rsidRPr="00F45C88">
        <w:rPr>
          <w:b/>
          <w:bCs/>
        </w:rPr>
        <w:t xml:space="preserve">Arbitrage </w:t>
      </w:r>
      <w:r w:rsidRPr="000B6CEA">
        <w:t>-</w:t>
      </w:r>
      <w:r>
        <w:t xml:space="preserve"> </w:t>
      </w:r>
      <w:r w:rsidR="007067AA">
        <w:t xml:space="preserve">market </w:t>
      </w:r>
      <w:r w:rsidR="00D47499">
        <w:t xml:space="preserve">value cannot permanently exceed replacement cost. </w:t>
      </w:r>
      <w:r w:rsidR="003750AE">
        <w:t xml:space="preserve">If Q is </w:t>
      </w:r>
      <w:r w:rsidR="00334ABC">
        <w:t>above 1</w:t>
      </w:r>
      <w:r w:rsidR="003750AE">
        <w:t xml:space="preserve">, buying assets </w:t>
      </w:r>
      <w:r w:rsidR="00C0641C">
        <w:t xml:space="preserve">through the stock market is expensive than building them directly. This triggers new supply through IPO </w:t>
      </w:r>
      <w:r w:rsidR="00030AFF">
        <w:t xml:space="preserve">thus increasing </w:t>
      </w:r>
      <w:r w:rsidR="00334ABC">
        <w:t xml:space="preserve">supply and </w:t>
      </w:r>
      <w:r w:rsidR="005434B4">
        <w:t xml:space="preserve">forcing returns down and prices back towards its </w:t>
      </w:r>
      <w:r w:rsidR="00F45C88">
        <w:t>long-term</w:t>
      </w:r>
      <w:r w:rsidR="005434B4">
        <w:t xml:space="preserve"> mean.</w:t>
      </w:r>
      <w:r w:rsidR="00334ABC">
        <w:t xml:space="preserve"> When the Q is below 1,</w:t>
      </w:r>
      <w:r w:rsidR="00160CBF">
        <w:t xml:space="preserve"> acquiring existing firms becomes cheaper than building new ones encouraging </w:t>
      </w:r>
      <w:r w:rsidR="00982C78">
        <w:t xml:space="preserve">mergers, acquisitions and restructuring. </w:t>
      </w:r>
      <w:r w:rsidR="00C30806">
        <w:t xml:space="preserve">This “build vs buy” mechanism ensures that </w:t>
      </w:r>
      <w:r w:rsidR="00E53117">
        <w:t>extreme deviations in Q are temporary.</w:t>
      </w:r>
      <w:r w:rsidR="00EE4E46" w:rsidRPr="00290338">
        <w:rPr>
          <w:b/>
          <w:bCs/>
        </w:rPr>
        <w:t xml:space="preserve"> </w:t>
      </w:r>
    </w:p>
    <w:p w14:paraId="6CF539DF" w14:textId="77777777" w:rsidR="00EB5E63" w:rsidRDefault="00EB5E63" w:rsidP="002972AF">
      <w:pPr>
        <w:pStyle w:val="ListParagraph"/>
        <w:jc w:val="both"/>
        <w:rPr>
          <w:b/>
          <w:bCs/>
        </w:rPr>
      </w:pPr>
    </w:p>
    <w:p w14:paraId="6AE682D1" w14:textId="62EBEB68" w:rsidR="001C65BB" w:rsidRDefault="004D75AB" w:rsidP="002972AF">
      <w:pPr>
        <w:pStyle w:val="ListParagraph"/>
        <w:jc w:val="both"/>
        <w:rPr>
          <w:b/>
          <w:bCs/>
        </w:rPr>
      </w:pPr>
      <w:r w:rsidRPr="00CC0B69">
        <w:rPr>
          <w:b/>
          <w:bCs/>
          <w:noProof/>
        </w:rPr>
        <w:lastRenderedPageBreak/>
        <w:drawing>
          <wp:anchor distT="0" distB="0" distL="114300" distR="114300" simplePos="0" relativeHeight="251661824" behindDoc="0" locked="0" layoutInCell="1" allowOverlap="1" wp14:anchorId="2E83D78C" wp14:editId="0FF9C70B">
            <wp:simplePos x="0" y="0"/>
            <wp:positionH relativeFrom="column">
              <wp:posOffset>75880</wp:posOffset>
            </wp:positionH>
            <wp:positionV relativeFrom="paragraph">
              <wp:posOffset>3963526</wp:posOffset>
            </wp:positionV>
            <wp:extent cx="5761990" cy="3200400"/>
            <wp:effectExtent l="0" t="0" r="0" b="0"/>
            <wp:wrapSquare wrapText="bothSides"/>
            <wp:docPr id="6628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3026" name=""/>
                    <pic:cNvPicPr/>
                  </pic:nvPicPr>
                  <pic:blipFill>
                    <a:blip r:embed="rId8">
                      <a:extLst>
                        <a:ext uri="{28A0092B-C50C-407E-A947-70E740481C1C}">
                          <a14:useLocalDpi xmlns:a14="http://schemas.microsoft.com/office/drawing/2010/main" val="0"/>
                        </a:ext>
                      </a:extLst>
                    </a:blip>
                    <a:stretch>
                      <a:fillRect/>
                    </a:stretch>
                  </pic:blipFill>
                  <pic:spPr>
                    <a:xfrm>
                      <a:off x="0" y="0"/>
                      <a:ext cx="5761990" cy="3200400"/>
                    </a:xfrm>
                    <a:prstGeom prst="rect">
                      <a:avLst/>
                    </a:prstGeom>
                  </pic:spPr>
                </pic:pic>
              </a:graphicData>
            </a:graphic>
            <wp14:sizeRelH relativeFrom="page">
              <wp14:pctWidth>0</wp14:pctWidth>
            </wp14:sizeRelH>
            <wp14:sizeRelV relativeFrom="page">
              <wp14:pctHeight>0</wp14:pctHeight>
            </wp14:sizeRelV>
          </wp:anchor>
        </w:drawing>
      </w:r>
      <w:r w:rsidR="001C65BB">
        <w:rPr>
          <w:noProof/>
        </w:rPr>
        <w:drawing>
          <wp:anchor distT="0" distB="0" distL="114300" distR="114300" simplePos="0" relativeHeight="251652608" behindDoc="1" locked="0" layoutInCell="1" allowOverlap="1" wp14:anchorId="38741EE1" wp14:editId="79EA405C">
            <wp:simplePos x="0" y="0"/>
            <wp:positionH relativeFrom="column">
              <wp:posOffset>170815</wp:posOffset>
            </wp:positionH>
            <wp:positionV relativeFrom="paragraph">
              <wp:posOffset>306705</wp:posOffset>
            </wp:positionV>
            <wp:extent cx="5762625" cy="3420110"/>
            <wp:effectExtent l="0" t="0" r="9525" b="8890"/>
            <wp:wrapTight wrapText="bothSides">
              <wp:wrapPolygon edited="0">
                <wp:start x="0" y="0"/>
                <wp:lineTo x="0" y="21536"/>
                <wp:lineTo x="21564" y="21536"/>
                <wp:lineTo x="21564" y="0"/>
                <wp:lineTo x="0" y="0"/>
              </wp:wrapPolygon>
            </wp:wrapTight>
            <wp:docPr id="65057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2625" cy="3420110"/>
                    </a:xfrm>
                    <a:prstGeom prst="rect">
                      <a:avLst/>
                    </a:prstGeom>
                    <a:noFill/>
                    <a:ln>
                      <a:noFill/>
                    </a:ln>
                  </pic:spPr>
                </pic:pic>
              </a:graphicData>
            </a:graphic>
            <wp14:sizeRelH relativeFrom="page">
              <wp14:pctWidth>0</wp14:pctWidth>
            </wp14:sizeRelH>
            <wp14:sizeRelV relativeFrom="page">
              <wp14:pctHeight>0</wp14:pctHeight>
            </wp14:sizeRelV>
          </wp:anchor>
        </w:drawing>
      </w:r>
      <w:r w:rsidR="006C02A7">
        <w:rPr>
          <w:b/>
          <w:bCs/>
        </w:rPr>
        <w:t>Q Ratio of S&amp;P 500</w:t>
      </w:r>
    </w:p>
    <w:p w14:paraId="01365898" w14:textId="3A1C18B0" w:rsidR="001C65BB" w:rsidRDefault="001C65BB" w:rsidP="002972AF">
      <w:pPr>
        <w:jc w:val="both"/>
        <w:rPr>
          <w:b/>
          <w:bCs/>
        </w:rPr>
      </w:pPr>
    </w:p>
    <w:p w14:paraId="2661CC8D" w14:textId="1859D628" w:rsidR="003E0643" w:rsidRDefault="0069131C" w:rsidP="002972AF">
      <w:pPr>
        <w:jc w:val="both"/>
      </w:pPr>
      <w:r>
        <w:t xml:space="preserve">During the global financial crisis in early 2009, </w:t>
      </w:r>
      <w:r w:rsidR="002D2AB6">
        <w:t>corporate earnings failed massively resulting in P/E ratio of</w:t>
      </w:r>
      <w:r w:rsidR="00B90D7A">
        <w:t xml:space="preserve"> S&amp;P</w:t>
      </w:r>
      <w:r w:rsidR="006C16B4">
        <w:t xml:space="preserve"> </w:t>
      </w:r>
      <w:r w:rsidR="00B90D7A">
        <w:t>500</w:t>
      </w:r>
      <w:r w:rsidR="000C36A1">
        <w:t xml:space="preserve"> </w:t>
      </w:r>
      <w:r w:rsidR="00BB38BE">
        <w:t>going</w:t>
      </w:r>
      <w:r w:rsidR="000C36A1">
        <w:t xml:space="preserve"> over 100x. </w:t>
      </w:r>
      <w:r w:rsidR="007674C4">
        <w:t>An investor looking only at the PE ratio would conclude</w:t>
      </w:r>
      <w:r w:rsidR="00EF3712">
        <w:t xml:space="preserve"> that stocks are very expensive and may sell them.</w:t>
      </w:r>
      <w:r w:rsidR="008D09A7">
        <w:t xml:space="preserve"> </w:t>
      </w:r>
      <w:r w:rsidR="00FA176C">
        <w:t xml:space="preserve">At this very moment, the Q ratio </w:t>
      </w:r>
      <w:r w:rsidR="002E6316">
        <w:t>was 0.66</w:t>
      </w:r>
      <w:r w:rsidR="00584072">
        <w:t xml:space="preserve">. Q ratio predicted </w:t>
      </w:r>
      <w:r w:rsidR="00DC0056">
        <w:t>that market was undervalued</w:t>
      </w:r>
      <w:r w:rsidR="00A84561">
        <w:t>.</w:t>
      </w:r>
      <w:r w:rsidR="007B66E2">
        <w:t xml:space="preserve"> </w:t>
      </w:r>
      <w:r w:rsidR="00A84561">
        <w:t xml:space="preserve">This happens </w:t>
      </w:r>
      <w:r w:rsidR="00446D0C">
        <w:t xml:space="preserve">because Q </w:t>
      </w:r>
      <w:r w:rsidR="001006B5">
        <w:t>ignores temporary earnings spike and looks at the assets</w:t>
      </w:r>
      <w:r w:rsidR="00700F70">
        <w:t>. Tobin</w:t>
      </w:r>
      <w:r w:rsidR="009A2449">
        <w:t xml:space="preserve">’s Q remains stable </w:t>
      </w:r>
      <w:r w:rsidR="00E66250">
        <w:t xml:space="preserve">because the “replacement cost” of a factory does not drop to </w:t>
      </w:r>
      <w:r w:rsidR="00A47100">
        <w:t xml:space="preserve">zero just because the factory had a </w:t>
      </w:r>
      <w:r w:rsidR="00403801">
        <w:t>bad year.</w:t>
      </w:r>
    </w:p>
    <w:p w14:paraId="235B58F0" w14:textId="3D46134D" w:rsidR="00DC7CAC" w:rsidRPr="00DC7CAC" w:rsidRDefault="00DC7CAC" w:rsidP="002972AF">
      <w:pPr>
        <w:jc w:val="both"/>
        <w:rPr>
          <w:b/>
          <w:bCs/>
        </w:rPr>
      </w:pPr>
      <w:r w:rsidRPr="00DC7CAC">
        <w:rPr>
          <w:b/>
          <w:bCs/>
        </w:rPr>
        <w:lastRenderedPageBreak/>
        <w:t>Challenges</w:t>
      </w:r>
    </w:p>
    <w:p w14:paraId="2A990A0F" w14:textId="06E83694" w:rsidR="003E0643" w:rsidRPr="003E0643" w:rsidRDefault="003E0643" w:rsidP="002972AF">
      <w:pPr>
        <w:jc w:val="both"/>
      </w:pPr>
      <w:r>
        <w:t>Q ratio</w:t>
      </w:r>
      <w:r w:rsidR="00CE4F3E">
        <w:t xml:space="preserve"> suffers from the problem of measurability. Calculating </w:t>
      </w:r>
      <w:r w:rsidR="008E2BDD">
        <w:t xml:space="preserve">replacement cost requires high quality national accounts like </w:t>
      </w:r>
      <w:r w:rsidR="00AD3ED1">
        <w:t xml:space="preserve">US Federal’s reserve Z1 report </w:t>
      </w:r>
      <w:r w:rsidR="00DC7CAC">
        <w:t xml:space="preserve">however other markets </w:t>
      </w:r>
      <w:r w:rsidR="00AD3ED1">
        <w:t>often</w:t>
      </w:r>
      <w:r w:rsidR="00DC7CAC">
        <w:t xml:space="preserve"> lack or have imperfect data and have difficulty accounting for inflation on assets</w:t>
      </w:r>
      <w:r w:rsidR="004D75AB">
        <w:t xml:space="preserve"> </w:t>
      </w:r>
      <w:r w:rsidR="004D75AB" w:rsidRPr="004D75AB">
        <w:t>(Federal Reserve, 2025</w:t>
      </w:r>
      <w:r w:rsidR="004D75AB">
        <w:t>)</w:t>
      </w:r>
      <w:r w:rsidR="00DC7CAC">
        <w:t>. Critics also argue that Q does not account for intangibles</w:t>
      </w:r>
      <w:r w:rsidR="004D75AB">
        <w:t xml:space="preserve"> </w:t>
      </w:r>
      <w:r w:rsidR="004D75AB" w:rsidRPr="004D75AB">
        <w:t>(Corrado et al., 2009</w:t>
      </w:r>
      <w:r w:rsidR="00707A8A">
        <w:t xml:space="preserve">; </w:t>
      </w:r>
      <w:r w:rsidR="00707A8A" w:rsidRPr="00707A8A">
        <w:t>GMO, 2025</w:t>
      </w:r>
      <w:r w:rsidR="00D41526">
        <w:t>)</w:t>
      </w:r>
      <w:r w:rsidR="00DC7CAC">
        <w:t>.</w:t>
      </w:r>
      <w:r w:rsidR="004A3D22">
        <w:t xml:space="preserve"> Today companies like Nvidia and Microsoft derive value from intangibles whose replacement cost is difficult to determine which raises the ‘</w:t>
      </w:r>
      <w:r w:rsidR="004A3D22">
        <w:rPr>
          <w:i/>
          <w:iCs/>
        </w:rPr>
        <w:t xml:space="preserve">neutral´ </w:t>
      </w:r>
      <w:r w:rsidR="004A3D22">
        <w:t>Q.</w:t>
      </w:r>
      <w:r w:rsidR="00881C15">
        <w:t xml:space="preserve"> Q may provide imperfect result during period of rapid economic change like rapid inflation.</w:t>
      </w:r>
    </w:p>
    <w:p w14:paraId="2C78CD39" w14:textId="3DDB4B48" w:rsidR="00407454" w:rsidRDefault="008539BC" w:rsidP="002972AF">
      <w:pPr>
        <w:jc w:val="both"/>
        <w:rPr>
          <w:b/>
          <w:bCs/>
          <w:sz w:val="32"/>
          <w:szCs w:val="32"/>
        </w:rPr>
      </w:pPr>
      <w:r>
        <w:rPr>
          <w:b/>
          <w:bCs/>
          <w:sz w:val="32"/>
          <w:szCs w:val="32"/>
        </w:rPr>
        <w:t>The Inferior Ratio:</w:t>
      </w:r>
      <w:r w:rsidR="00165118">
        <w:rPr>
          <w:b/>
          <w:bCs/>
          <w:sz w:val="32"/>
          <w:szCs w:val="32"/>
        </w:rPr>
        <w:t xml:space="preserve"> Yield Ratios and Yield Differences</w:t>
      </w:r>
    </w:p>
    <w:p w14:paraId="595532A9" w14:textId="73EA3AA4" w:rsidR="0026066C" w:rsidRDefault="00F703DF" w:rsidP="002972AF">
      <w:pPr>
        <w:jc w:val="both"/>
      </w:pPr>
      <w:r>
        <w:t>Yield Ratios and Yield Differences (often called the</w:t>
      </w:r>
      <w:r w:rsidR="00591ADD">
        <w:t xml:space="preserve"> Bond </w:t>
      </w:r>
      <w:r w:rsidR="00010CAA">
        <w:t>Yield</w:t>
      </w:r>
      <w:r w:rsidR="00591ADD">
        <w:t xml:space="preserve"> Ratio)</w:t>
      </w:r>
      <w:r w:rsidR="004964DE">
        <w:t xml:space="preserve"> are considered the one of the worst methods </w:t>
      </w:r>
      <w:r w:rsidR="002E3559">
        <w:t>of valuation as they fail all the 5 key tests as a measure of value</w:t>
      </w:r>
      <w:r w:rsidR="00405E86">
        <w:t xml:space="preserve"> </w:t>
      </w:r>
      <w:r w:rsidR="00405E86" w:rsidRPr="00405E86">
        <w:t>(</w:t>
      </w:r>
      <w:proofErr w:type="spellStart"/>
      <w:r w:rsidR="00405E86" w:rsidRPr="00405E86">
        <w:t>Asness</w:t>
      </w:r>
      <w:proofErr w:type="spellEnd"/>
      <w:r w:rsidR="00405E86" w:rsidRPr="00405E86">
        <w:t>, 2003)</w:t>
      </w:r>
      <w:r w:rsidR="00AE0D11">
        <w:t xml:space="preserve">. </w:t>
      </w:r>
    </w:p>
    <w:p w14:paraId="2F6ACE88" w14:textId="77777777" w:rsidR="00B112BF" w:rsidRPr="00B112BF" w:rsidRDefault="00B112BF" w:rsidP="00B112BF">
      <w:pPr>
        <w:jc w:val="both"/>
        <w:rPr>
          <w:b/>
          <w:bCs/>
          <w:sz w:val="32"/>
          <w:szCs w:val="32"/>
        </w:rPr>
      </w:pPr>
      <w:r w:rsidRPr="00B112BF">
        <w:rPr>
          <w:b/>
          <w:bCs/>
          <w:sz w:val="32"/>
          <w:szCs w:val="32"/>
        </w:rPr>
        <w:t>Why Yield Ratios and Yield Differences are the worst measure?</w:t>
      </w:r>
    </w:p>
    <w:p w14:paraId="14802FF4" w14:textId="0C2CA9FD" w:rsidR="00D11C8D" w:rsidRDefault="004A3D22" w:rsidP="002972AF">
      <w:pPr>
        <w:pStyle w:val="ListParagraph"/>
        <w:numPr>
          <w:ilvl w:val="0"/>
          <w:numId w:val="6"/>
        </w:numPr>
        <w:jc w:val="both"/>
      </w:pPr>
      <w:r>
        <w:rPr>
          <w:b/>
          <w:bCs/>
        </w:rPr>
        <w:t xml:space="preserve"> </w:t>
      </w:r>
      <w:r w:rsidR="006A60B5">
        <w:rPr>
          <w:b/>
          <w:bCs/>
        </w:rPr>
        <w:t>No Mean Reversion</w:t>
      </w:r>
      <w:r w:rsidR="006A60B5" w:rsidRPr="006A60B5">
        <w:t>-</w:t>
      </w:r>
      <w:r w:rsidR="006A60B5">
        <w:t xml:space="preserve"> </w:t>
      </w:r>
      <w:r w:rsidR="00FE6C02">
        <w:t>Historical data shows that bond yields</w:t>
      </w:r>
      <w:r w:rsidR="00761A5A">
        <w:t xml:space="preserve"> do not return to a stable average because bond yields fluctuate wildly with inflation</w:t>
      </w:r>
      <w:r w:rsidR="00BF58BC">
        <w:t>, the ratio drift indefinitely</w:t>
      </w:r>
      <w:r w:rsidR="003B1A18">
        <w:t xml:space="preserve">. As the ratio </w:t>
      </w:r>
      <w:r w:rsidR="00DC5E29">
        <w:t>does not mean revert, it canno</w:t>
      </w:r>
      <w:r w:rsidR="008D2740">
        <w:t>t satisfy the condition of prediction.</w:t>
      </w:r>
    </w:p>
    <w:p w14:paraId="732D4E6E" w14:textId="21E29C11" w:rsidR="00055DE8" w:rsidRDefault="00055DE8" w:rsidP="002972AF">
      <w:pPr>
        <w:pStyle w:val="ListParagraph"/>
        <w:numPr>
          <w:ilvl w:val="0"/>
          <w:numId w:val="6"/>
        </w:numPr>
        <w:jc w:val="both"/>
      </w:pPr>
      <w:r>
        <w:rPr>
          <w:b/>
          <w:bCs/>
        </w:rPr>
        <w:t>Inflation Illusion</w:t>
      </w:r>
      <w:r w:rsidRPr="00055DE8">
        <w:t>-</w:t>
      </w:r>
      <w:r>
        <w:t xml:space="preserve"> The model is considered a bad measure as it fails to distinguish between nominal assets (bonds) to real assets (stocks). Bonds provides a fixed nominal income that is destroyed by inflation whereas stocks are right to physical assets where dividends and earnings grow with inflation and that serve as a long-term hedge against inflation. This leads to an illusion that stocks are more attractive during low inflation due to lower discount rate but ignore the fact that falling </w:t>
      </w:r>
      <w:r w:rsidR="00BF641E">
        <w:t>inflation</w:t>
      </w:r>
      <w:r>
        <w:t xml:space="preserve"> also lowers future nominal growth of dividends thus cancelling out any gain</w:t>
      </w:r>
      <w:r w:rsidR="00405E86">
        <w:t xml:space="preserve"> </w:t>
      </w:r>
      <w:r w:rsidR="00405E86" w:rsidRPr="00405E86">
        <w:t>(</w:t>
      </w:r>
      <w:proofErr w:type="spellStart"/>
      <w:r w:rsidR="00405E86" w:rsidRPr="00405E86">
        <w:t>Asness</w:t>
      </w:r>
      <w:proofErr w:type="spellEnd"/>
      <w:r w:rsidR="00405E86" w:rsidRPr="00405E86">
        <w:t>, 2003)</w:t>
      </w:r>
      <w:r>
        <w:t>.</w:t>
      </w:r>
    </w:p>
    <w:p w14:paraId="293DC65E" w14:textId="77777777" w:rsidR="004A3D22" w:rsidRDefault="004A3D22" w:rsidP="002972AF">
      <w:pPr>
        <w:jc w:val="both"/>
      </w:pPr>
    </w:p>
    <w:p w14:paraId="28CB141A" w14:textId="29BF9A0B" w:rsidR="004A3D22" w:rsidRDefault="004A3D22" w:rsidP="002972AF">
      <w:pPr>
        <w:jc w:val="both"/>
        <w:rPr>
          <w:b/>
          <w:bCs/>
        </w:rPr>
      </w:pPr>
      <w:r w:rsidRPr="004A3D22">
        <w:rPr>
          <w:b/>
          <w:bCs/>
        </w:rPr>
        <w:t>Evidence</w:t>
      </w:r>
      <w:r w:rsidR="004B744A">
        <w:rPr>
          <w:b/>
          <w:bCs/>
        </w:rPr>
        <w:t xml:space="preserve"> </w:t>
      </w:r>
    </w:p>
    <w:p w14:paraId="6CB56E33" w14:textId="77777777" w:rsidR="004A3D22" w:rsidRDefault="004A3D22" w:rsidP="002972AF">
      <w:pPr>
        <w:jc w:val="both"/>
        <w:rPr>
          <w:lang w:eastAsia="en-IN"/>
        </w:rPr>
      </w:pPr>
      <w:r>
        <w:rPr>
          <w:lang w:eastAsia="en-IN"/>
        </w:rPr>
        <w:t>During the global financial crisis, the Fed model failed to warn investors of the impending crash, while Tobin’s Q signalled that the market was dangerously overvalued. In 2007, during the pre-crash peak, the 10-year treasury yield was around 4.5%-5% while the S&amp;P 500 earning yield was close to 5.5%. This means that the stock yields were slightly higher than the bond yields indicating the Fed model would predict stocks to be fairly valued or even cheap relative to bonds. During this time, the Q ratio was slightly above 1 which is higher than the historical average of 0.7.</w:t>
      </w:r>
    </w:p>
    <w:p w14:paraId="7EF2367C" w14:textId="77777777" w:rsidR="00B112BF" w:rsidRDefault="00B112BF" w:rsidP="002972AF">
      <w:pPr>
        <w:pStyle w:val="NormalWeb"/>
        <w:jc w:val="both"/>
      </w:pPr>
    </w:p>
    <w:p w14:paraId="6B004F4B" w14:textId="77777777" w:rsidR="00B112BF" w:rsidRDefault="00B112BF" w:rsidP="002972AF">
      <w:pPr>
        <w:pStyle w:val="NormalWeb"/>
        <w:jc w:val="both"/>
      </w:pPr>
    </w:p>
    <w:p w14:paraId="35BFD4AC" w14:textId="77777777" w:rsidR="00B112BF" w:rsidRDefault="00B112BF" w:rsidP="002972AF">
      <w:pPr>
        <w:pStyle w:val="NormalWeb"/>
        <w:jc w:val="both"/>
      </w:pPr>
    </w:p>
    <w:p w14:paraId="1FBB82E1" w14:textId="1CBDA707" w:rsidR="00AE2A18" w:rsidRPr="00AE2A18" w:rsidRDefault="004A3D22" w:rsidP="002972AF">
      <w:pPr>
        <w:pStyle w:val="NormalWeb"/>
        <w:jc w:val="both"/>
      </w:pPr>
      <w:r w:rsidRPr="006D2A0D">
        <w:rPr>
          <w:noProof/>
        </w:rPr>
        <w:drawing>
          <wp:anchor distT="0" distB="0" distL="114300" distR="114300" simplePos="0" relativeHeight="251662848" behindDoc="0" locked="0" layoutInCell="1" allowOverlap="1" wp14:anchorId="2FE4ACEC" wp14:editId="27ADDA3F">
            <wp:simplePos x="0" y="0"/>
            <wp:positionH relativeFrom="column">
              <wp:posOffset>0</wp:posOffset>
            </wp:positionH>
            <wp:positionV relativeFrom="paragraph">
              <wp:posOffset>577</wp:posOffset>
            </wp:positionV>
            <wp:extent cx="5731510" cy="3446780"/>
            <wp:effectExtent l="0" t="0" r="2540" b="1270"/>
            <wp:wrapSquare wrapText="bothSides"/>
            <wp:docPr id="89039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93720"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3446780"/>
                    </a:xfrm>
                    <a:prstGeom prst="rect">
                      <a:avLst/>
                    </a:prstGeom>
                  </pic:spPr>
                </pic:pic>
              </a:graphicData>
            </a:graphic>
            <wp14:sizeRelH relativeFrom="page">
              <wp14:pctWidth>0</wp14:pctWidth>
            </wp14:sizeRelH>
            <wp14:sizeRelV relativeFrom="page">
              <wp14:pctHeight>0</wp14:pctHeight>
            </wp14:sizeRelV>
          </wp:anchor>
        </w:drawing>
      </w:r>
      <w:r w:rsidR="00AE2A18">
        <w:tab/>
      </w:r>
    </w:p>
    <w:p w14:paraId="4CA8EAB6" w14:textId="19088903" w:rsidR="008D0AE5" w:rsidRDefault="006666AC" w:rsidP="002972AF">
      <w:pPr>
        <w:jc w:val="both"/>
        <w:rPr>
          <w:lang w:eastAsia="en-IN"/>
        </w:rPr>
      </w:pPr>
      <w:r>
        <w:rPr>
          <w:lang w:eastAsia="en-IN"/>
        </w:rPr>
        <w:t xml:space="preserve">The weaknesses </w:t>
      </w:r>
      <w:r w:rsidR="00274D15">
        <w:rPr>
          <w:lang w:eastAsia="en-IN"/>
        </w:rPr>
        <w:t>of Fed model make it</w:t>
      </w:r>
      <w:r w:rsidR="00454972">
        <w:rPr>
          <w:lang w:eastAsia="en-IN"/>
        </w:rPr>
        <w:t xml:space="preserve"> an unreliable predictor for modern, policy influenced financial markets. </w:t>
      </w:r>
      <w:r w:rsidR="00E617A8">
        <w:rPr>
          <w:lang w:eastAsia="en-IN"/>
        </w:rPr>
        <w:t xml:space="preserve">Unfortunately, they are often used by stock brokers to artificially produce </w:t>
      </w:r>
      <w:r w:rsidR="0007576C">
        <w:rPr>
          <w:lang w:eastAsia="en-IN"/>
        </w:rPr>
        <w:t>optimistic predictions to sell shares.</w:t>
      </w:r>
    </w:p>
    <w:p w14:paraId="58CB13B3" w14:textId="1F156032" w:rsidR="008D0AE5" w:rsidRDefault="0007576C" w:rsidP="002972AF">
      <w:pPr>
        <w:jc w:val="both"/>
        <w:rPr>
          <w:b/>
          <w:bCs/>
          <w:sz w:val="32"/>
          <w:szCs w:val="32"/>
        </w:rPr>
      </w:pPr>
      <w:r>
        <w:rPr>
          <w:lang w:eastAsia="en-IN"/>
        </w:rPr>
        <w:t xml:space="preserve"> </w:t>
      </w:r>
      <w:r w:rsidR="008D0AE5" w:rsidRPr="007E0E75">
        <w:rPr>
          <w:b/>
          <w:bCs/>
          <w:sz w:val="32"/>
          <w:szCs w:val="32"/>
        </w:rPr>
        <w:t xml:space="preserve">Section </w:t>
      </w:r>
      <w:r w:rsidR="008D0AE5">
        <w:rPr>
          <w:b/>
          <w:bCs/>
          <w:sz w:val="32"/>
          <w:szCs w:val="32"/>
        </w:rPr>
        <w:t>2</w:t>
      </w:r>
      <w:r w:rsidR="008D0AE5" w:rsidRPr="007E0E75">
        <w:rPr>
          <w:b/>
          <w:bCs/>
          <w:sz w:val="32"/>
          <w:szCs w:val="32"/>
        </w:rPr>
        <w:t xml:space="preserve">: </w:t>
      </w:r>
      <w:r w:rsidR="007C4B97">
        <w:rPr>
          <w:b/>
          <w:bCs/>
          <w:sz w:val="32"/>
          <w:szCs w:val="32"/>
        </w:rPr>
        <w:t>Current Valuation of US and UK Stock Markets</w:t>
      </w:r>
    </w:p>
    <w:p w14:paraId="38A6F18A" w14:textId="62A58038" w:rsidR="00C91559" w:rsidRDefault="0045163C" w:rsidP="002972AF">
      <w:pPr>
        <w:jc w:val="both"/>
        <w:rPr>
          <w:b/>
          <w:bCs/>
          <w:sz w:val="28"/>
          <w:szCs w:val="28"/>
        </w:rPr>
      </w:pPr>
      <w:r w:rsidRPr="00315ABD">
        <w:rPr>
          <w:b/>
          <w:bCs/>
          <w:sz w:val="28"/>
          <w:szCs w:val="28"/>
        </w:rPr>
        <w:t>US Stock Market Valuation</w:t>
      </w:r>
    </w:p>
    <w:p w14:paraId="099A9767" w14:textId="1CB24469" w:rsidR="007920CA" w:rsidRDefault="002A115B" w:rsidP="002972AF">
      <w:pPr>
        <w:jc w:val="both"/>
      </w:pPr>
      <w:r>
        <w:t>The US stock market</w:t>
      </w:r>
      <w:r w:rsidR="007D06E7">
        <w:t xml:space="preserve"> is currently </w:t>
      </w:r>
      <w:r w:rsidR="0020161D">
        <w:t>considered to be overvalued as per Q ratio</w:t>
      </w:r>
      <w:r w:rsidR="002F02E9">
        <w:t xml:space="preserve"> at 1.76 above the historical average of </w:t>
      </w:r>
      <w:r w:rsidR="00EF44AB">
        <w:t>0.84</w:t>
      </w:r>
      <w:r w:rsidR="00504282">
        <w:t xml:space="preserve">. </w:t>
      </w:r>
      <w:r w:rsidR="0094030C">
        <w:t>Shiller’s P/E</w:t>
      </w:r>
      <w:r w:rsidR="002C3EEF">
        <w:t xml:space="preserve"> (cyclically adjusted price to earnings)</w:t>
      </w:r>
      <w:r w:rsidR="00264EE4">
        <w:t xml:space="preserve"> </w:t>
      </w:r>
      <w:r w:rsidR="00911B07">
        <w:t>is 40.32</w:t>
      </w:r>
      <w:r w:rsidR="007436A5">
        <w:t xml:space="preserve"> </w:t>
      </w:r>
      <w:r w:rsidR="003A126F">
        <w:t xml:space="preserve">(3.69 using natural logs) </w:t>
      </w:r>
      <w:r w:rsidR="007436A5">
        <w:t>compared to the historical average of 17.33</w:t>
      </w:r>
      <w:r w:rsidR="00F31C9A">
        <w:t xml:space="preserve"> (2.89 using natural logs)</w:t>
      </w:r>
      <w:r w:rsidR="007436A5">
        <w:t>.</w:t>
      </w:r>
      <w:r w:rsidR="007920CA">
        <w:t xml:space="preserve"> </w:t>
      </w:r>
    </w:p>
    <w:p w14:paraId="5FD03445" w14:textId="7687735A" w:rsidR="007C4B97" w:rsidRDefault="007436A5" w:rsidP="002972AF">
      <w:pPr>
        <w:jc w:val="both"/>
      </w:pPr>
      <w:r>
        <w:t xml:space="preserve"> </w:t>
      </w:r>
      <w:r w:rsidR="0037432E">
        <w:t xml:space="preserve">The valuation </w:t>
      </w:r>
      <w:r w:rsidR="00DF0A7D">
        <w:t xml:space="preserve">shows that US is highly overvalued similar to the dot com bubble of 2000s and its subsequent crash. </w:t>
      </w:r>
      <w:r w:rsidR="00717F63">
        <w:t xml:space="preserve">However as per interview </w:t>
      </w:r>
      <w:r w:rsidR="00E93DCE" w:rsidRPr="00E93DCE">
        <w:t>head of U.S. equity strategy at Bank of America</w:t>
      </w:r>
      <w:r w:rsidR="00E93DCE">
        <w:t xml:space="preserve">, AI </w:t>
      </w:r>
      <w:r w:rsidR="008332FC">
        <w:t>led stock market is still stable and not in bubble territory yet</w:t>
      </w:r>
      <w:r w:rsidR="003D63FC">
        <w:t xml:space="preserve"> (Axios, 2025</w:t>
      </w:r>
      <w:r w:rsidR="00BE3F28">
        <w:t>)</w:t>
      </w:r>
      <w:r w:rsidR="005319CD">
        <w:t>.</w:t>
      </w:r>
      <w:r w:rsidR="00142663">
        <w:t xml:space="preserve"> In another interview</w:t>
      </w:r>
      <w:r w:rsidR="00F66193">
        <w:t xml:space="preserve"> to the Wall Street Journal</w:t>
      </w:r>
      <w:r w:rsidR="00142663">
        <w:t xml:space="preserve">, the head </w:t>
      </w:r>
      <w:r w:rsidR="00691B06">
        <w:t>c</w:t>
      </w:r>
      <w:r w:rsidR="00691B06" w:rsidRPr="00691B06">
        <w:t>hief global equity strategist at Goldman Sachs</w:t>
      </w:r>
      <w:r w:rsidR="00691B06">
        <w:t xml:space="preserve"> observed that we are not in an AI bubble yet as AI companies are still profitable and cash rich </w:t>
      </w:r>
      <w:r w:rsidR="00052934" w:rsidRPr="00052934">
        <w:t>(The Wall Street Journal, 2024)</w:t>
      </w:r>
      <w:r w:rsidR="00F66193">
        <w:t>.</w:t>
      </w:r>
    </w:p>
    <w:p w14:paraId="4D3356AA" w14:textId="348A4675" w:rsidR="00F92E9D" w:rsidRDefault="00B506C9" w:rsidP="002972AF">
      <w:pPr>
        <w:jc w:val="both"/>
        <w:rPr>
          <w:lang w:eastAsia="en-IN"/>
        </w:rPr>
      </w:pPr>
      <w:r>
        <w:rPr>
          <w:lang w:eastAsia="en-IN"/>
        </w:rPr>
        <w:t>An analysis of past crashes reveal that crashes often happened when the weekly close (chart limitations) of S&amp;P 500 fell below the 200-day moving average and fails to move back. An analysis of the current S&amp;P 500 reveals that closing levels are still above the 200-day moving average.</w:t>
      </w:r>
    </w:p>
    <w:p w14:paraId="152AC7DB" w14:textId="43A0CDDF" w:rsidR="004A3D22" w:rsidRDefault="00B506C9" w:rsidP="002972AF">
      <w:pPr>
        <w:jc w:val="both"/>
        <w:rPr>
          <w:lang w:eastAsia="en-IN"/>
        </w:rPr>
      </w:pPr>
      <w:r>
        <w:rPr>
          <w:noProof/>
        </w:rPr>
        <w:lastRenderedPageBreak/>
        <w:drawing>
          <wp:anchor distT="0" distB="0" distL="114300" distR="114300" simplePos="0" relativeHeight="251666944" behindDoc="0" locked="0" layoutInCell="1" allowOverlap="1" wp14:anchorId="6C29B304" wp14:editId="1E7CF10C">
            <wp:simplePos x="0" y="0"/>
            <wp:positionH relativeFrom="column">
              <wp:posOffset>-152400</wp:posOffset>
            </wp:positionH>
            <wp:positionV relativeFrom="paragraph">
              <wp:posOffset>3825875</wp:posOffset>
            </wp:positionV>
            <wp:extent cx="5731510" cy="2329815"/>
            <wp:effectExtent l="0" t="0" r="2540" b="0"/>
            <wp:wrapSquare wrapText="bothSides"/>
            <wp:docPr id="168425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54676"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2329815"/>
                    </a:xfrm>
                    <a:prstGeom prst="rect">
                      <a:avLst/>
                    </a:prstGeom>
                  </pic:spPr>
                </pic:pic>
              </a:graphicData>
            </a:graphic>
            <wp14:sizeRelH relativeFrom="page">
              <wp14:pctWidth>0</wp14:pctWidth>
            </wp14:sizeRelH>
            <wp14:sizeRelV relativeFrom="page">
              <wp14:pctHeight>0</wp14:pctHeight>
            </wp14:sizeRelV>
          </wp:anchor>
        </w:drawing>
      </w:r>
      <w:r w:rsidRPr="00F45D33">
        <w:rPr>
          <w:noProof/>
        </w:rPr>
        <w:drawing>
          <wp:anchor distT="0" distB="0" distL="114300" distR="114300" simplePos="0" relativeHeight="251654656" behindDoc="1" locked="0" layoutInCell="1" allowOverlap="1" wp14:anchorId="79D9C8E1" wp14:editId="1CB9CAE4">
            <wp:simplePos x="0" y="0"/>
            <wp:positionH relativeFrom="column">
              <wp:posOffset>-43180</wp:posOffset>
            </wp:positionH>
            <wp:positionV relativeFrom="paragraph">
              <wp:posOffset>198755</wp:posOffset>
            </wp:positionV>
            <wp:extent cx="5621020" cy="3454400"/>
            <wp:effectExtent l="0" t="0" r="0" b="0"/>
            <wp:wrapSquare wrapText="bothSides"/>
            <wp:docPr id="91610390"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390" name="Picture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21020" cy="3454400"/>
                    </a:xfrm>
                    <a:prstGeom prst="rect">
                      <a:avLst/>
                    </a:prstGeom>
                  </pic:spPr>
                </pic:pic>
              </a:graphicData>
            </a:graphic>
            <wp14:sizeRelH relativeFrom="page">
              <wp14:pctWidth>0</wp14:pctWidth>
            </wp14:sizeRelH>
            <wp14:sizeRelV relativeFrom="page">
              <wp14:pctHeight>0</wp14:pctHeight>
            </wp14:sizeRelV>
          </wp:anchor>
        </w:drawing>
      </w:r>
    </w:p>
    <w:p w14:paraId="174DB182" w14:textId="77777777" w:rsidR="00B506C9" w:rsidRDefault="00B506C9" w:rsidP="002972AF">
      <w:pPr>
        <w:jc w:val="both"/>
        <w:rPr>
          <w:lang w:eastAsia="en-IN"/>
        </w:rPr>
      </w:pPr>
    </w:p>
    <w:p w14:paraId="58511D59" w14:textId="3A38276F" w:rsidR="001079BE" w:rsidRDefault="00E2449D" w:rsidP="002972AF">
      <w:pPr>
        <w:jc w:val="both"/>
        <w:rPr>
          <w:lang w:eastAsia="en-IN"/>
        </w:rPr>
      </w:pPr>
      <w:r>
        <w:rPr>
          <w:lang w:eastAsia="en-IN"/>
        </w:rPr>
        <w:t xml:space="preserve">Past </w:t>
      </w:r>
      <w:r w:rsidR="00B61955">
        <w:rPr>
          <w:lang w:eastAsia="en-IN"/>
        </w:rPr>
        <w:t xml:space="preserve">financial </w:t>
      </w:r>
      <w:r>
        <w:rPr>
          <w:lang w:eastAsia="en-IN"/>
        </w:rPr>
        <w:t xml:space="preserve">crashes also reveal that </w:t>
      </w:r>
      <w:r w:rsidR="00351DCB">
        <w:rPr>
          <w:lang w:eastAsia="en-IN"/>
        </w:rPr>
        <w:t xml:space="preserve">crashes happened during moments of increasing BBB </w:t>
      </w:r>
      <w:r w:rsidR="004148BF">
        <w:rPr>
          <w:lang w:eastAsia="en-IN"/>
        </w:rPr>
        <w:t>10-year</w:t>
      </w:r>
      <w:r w:rsidR="00351DCB">
        <w:rPr>
          <w:lang w:eastAsia="en-IN"/>
        </w:rPr>
        <w:t xml:space="preserve"> treasury spreads.</w:t>
      </w:r>
      <w:r w:rsidR="00F778A4">
        <w:rPr>
          <w:lang w:eastAsia="en-IN"/>
        </w:rPr>
        <w:t xml:space="preserve"> As shaded in the graph below, crashes generally show</w:t>
      </w:r>
      <w:r w:rsidR="00BD735A">
        <w:rPr>
          <w:lang w:eastAsia="en-IN"/>
        </w:rPr>
        <w:t xml:space="preserve"> very high levels of spread generally above 2% (dot com crash) and reaching as high as </w:t>
      </w:r>
      <w:r w:rsidR="001079BE">
        <w:rPr>
          <w:lang w:eastAsia="en-IN"/>
        </w:rPr>
        <w:t>7.</w:t>
      </w:r>
      <w:r w:rsidR="00BD735A">
        <w:rPr>
          <w:lang w:eastAsia="en-IN"/>
        </w:rPr>
        <w:t>8</w:t>
      </w:r>
      <w:r w:rsidR="001079BE">
        <w:rPr>
          <w:lang w:eastAsia="en-IN"/>
        </w:rPr>
        <w:t>4</w:t>
      </w:r>
      <w:r w:rsidR="00BD735A">
        <w:rPr>
          <w:lang w:eastAsia="en-IN"/>
        </w:rPr>
        <w:t>% (global</w:t>
      </w:r>
      <w:r w:rsidR="00286886">
        <w:rPr>
          <w:lang w:eastAsia="en-IN"/>
        </w:rPr>
        <w:t xml:space="preserve"> f</w:t>
      </w:r>
      <w:r w:rsidR="00BD735A">
        <w:rPr>
          <w:lang w:eastAsia="en-IN"/>
        </w:rPr>
        <w:t>inancial crash)</w:t>
      </w:r>
      <w:r w:rsidR="001079BE">
        <w:rPr>
          <w:lang w:eastAsia="en-IN"/>
        </w:rPr>
        <w:t xml:space="preserve">. The current spread </w:t>
      </w:r>
      <w:r w:rsidR="004E556D">
        <w:rPr>
          <w:lang w:eastAsia="en-IN"/>
        </w:rPr>
        <w:t>at 0.94%</w:t>
      </w:r>
      <w:r w:rsidR="00710B7D">
        <w:rPr>
          <w:lang w:eastAsia="en-IN"/>
        </w:rPr>
        <w:t xml:space="preserve"> indicates confidence</w:t>
      </w:r>
      <w:r w:rsidR="001474B6">
        <w:rPr>
          <w:lang w:eastAsia="en-IN"/>
        </w:rPr>
        <w:t xml:space="preserve"> in corporate credit and overall easy financial conditions.</w:t>
      </w:r>
    </w:p>
    <w:p w14:paraId="0C05C696" w14:textId="1A9F7616" w:rsidR="00B506C9" w:rsidRDefault="00B506C9" w:rsidP="002972AF">
      <w:pPr>
        <w:jc w:val="both"/>
        <w:rPr>
          <w:lang w:eastAsia="en-IN"/>
        </w:rPr>
      </w:pPr>
      <w:r>
        <w:rPr>
          <w:lang w:eastAsia="en-IN"/>
        </w:rPr>
        <w:br w:type="page"/>
      </w:r>
    </w:p>
    <w:p w14:paraId="1FD90E30" w14:textId="63AEDDA9" w:rsidR="00B506C9" w:rsidRDefault="00B506C9" w:rsidP="002972AF">
      <w:pPr>
        <w:jc w:val="both"/>
        <w:rPr>
          <w:lang w:eastAsia="en-IN"/>
        </w:rPr>
      </w:pPr>
      <w:r w:rsidRPr="005B1893">
        <w:rPr>
          <w:noProof/>
          <w:lang w:eastAsia="en-IN"/>
        </w:rPr>
        <w:lastRenderedPageBreak/>
        <w:drawing>
          <wp:anchor distT="0" distB="0" distL="114300" distR="114300" simplePos="0" relativeHeight="251668992" behindDoc="1" locked="0" layoutInCell="1" allowOverlap="1" wp14:anchorId="79675573" wp14:editId="36F62A19">
            <wp:simplePos x="0" y="0"/>
            <wp:positionH relativeFrom="column">
              <wp:posOffset>-60960</wp:posOffset>
            </wp:positionH>
            <wp:positionV relativeFrom="paragraph">
              <wp:posOffset>0</wp:posOffset>
            </wp:positionV>
            <wp:extent cx="5731510" cy="2849880"/>
            <wp:effectExtent l="0" t="0" r="2540" b="7620"/>
            <wp:wrapTight wrapText="bothSides">
              <wp:wrapPolygon edited="0">
                <wp:start x="0" y="0"/>
                <wp:lineTo x="0" y="21513"/>
                <wp:lineTo x="21538" y="21513"/>
                <wp:lineTo x="21538" y="0"/>
                <wp:lineTo x="0" y="0"/>
              </wp:wrapPolygon>
            </wp:wrapTight>
            <wp:docPr id="55697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7024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49880"/>
                    </a:xfrm>
                    <a:prstGeom prst="rect">
                      <a:avLst/>
                    </a:prstGeom>
                  </pic:spPr>
                </pic:pic>
              </a:graphicData>
            </a:graphic>
            <wp14:sizeRelH relativeFrom="page">
              <wp14:pctWidth>0</wp14:pctWidth>
            </wp14:sizeRelH>
            <wp14:sizeRelV relativeFrom="page">
              <wp14:pctHeight>0</wp14:pctHeight>
            </wp14:sizeRelV>
          </wp:anchor>
        </w:drawing>
      </w:r>
    </w:p>
    <w:p w14:paraId="4B2D9775" w14:textId="54A02C87" w:rsidR="009211BA" w:rsidRDefault="006F217A" w:rsidP="002972AF">
      <w:pPr>
        <w:jc w:val="both"/>
        <w:rPr>
          <w:lang w:eastAsia="en-IN"/>
        </w:rPr>
      </w:pPr>
      <w:r w:rsidRPr="00EA0115">
        <w:rPr>
          <w:noProof/>
          <w:lang w:eastAsia="en-IN"/>
        </w:rPr>
        <w:drawing>
          <wp:anchor distT="0" distB="0" distL="114300" distR="114300" simplePos="0" relativeHeight="251656704" behindDoc="0" locked="0" layoutInCell="1" allowOverlap="1" wp14:anchorId="7BE0C964" wp14:editId="2460F726">
            <wp:simplePos x="0" y="0"/>
            <wp:positionH relativeFrom="column">
              <wp:posOffset>0</wp:posOffset>
            </wp:positionH>
            <wp:positionV relativeFrom="paragraph">
              <wp:posOffset>1172845</wp:posOffset>
            </wp:positionV>
            <wp:extent cx="5478145" cy="3646170"/>
            <wp:effectExtent l="0" t="0" r="8255" b="0"/>
            <wp:wrapSquare wrapText="bothSides"/>
            <wp:docPr id="83767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67987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78145" cy="3646170"/>
                    </a:xfrm>
                    <a:prstGeom prst="rect">
                      <a:avLst/>
                    </a:prstGeom>
                  </pic:spPr>
                </pic:pic>
              </a:graphicData>
            </a:graphic>
            <wp14:sizeRelH relativeFrom="page">
              <wp14:pctWidth>0</wp14:pctWidth>
            </wp14:sizeRelH>
            <wp14:sizeRelV relativeFrom="page">
              <wp14:pctHeight>0</wp14:pctHeight>
            </wp14:sizeRelV>
          </wp:anchor>
        </w:drawing>
      </w:r>
      <w:r w:rsidR="00F12C03">
        <w:rPr>
          <w:lang w:eastAsia="en-IN"/>
        </w:rPr>
        <w:t>The S&amp;P 500</w:t>
      </w:r>
      <w:r w:rsidR="000C60D5">
        <w:rPr>
          <w:lang w:eastAsia="en-IN"/>
        </w:rPr>
        <w:t xml:space="preserve"> CBOE</w:t>
      </w:r>
      <w:r w:rsidR="00F12C03">
        <w:rPr>
          <w:lang w:eastAsia="en-IN"/>
        </w:rPr>
        <w:t xml:space="preserve"> Volatility </w:t>
      </w:r>
      <w:r w:rsidR="002535C5">
        <w:rPr>
          <w:lang w:eastAsia="en-IN"/>
        </w:rPr>
        <w:t xml:space="preserve">Index which measures the </w:t>
      </w:r>
      <w:r w:rsidR="004F0CF6">
        <w:rPr>
          <w:lang w:eastAsia="en-IN"/>
        </w:rPr>
        <w:t xml:space="preserve">market sentiment and perceived risk in the market over a 30-day period. Historically, </w:t>
      </w:r>
      <w:r w:rsidR="003766F4">
        <w:rPr>
          <w:lang w:eastAsia="en-IN"/>
        </w:rPr>
        <w:t xml:space="preserve">values, below 20 are considered stable whereas values above 30 are considered highly risky. </w:t>
      </w:r>
      <w:r w:rsidR="00BA0DDC">
        <w:rPr>
          <w:lang w:eastAsia="en-IN"/>
        </w:rPr>
        <w:t xml:space="preserve">All major crashes, </w:t>
      </w:r>
      <w:r w:rsidR="002077F0">
        <w:rPr>
          <w:lang w:eastAsia="en-IN"/>
        </w:rPr>
        <w:t>since the development of the index recorded high levels of VIX which might allow us to predict a market crash in the current US market</w:t>
      </w:r>
      <w:r w:rsidR="009C602B">
        <w:rPr>
          <w:lang w:eastAsia="en-IN"/>
        </w:rPr>
        <w:t>.</w:t>
      </w:r>
    </w:p>
    <w:p w14:paraId="23D6686F" w14:textId="0F772AF9" w:rsidR="009211BA" w:rsidRDefault="009211BA" w:rsidP="002972AF">
      <w:pPr>
        <w:jc w:val="both"/>
        <w:rPr>
          <w:lang w:eastAsia="en-IN"/>
        </w:rPr>
      </w:pPr>
    </w:p>
    <w:p w14:paraId="19967162" w14:textId="5A31479E" w:rsidR="009C602B" w:rsidRDefault="009C602B" w:rsidP="002972AF">
      <w:pPr>
        <w:jc w:val="both"/>
        <w:rPr>
          <w:lang w:eastAsia="en-IN"/>
        </w:rPr>
      </w:pPr>
      <w:r>
        <w:rPr>
          <w:lang w:eastAsia="en-IN"/>
        </w:rPr>
        <w:t>The current VIX level is at 19.</w:t>
      </w:r>
      <w:r w:rsidR="00E5748B">
        <w:rPr>
          <w:lang w:eastAsia="en-IN"/>
        </w:rPr>
        <w:t>6 (approximate) which places it the stable category. However, in the current market scenario</w:t>
      </w:r>
      <w:r w:rsidR="006E2ED6">
        <w:rPr>
          <w:lang w:eastAsia="en-IN"/>
        </w:rPr>
        <w:t xml:space="preserve"> which is highly overvalued</w:t>
      </w:r>
      <w:r w:rsidR="00457781">
        <w:rPr>
          <w:lang w:eastAsia="en-IN"/>
        </w:rPr>
        <w:t xml:space="preserve"> as per Q ratio</w:t>
      </w:r>
      <w:r w:rsidR="006E2ED6">
        <w:rPr>
          <w:lang w:eastAsia="en-IN"/>
        </w:rPr>
        <w:t xml:space="preserve">, </w:t>
      </w:r>
      <w:r w:rsidR="00457781">
        <w:rPr>
          <w:lang w:eastAsia="en-IN"/>
        </w:rPr>
        <w:t xml:space="preserve">volatility </w:t>
      </w:r>
      <w:r w:rsidR="002209CD">
        <w:rPr>
          <w:lang w:eastAsia="en-IN"/>
        </w:rPr>
        <w:t xml:space="preserve">level above 30 </w:t>
      </w:r>
      <w:r w:rsidR="002209CD">
        <w:rPr>
          <w:lang w:eastAsia="en-IN"/>
        </w:rPr>
        <w:lastRenderedPageBreak/>
        <w:t xml:space="preserve">will indicate extreme market volatility and trigger a massive sale </w:t>
      </w:r>
      <w:r w:rsidR="00A570A4">
        <w:rPr>
          <w:lang w:eastAsia="en-IN"/>
        </w:rPr>
        <w:t>of the overvalued stocks especially that of the magnificent 7.</w:t>
      </w:r>
    </w:p>
    <w:p w14:paraId="421D593F" w14:textId="6291EDAE" w:rsidR="00B506C9" w:rsidRDefault="00B506C9" w:rsidP="002972AF">
      <w:pPr>
        <w:jc w:val="both"/>
        <w:rPr>
          <w:lang w:eastAsia="en-IN"/>
        </w:rPr>
      </w:pPr>
      <w:r w:rsidRPr="005F0F9B">
        <w:rPr>
          <w:noProof/>
          <w:lang w:eastAsia="en-IN"/>
        </w:rPr>
        <w:drawing>
          <wp:anchor distT="0" distB="0" distL="114300" distR="114300" simplePos="0" relativeHeight="251658752" behindDoc="0" locked="0" layoutInCell="1" allowOverlap="1" wp14:anchorId="5B61EECD" wp14:editId="0DAC41B2">
            <wp:simplePos x="0" y="0"/>
            <wp:positionH relativeFrom="column">
              <wp:posOffset>3356610</wp:posOffset>
            </wp:positionH>
            <wp:positionV relativeFrom="paragraph">
              <wp:posOffset>5080</wp:posOffset>
            </wp:positionV>
            <wp:extent cx="2425882" cy="2430100"/>
            <wp:effectExtent l="0" t="0" r="0" b="8890"/>
            <wp:wrapSquare wrapText="bothSides"/>
            <wp:docPr id="64125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54834"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25882" cy="24301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4F6BDD21" wp14:editId="55BD8C39">
            <wp:simplePos x="0" y="0"/>
            <wp:positionH relativeFrom="column">
              <wp:posOffset>-114300</wp:posOffset>
            </wp:positionH>
            <wp:positionV relativeFrom="paragraph">
              <wp:posOffset>415290</wp:posOffset>
            </wp:positionV>
            <wp:extent cx="3128010" cy="2028190"/>
            <wp:effectExtent l="0" t="0" r="0" b="0"/>
            <wp:wrapSquare wrapText="bothSides"/>
            <wp:docPr id="2071847601" name="Picture 1" descr="⚡ The Rise of the 'Magnificent 7' - by App Economy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The Rise of the 'Magnificent 7' - by App Economy Insights"/>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5327" t="4856" r="5948"/>
                    <a:stretch>
                      <a:fillRect/>
                    </a:stretch>
                  </pic:blipFill>
                  <pic:spPr bwMode="auto">
                    <a:xfrm>
                      <a:off x="0" y="0"/>
                      <a:ext cx="3128010" cy="20281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6F46ED" w14:textId="77777777" w:rsidR="00B506C9" w:rsidRDefault="00B506C9" w:rsidP="002972AF">
      <w:pPr>
        <w:jc w:val="both"/>
        <w:rPr>
          <w:lang w:eastAsia="en-IN"/>
        </w:rPr>
      </w:pPr>
    </w:p>
    <w:p w14:paraId="09C739EC" w14:textId="6CEA2EA4" w:rsidR="00A83ADF" w:rsidRDefault="0074739C" w:rsidP="002972AF">
      <w:pPr>
        <w:jc w:val="both"/>
        <w:rPr>
          <w:lang w:eastAsia="en-IN"/>
        </w:rPr>
      </w:pPr>
      <w:r>
        <w:rPr>
          <w:lang w:eastAsia="en-IN"/>
        </w:rPr>
        <w:t>28% of the current US market</w:t>
      </w:r>
      <w:r w:rsidR="000411D5">
        <w:rPr>
          <w:lang w:eastAsia="en-IN"/>
        </w:rPr>
        <w:t xml:space="preserve"> is dominated by 7 stocks known as the magnificent 7</w:t>
      </w:r>
      <w:r w:rsidR="0048473B">
        <w:rPr>
          <w:lang w:eastAsia="en-IN"/>
        </w:rPr>
        <w:t xml:space="preserve">. </w:t>
      </w:r>
      <w:r w:rsidR="00D740F7">
        <w:rPr>
          <w:lang w:eastAsia="en-IN"/>
        </w:rPr>
        <w:t>This makes the market</w:t>
      </w:r>
      <w:r w:rsidR="00DC5514">
        <w:rPr>
          <w:lang w:eastAsia="en-IN"/>
        </w:rPr>
        <w:t xml:space="preserve"> more susceptible to changes in the</w:t>
      </w:r>
      <w:r w:rsidR="001858C6">
        <w:rPr>
          <w:lang w:eastAsia="en-IN"/>
        </w:rPr>
        <w:t>se</w:t>
      </w:r>
      <w:r w:rsidR="00DC5514">
        <w:rPr>
          <w:lang w:eastAsia="en-IN"/>
        </w:rPr>
        <w:t xml:space="preserve"> companies</w:t>
      </w:r>
      <w:r w:rsidR="00FB361C">
        <w:rPr>
          <w:lang w:eastAsia="en-IN"/>
        </w:rPr>
        <w:t>.</w:t>
      </w:r>
      <w:r w:rsidR="004410D1">
        <w:rPr>
          <w:lang w:eastAsia="en-IN"/>
        </w:rPr>
        <w:t xml:space="preserve"> </w:t>
      </w:r>
      <w:r w:rsidR="00867595">
        <w:rPr>
          <w:lang w:eastAsia="en-IN"/>
        </w:rPr>
        <w:t>The</w:t>
      </w:r>
      <w:r w:rsidR="00615E2F">
        <w:rPr>
          <w:lang w:eastAsia="en-IN"/>
        </w:rPr>
        <w:t xml:space="preserve"> growth is primarily driven by Nvidia due to demand for its semiconductor chips due to the AI demand</w:t>
      </w:r>
      <w:r w:rsidR="00FD7232">
        <w:rPr>
          <w:lang w:eastAsia="en-IN"/>
        </w:rPr>
        <w:t xml:space="preserve">. </w:t>
      </w:r>
      <w:r w:rsidR="00426AE1">
        <w:rPr>
          <w:lang w:eastAsia="en-IN"/>
        </w:rPr>
        <w:t>4 of 7 companies spent $400 billion on CAPEX</w:t>
      </w:r>
      <w:r w:rsidR="006F5F1E">
        <w:rPr>
          <w:lang w:eastAsia="en-IN"/>
        </w:rPr>
        <w:t xml:space="preserve"> took on </w:t>
      </w:r>
      <w:r w:rsidR="00337C64">
        <w:rPr>
          <w:lang w:eastAsia="en-IN"/>
        </w:rPr>
        <w:t>108</w:t>
      </w:r>
      <w:r w:rsidR="00F47C0A">
        <w:rPr>
          <w:lang w:eastAsia="en-IN"/>
        </w:rPr>
        <w:t xml:space="preserve"> billion in debt 2025 driving 90% of capex</w:t>
      </w:r>
      <w:r w:rsidR="00A004D2">
        <w:rPr>
          <w:lang w:eastAsia="en-IN"/>
        </w:rPr>
        <w:t xml:space="preserve">, 80% of earnings growth </w:t>
      </w:r>
      <w:r w:rsidR="008C0A45">
        <w:rPr>
          <w:lang w:eastAsia="en-IN"/>
        </w:rPr>
        <w:t>since the launch of ChatGPT (</w:t>
      </w:r>
      <w:r w:rsidR="008C0A45" w:rsidRPr="008C0A45">
        <w:rPr>
          <w:lang w:eastAsia="en-IN"/>
        </w:rPr>
        <w:t>Bloomberg News, 2025)</w:t>
      </w:r>
      <w:r w:rsidR="008C0A45">
        <w:rPr>
          <w:lang w:eastAsia="en-IN"/>
        </w:rPr>
        <w:t>.</w:t>
      </w:r>
      <w:r w:rsidR="00427160">
        <w:rPr>
          <w:lang w:eastAsia="en-IN"/>
        </w:rPr>
        <w:t xml:space="preserve"> </w:t>
      </w:r>
    </w:p>
    <w:p w14:paraId="17C3431B" w14:textId="4D8368B1" w:rsidR="00AF6C30" w:rsidRPr="00BE5338" w:rsidRDefault="00AF6C30" w:rsidP="002972AF">
      <w:pPr>
        <w:jc w:val="both"/>
        <w:rPr>
          <w:b/>
          <w:bCs/>
          <w:sz w:val="28"/>
          <w:szCs w:val="28"/>
          <w:lang w:eastAsia="en-IN"/>
        </w:rPr>
      </w:pPr>
      <w:r w:rsidRPr="00BE5338">
        <w:rPr>
          <w:b/>
          <w:bCs/>
          <w:sz w:val="28"/>
          <w:szCs w:val="28"/>
          <w:lang w:eastAsia="en-IN"/>
        </w:rPr>
        <w:t xml:space="preserve">Factors Driving </w:t>
      </w:r>
      <w:r w:rsidR="00FA1132">
        <w:rPr>
          <w:b/>
          <w:bCs/>
          <w:sz w:val="28"/>
          <w:szCs w:val="28"/>
          <w:lang w:eastAsia="en-IN"/>
        </w:rPr>
        <w:t>S&amp;P 500 returns</w:t>
      </w:r>
    </w:p>
    <w:p w14:paraId="24B12669" w14:textId="203D057C" w:rsidR="00B61FBC" w:rsidRPr="00560701" w:rsidRDefault="007D26F6" w:rsidP="002972AF">
      <w:pPr>
        <w:pStyle w:val="ListParagraph"/>
        <w:numPr>
          <w:ilvl w:val="0"/>
          <w:numId w:val="7"/>
        </w:numPr>
        <w:jc w:val="both"/>
        <w:rPr>
          <w:b/>
          <w:bCs/>
        </w:rPr>
      </w:pPr>
      <w:r w:rsidRPr="00BE5338">
        <w:rPr>
          <w:b/>
          <w:bCs/>
        </w:rPr>
        <w:t>AI</w:t>
      </w:r>
      <w:r w:rsidR="00BE5338">
        <w:rPr>
          <w:b/>
          <w:bCs/>
        </w:rPr>
        <w:t xml:space="preserve"> and Tech Dominance</w:t>
      </w:r>
      <w:r w:rsidR="00FA1132">
        <w:rPr>
          <w:b/>
          <w:bCs/>
        </w:rPr>
        <w:t xml:space="preserve"> easing</w:t>
      </w:r>
      <w:r w:rsidR="00BE5338">
        <w:t xml:space="preserve">- </w:t>
      </w:r>
      <w:r w:rsidR="00423BD1">
        <w:t xml:space="preserve">S&amp;P 500 is currently being driven by </w:t>
      </w:r>
      <w:r w:rsidR="00A034F1">
        <w:t>AI and tech sector</w:t>
      </w:r>
      <w:r w:rsidR="00FA1132">
        <w:t xml:space="preserve"> </w:t>
      </w:r>
      <w:r w:rsidR="000A0709">
        <w:t xml:space="preserve">however their influence is easing. Mag 7 contributed 63% of returns </w:t>
      </w:r>
      <w:r w:rsidR="001C4E54">
        <w:t>in 2023 but now contribute around 43% in 2025.</w:t>
      </w:r>
      <w:r w:rsidR="00560701">
        <w:t xml:space="preserve"> Profit growth is also widening in sectors like financials, utilities materials.</w:t>
      </w:r>
    </w:p>
    <w:p w14:paraId="13C9FB12" w14:textId="5701B25D" w:rsidR="00560701" w:rsidRPr="00FD21CA" w:rsidRDefault="00FD21CA" w:rsidP="002972AF">
      <w:pPr>
        <w:pStyle w:val="ListParagraph"/>
        <w:numPr>
          <w:ilvl w:val="0"/>
          <w:numId w:val="7"/>
        </w:numPr>
        <w:jc w:val="both"/>
        <w:rPr>
          <w:b/>
          <w:bCs/>
        </w:rPr>
      </w:pPr>
      <w:r>
        <w:rPr>
          <w:b/>
          <w:bCs/>
        </w:rPr>
        <w:t xml:space="preserve">Resilient market despite </w:t>
      </w:r>
      <w:r w:rsidR="0037054A">
        <w:rPr>
          <w:b/>
          <w:bCs/>
        </w:rPr>
        <w:t>Volatil</w:t>
      </w:r>
      <w:r w:rsidR="009918AE">
        <w:rPr>
          <w:b/>
          <w:bCs/>
        </w:rPr>
        <w:t>ity</w:t>
      </w:r>
      <w:r w:rsidR="009918AE">
        <w:t xml:space="preserve">- even though volatility increased over the past 2 years to 19.6, it is still below </w:t>
      </w:r>
      <w:r>
        <w:t>long-term average of 20.2 indicating resilient markets</w:t>
      </w:r>
      <w:r w:rsidR="00DE136E">
        <w:t>.</w:t>
      </w:r>
    </w:p>
    <w:p w14:paraId="6D7958DF" w14:textId="21F07FEE" w:rsidR="00D606CA" w:rsidRPr="003C2A90" w:rsidRDefault="00880F8B" w:rsidP="002972AF">
      <w:pPr>
        <w:pStyle w:val="ListParagraph"/>
        <w:numPr>
          <w:ilvl w:val="0"/>
          <w:numId w:val="7"/>
        </w:numPr>
        <w:jc w:val="both"/>
        <w:rPr>
          <w:b/>
          <w:bCs/>
        </w:rPr>
      </w:pPr>
      <w:r>
        <w:rPr>
          <w:b/>
          <w:bCs/>
        </w:rPr>
        <w:t>Bond Yield Stability</w:t>
      </w:r>
      <w:r>
        <w:t xml:space="preserve">- US 10 Year treasury yields have mostly remained stable. With </w:t>
      </w:r>
      <w:r w:rsidR="009C2CC7">
        <w:t>stronger growth expectation primarily driven by AI boom</w:t>
      </w:r>
      <w:r w:rsidR="00784089">
        <w:t>, stock returns are expected to rise.</w:t>
      </w:r>
    </w:p>
    <w:p w14:paraId="1D417DDA" w14:textId="5F4AE360" w:rsidR="00CE475D" w:rsidRPr="00992E03" w:rsidRDefault="003C2A90" w:rsidP="002972AF">
      <w:pPr>
        <w:pStyle w:val="ListParagraph"/>
        <w:numPr>
          <w:ilvl w:val="0"/>
          <w:numId w:val="7"/>
        </w:numPr>
        <w:jc w:val="both"/>
        <w:rPr>
          <w:b/>
          <w:bCs/>
        </w:rPr>
      </w:pPr>
      <w:r>
        <w:rPr>
          <w:b/>
          <w:bCs/>
        </w:rPr>
        <w:t>Earnings driven Growth</w:t>
      </w:r>
      <w:r w:rsidR="00082532">
        <w:t xml:space="preserve">- </w:t>
      </w:r>
      <w:r w:rsidR="0025058C">
        <w:t xml:space="preserve">An increasing share of </w:t>
      </w:r>
      <w:r w:rsidR="00F1206A">
        <w:t>earnings-based</w:t>
      </w:r>
      <w:r w:rsidR="00995B6F">
        <w:t xml:space="preserve"> growth reduces chances of a bubble forming and </w:t>
      </w:r>
      <w:r w:rsidR="00F1206A">
        <w:t>aligns price appreciation with corporate performance</w:t>
      </w:r>
      <w:r w:rsidR="00A51FEE">
        <w:t xml:space="preserve"> making future return</w:t>
      </w:r>
      <w:r w:rsidR="00D120C2">
        <w:t>s more predictable and less sentiment driven. This means that the market is resting more on fundamental strength and not just optimist</w:t>
      </w:r>
      <w:r w:rsidR="00DE136E">
        <w:t>ic sentiment.</w:t>
      </w:r>
    </w:p>
    <w:p w14:paraId="7944F09F" w14:textId="4AADFCF0" w:rsidR="00992E03" w:rsidRPr="00D120C2" w:rsidRDefault="00E25D49" w:rsidP="002972AF">
      <w:pPr>
        <w:pStyle w:val="ListParagraph"/>
        <w:numPr>
          <w:ilvl w:val="0"/>
          <w:numId w:val="7"/>
        </w:numPr>
        <w:jc w:val="both"/>
        <w:rPr>
          <w:b/>
          <w:bCs/>
        </w:rPr>
      </w:pPr>
      <w:r w:rsidRPr="00CE475D">
        <w:rPr>
          <w:noProof/>
        </w:rPr>
        <w:lastRenderedPageBreak/>
        <w:drawing>
          <wp:anchor distT="0" distB="0" distL="114300" distR="114300" simplePos="0" relativeHeight="251663872" behindDoc="0" locked="0" layoutInCell="1" allowOverlap="1" wp14:anchorId="27E502B0" wp14:editId="019B0AF9">
            <wp:simplePos x="0" y="0"/>
            <wp:positionH relativeFrom="column">
              <wp:posOffset>-129048</wp:posOffset>
            </wp:positionH>
            <wp:positionV relativeFrom="paragraph">
              <wp:posOffset>558738</wp:posOffset>
            </wp:positionV>
            <wp:extent cx="3242310" cy="2627630"/>
            <wp:effectExtent l="0" t="0" r="0" b="1270"/>
            <wp:wrapSquare wrapText="bothSides"/>
            <wp:docPr id="146218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8048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42310" cy="2627630"/>
                    </a:xfrm>
                    <a:prstGeom prst="rect">
                      <a:avLst/>
                    </a:prstGeom>
                  </pic:spPr>
                </pic:pic>
              </a:graphicData>
            </a:graphic>
            <wp14:sizeRelH relativeFrom="page">
              <wp14:pctWidth>0</wp14:pctWidth>
            </wp14:sizeRelH>
            <wp14:sizeRelV relativeFrom="page">
              <wp14:pctHeight>0</wp14:pctHeight>
            </wp14:sizeRelV>
          </wp:anchor>
        </w:drawing>
      </w:r>
      <w:r w:rsidR="00B506C9" w:rsidRPr="00CE0BCF">
        <w:rPr>
          <w:b/>
          <w:bCs/>
          <w:noProof/>
          <w:sz w:val="28"/>
          <w:szCs w:val="28"/>
        </w:rPr>
        <w:drawing>
          <wp:anchor distT="0" distB="0" distL="114300" distR="114300" simplePos="0" relativeHeight="251664896" behindDoc="0" locked="0" layoutInCell="1" allowOverlap="1" wp14:anchorId="31BFCB92" wp14:editId="7B2DC181">
            <wp:simplePos x="0" y="0"/>
            <wp:positionH relativeFrom="column">
              <wp:posOffset>3110865</wp:posOffset>
            </wp:positionH>
            <wp:positionV relativeFrom="paragraph">
              <wp:posOffset>612140</wp:posOffset>
            </wp:positionV>
            <wp:extent cx="3027045" cy="2574925"/>
            <wp:effectExtent l="0" t="0" r="1905" b="0"/>
            <wp:wrapSquare wrapText="bothSides"/>
            <wp:docPr id="64885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53569" name=""/>
                    <pic:cNvPicPr/>
                  </pic:nvPicPr>
                  <pic:blipFill>
                    <a:blip r:embed="rId18">
                      <a:extLst>
                        <a:ext uri="{28A0092B-C50C-407E-A947-70E740481C1C}">
                          <a14:useLocalDpi xmlns:a14="http://schemas.microsoft.com/office/drawing/2010/main" val="0"/>
                        </a:ext>
                      </a:extLst>
                    </a:blip>
                    <a:stretch>
                      <a:fillRect/>
                    </a:stretch>
                  </pic:blipFill>
                  <pic:spPr>
                    <a:xfrm>
                      <a:off x="0" y="0"/>
                      <a:ext cx="3027045" cy="2574925"/>
                    </a:xfrm>
                    <a:prstGeom prst="rect">
                      <a:avLst/>
                    </a:prstGeom>
                  </pic:spPr>
                </pic:pic>
              </a:graphicData>
            </a:graphic>
            <wp14:sizeRelH relativeFrom="page">
              <wp14:pctWidth>0</wp14:pctWidth>
            </wp14:sizeRelH>
            <wp14:sizeRelV relativeFrom="page">
              <wp14:pctHeight>0</wp14:pctHeight>
            </wp14:sizeRelV>
          </wp:anchor>
        </w:drawing>
      </w:r>
      <w:r w:rsidR="004242A8">
        <w:rPr>
          <w:b/>
          <w:bCs/>
        </w:rPr>
        <w:t>Interest</w:t>
      </w:r>
      <w:r w:rsidR="00D62A61">
        <w:rPr>
          <w:b/>
          <w:bCs/>
        </w:rPr>
        <w:t xml:space="preserve"> Rates</w:t>
      </w:r>
      <w:r w:rsidR="00D62A61">
        <w:t>-</w:t>
      </w:r>
      <w:r w:rsidR="00675A81">
        <w:t xml:space="preserve"> Fed rate cuts</w:t>
      </w:r>
      <w:r w:rsidR="000012AC">
        <w:t xml:space="preserve"> lower discount rates</w:t>
      </w:r>
      <w:r w:rsidR="00184685">
        <w:t xml:space="preserve"> leading to higher valuations</w:t>
      </w:r>
      <w:r w:rsidR="005D4642">
        <w:t xml:space="preserve"> leading to higher </w:t>
      </w:r>
      <w:r w:rsidR="00542A00">
        <w:t>S&amp;P 500 returns</w:t>
      </w:r>
      <w:r w:rsidR="00184685">
        <w:t>.</w:t>
      </w:r>
      <w:r w:rsidR="00212BFE">
        <w:t xml:space="preserve"> </w:t>
      </w:r>
    </w:p>
    <w:p w14:paraId="0976CB04" w14:textId="1222589B" w:rsidR="00CE475D" w:rsidRDefault="00CE475D" w:rsidP="002972AF">
      <w:pPr>
        <w:jc w:val="both"/>
        <w:rPr>
          <w:b/>
          <w:bCs/>
          <w:sz w:val="28"/>
          <w:szCs w:val="28"/>
        </w:rPr>
      </w:pPr>
    </w:p>
    <w:p w14:paraId="4E409BD3" w14:textId="72FEAA3D" w:rsidR="00F30BC1" w:rsidRDefault="00F30BC1" w:rsidP="002972AF">
      <w:pPr>
        <w:jc w:val="both"/>
        <w:rPr>
          <w:b/>
          <w:bCs/>
          <w:sz w:val="28"/>
          <w:szCs w:val="28"/>
        </w:rPr>
      </w:pPr>
      <w:r w:rsidRPr="00315ABD">
        <w:rPr>
          <w:b/>
          <w:bCs/>
          <w:sz w:val="28"/>
          <w:szCs w:val="28"/>
        </w:rPr>
        <w:t>U</w:t>
      </w:r>
      <w:r>
        <w:rPr>
          <w:b/>
          <w:bCs/>
          <w:sz w:val="28"/>
          <w:szCs w:val="28"/>
        </w:rPr>
        <w:t xml:space="preserve">K </w:t>
      </w:r>
      <w:r w:rsidRPr="00315ABD">
        <w:rPr>
          <w:b/>
          <w:bCs/>
          <w:sz w:val="28"/>
          <w:szCs w:val="28"/>
        </w:rPr>
        <w:t>Stock Market Valuation</w:t>
      </w:r>
    </w:p>
    <w:p w14:paraId="0B41513C" w14:textId="6B1D932F" w:rsidR="00AE2A18" w:rsidRDefault="00B61FBC" w:rsidP="002972AF">
      <w:pPr>
        <w:jc w:val="both"/>
        <w:rPr>
          <w:lang w:eastAsia="en-IN"/>
        </w:rPr>
      </w:pPr>
      <w:r>
        <w:rPr>
          <w:lang w:eastAsia="en-IN"/>
        </w:rPr>
        <w:t>The UK st</w:t>
      </w:r>
      <w:r w:rsidR="006C02A7">
        <w:rPr>
          <w:lang w:eastAsia="en-IN"/>
        </w:rPr>
        <w:t>o</w:t>
      </w:r>
      <w:r>
        <w:rPr>
          <w:lang w:eastAsia="en-IN"/>
        </w:rPr>
        <w:t xml:space="preserve">ck market </w:t>
      </w:r>
      <w:r w:rsidR="00973F92">
        <w:rPr>
          <w:lang w:eastAsia="en-IN"/>
        </w:rPr>
        <w:t>does not have publicly available data</w:t>
      </w:r>
      <w:r w:rsidR="00887A22">
        <w:rPr>
          <w:lang w:eastAsia="en-IN"/>
        </w:rPr>
        <w:t xml:space="preserve"> to calculate Q. Hence</w:t>
      </w:r>
      <w:r w:rsidR="007224A3">
        <w:rPr>
          <w:lang w:eastAsia="en-IN"/>
        </w:rPr>
        <w:t>,</w:t>
      </w:r>
      <w:r w:rsidR="00887A22">
        <w:rPr>
          <w:lang w:eastAsia="en-IN"/>
        </w:rPr>
        <w:t xml:space="preserve"> we will </w:t>
      </w:r>
      <w:r w:rsidR="00960B0E">
        <w:rPr>
          <w:lang w:eastAsia="en-IN"/>
        </w:rPr>
        <w:t>use</w:t>
      </w:r>
      <w:r w:rsidR="0015105C">
        <w:rPr>
          <w:lang w:eastAsia="en-IN"/>
        </w:rPr>
        <w:t xml:space="preserve"> </w:t>
      </w:r>
      <w:r w:rsidR="004D3236">
        <w:rPr>
          <w:lang w:eastAsia="en-IN"/>
        </w:rPr>
        <w:t xml:space="preserve">Price to Fair Value by Morningstar is selected as closest available </w:t>
      </w:r>
      <w:r w:rsidR="00A02123">
        <w:rPr>
          <w:lang w:eastAsia="en-IN"/>
        </w:rPr>
        <w:t xml:space="preserve">valuation </w:t>
      </w:r>
      <w:r w:rsidR="004D3236">
        <w:rPr>
          <w:lang w:eastAsia="en-IN"/>
        </w:rPr>
        <w:t>proxy</w:t>
      </w:r>
      <w:r w:rsidR="001D4DC1">
        <w:rPr>
          <w:lang w:eastAsia="en-IN"/>
        </w:rPr>
        <w:t xml:space="preserve"> </w:t>
      </w:r>
      <w:r w:rsidR="001D4DC1" w:rsidRPr="001D4DC1">
        <w:rPr>
          <w:lang w:eastAsia="en-IN"/>
        </w:rPr>
        <w:t>(Morningstar, 2025)</w:t>
      </w:r>
      <w:r w:rsidR="00A02123">
        <w:rPr>
          <w:lang w:eastAsia="en-IN"/>
        </w:rPr>
        <w:t>.</w:t>
      </w:r>
    </w:p>
    <w:p w14:paraId="49DC0704" w14:textId="339BB241" w:rsidR="00A02123" w:rsidRDefault="00A02123" w:rsidP="002972AF">
      <w:pPr>
        <w:jc w:val="both"/>
        <w:rPr>
          <w:lang w:eastAsia="en-IN"/>
        </w:rPr>
      </w:pPr>
      <w:r w:rsidRPr="00A02123">
        <w:rPr>
          <w:noProof/>
          <w:lang w:eastAsia="en-IN"/>
        </w:rPr>
        <w:drawing>
          <wp:inline distT="0" distB="0" distL="0" distR="0" wp14:anchorId="77124280" wp14:editId="44381F0B">
            <wp:extent cx="5731510" cy="2999740"/>
            <wp:effectExtent l="0" t="0" r="2540" b="0"/>
            <wp:docPr id="34873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33264" name=""/>
                    <pic:cNvPicPr/>
                  </pic:nvPicPr>
                  <pic:blipFill>
                    <a:blip r:embed="rId19"/>
                    <a:stretch>
                      <a:fillRect/>
                    </a:stretch>
                  </pic:blipFill>
                  <pic:spPr>
                    <a:xfrm>
                      <a:off x="0" y="0"/>
                      <a:ext cx="5731510" cy="2999740"/>
                    </a:xfrm>
                    <a:prstGeom prst="rect">
                      <a:avLst/>
                    </a:prstGeom>
                  </pic:spPr>
                </pic:pic>
              </a:graphicData>
            </a:graphic>
          </wp:inline>
        </w:drawing>
      </w:r>
    </w:p>
    <w:p w14:paraId="79B7F0E5" w14:textId="258D3D8D" w:rsidR="00EB1E9B" w:rsidRDefault="00EB1E9B" w:rsidP="002972AF">
      <w:pPr>
        <w:jc w:val="both"/>
        <w:rPr>
          <w:lang w:eastAsia="en-IN"/>
        </w:rPr>
      </w:pPr>
      <w:r>
        <w:rPr>
          <w:lang w:eastAsia="en-IN"/>
        </w:rPr>
        <w:t>The UK stock market is undervalued at 0.92</w:t>
      </w:r>
      <w:r w:rsidR="002C4B7F">
        <w:rPr>
          <w:lang w:eastAsia="en-IN"/>
        </w:rPr>
        <w:t xml:space="preserve"> making UK market attractive than the US market due to st</w:t>
      </w:r>
      <w:r w:rsidR="00EC0880">
        <w:rPr>
          <w:lang w:eastAsia="en-IN"/>
        </w:rPr>
        <w:t>e</w:t>
      </w:r>
      <w:r w:rsidR="002C4B7F">
        <w:rPr>
          <w:lang w:eastAsia="en-IN"/>
        </w:rPr>
        <w:t xml:space="preserve">ep valuations in the US market. </w:t>
      </w:r>
      <w:r w:rsidR="00EC0880">
        <w:rPr>
          <w:lang w:eastAsia="en-IN"/>
        </w:rPr>
        <w:t xml:space="preserve">The buffer indicator </w:t>
      </w:r>
      <w:r w:rsidR="00663667">
        <w:rPr>
          <w:lang w:eastAsia="en-IN"/>
        </w:rPr>
        <w:t>calls the measure as fairly valued.</w:t>
      </w:r>
    </w:p>
    <w:p w14:paraId="31D8B0FF" w14:textId="4080BADB" w:rsidR="006A40A9" w:rsidRDefault="00995329" w:rsidP="002972AF">
      <w:pPr>
        <w:jc w:val="both"/>
        <w:rPr>
          <w:lang w:eastAsia="en-IN"/>
        </w:rPr>
      </w:pPr>
      <w:r>
        <w:rPr>
          <w:lang w:eastAsia="en-IN"/>
        </w:rPr>
        <w:lastRenderedPageBreak/>
        <w:t xml:space="preserve"> </w:t>
      </w:r>
      <w:r w:rsidR="008900A9" w:rsidRPr="008900A9">
        <w:rPr>
          <w:noProof/>
          <w:lang w:eastAsia="en-IN"/>
        </w:rPr>
        <w:drawing>
          <wp:anchor distT="0" distB="0" distL="114300" distR="114300" simplePos="0" relativeHeight="251660800" behindDoc="0" locked="0" layoutInCell="1" allowOverlap="1" wp14:anchorId="6E90C392" wp14:editId="5391BEFF">
            <wp:simplePos x="0" y="0"/>
            <wp:positionH relativeFrom="column">
              <wp:posOffset>38100</wp:posOffset>
            </wp:positionH>
            <wp:positionV relativeFrom="paragraph">
              <wp:posOffset>0</wp:posOffset>
            </wp:positionV>
            <wp:extent cx="5648960" cy="3048000"/>
            <wp:effectExtent l="0" t="0" r="8890" b="0"/>
            <wp:wrapSquare wrapText="bothSides"/>
            <wp:docPr id="144584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42049" name=""/>
                    <pic:cNvPicPr/>
                  </pic:nvPicPr>
                  <pic:blipFill>
                    <a:blip r:embed="rId20">
                      <a:extLst>
                        <a:ext uri="{28A0092B-C50C-407E-A947-70E740481C1C}">
                          <a14:useLocalDpi xmlns:a14="http://schemas.microsoft.com/office/drawing/2010/main" val="0"/>
                        </a:ext>
                      </a:extLst>
                    </a:blip>
                    <a:stretch>
                      <a:fillRect/>
                    </a:stretch>
                  </pic:blipFill>
                  <pic:spPr>
                    <a:xfrm>
                      <a:off x="0" y="0"/>
                      <a:ext cx="5648960" cy="3048000"/>
                    </a:xfrm>
                    <a:prstGeom prst="rect">
                      <a:avLst/>
                    </a:prstGeom>
                  </pic:spPr>
                </pic:pic>
              </a:graphicData>
            </a:graphic>
            <wp14:sizeRelH relativeFrom="page">
              <wp14:pctWidth>0</wp14:pctWidth>
            </wp14:sizeRelH>
            <wp14:sizeRelV relativeFrom="page">
              <wp14:pctHeight>0</wp14:pctHeight>
            </wp14:sizeRelV>
          </wp:anchor>
        </w:drawing>
      </w:r>
    </w:p>
    <w:p w14:paraId="0C553A40" w14:textId="69505B91" w:rsidR="00F30C2A" w:rsidRDefault="000C642C" w:rsidP="002972AF">
      <w:pPr>
        <w:jc w:val="both"/>
        <w:rPr>
          <w:lang w:eastAsia="en-IN"/>
        </w:rPr>
      </w:pPr>
      <w:r>
        <w:rPr>
          <w:lang w:eastAsia="en-IN"/>
        </w:rPr>
        <w:t xml:space="preserve">Market breadth analysis </w:t>
      </w:r>
      <w:r w:rsidR="0068478D">
        <w:rPr>
          <w:lang w:eastAsia="en-IN"/>
        </w:rPr>
        <w:t>shows that market</w:t>
      </w:r>
      <w:r w:rsidR="00EF3A0B">
        <w:rPr>
          <w:lang w:eastAsia="en-IN"/>
        </w:rPr>
        <w:t xml:space="preserve"> is dominated by </w:t>
      </w:r>
      <w:r w:rsidR="00F61D24">
        <w:rPr>
          <w:lang w:eastAsia="en-IN"/>
        </w:rPr>
        <w:t>financials, commodities and consumer staples rather than tech dominance in the USA</w:t>
      </w:r>
      <w:r w:rsidR="000A68E7">
        <w:rPr>
          <w:lang w:eastAsia="en-IN"/>
        </w:rPr>
        <w:t xml:space="preserve"> </w:t>
      </w:r>
      <w:r w:rsidR="00A57AB4">
        <w:rPr>
          <w:lang w:eastAsia="en-IN"/>
        </w:rPr>
        <w:t>with FTSE 100’s returns just as varied across sectors.</w:t>
      </w:r>
      <w:r w:rsidR="00E86914">
        <w:rPr>
          <w:lang w:eastAsia="en-IN"/>
        </w:rPr>
        <w:t xml:space="preserve"> </w:t>
      </w:r>
    </w:p>
    <w:p w14:paraId="4DAE6402" w14:textId="69704E8B" w:rsidR="00E86914" w:rsidRPr="00AE2A18" w:rsidRDefault="0096408D" w:rsidP="002972AF">
      <w:pPr>
        <w:jc w:val="both"/>
        <w:rPr>
          <w:lang w:eastAsia="en-IN"/>
        </w:rPr>
      </w:pPr>
      <w:r w:rsidRPr="00BA1466">
        <w:rPr>
          <w:noProof/>
          <w:lang w:eastAsia="en-IN"/>
        </w:rPr>
        <w:drawing>
          <wp:anchor distT="0" distB="0" distL="114300" distR="114300" simplePos="0" relativeHeight="251653632" behindDoc="0" locked="0" layoutInCell="1" allowOverlap="1" wp14:anchorId="5E51D0A9" wp14:editId="3F8FE0B4">
            <wp:simplePos x="0" y="0"/>
            <wp:positionH relativeFrom="column">
              <wp:posOffset>45720</wp:posOffset>
            </wp:positionH>
            <wp:positionV relativeFrom="paragraph">
              <wp:posOffset>749935</wp:posOffset>
            </wp:positionV>
            <wp:extent cx="5652770" cy="3488055"/>
            <wp:effectExtent l="0" t="0" r="5080" b="0"/>
            <wp:wrapSquare wrapText="bothSides"/>
            <wp:docPr id="152502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2334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52770" cy="3488055"/>
                    </a:xfrm>
                    <a:prstGeom prst="rect">
                      <a:avLst/>
                    </a:prstGeom>
                  </pic:spPr>
                </pic:pic>
              </a:graphicData>
            </a:graphic>
            <wp14:sizeRelH relativeFrom="page">
              <wp14:pctWidth>0</wp14:pctWidth>
            </wp14:sizeRelH>
            <wp14:sizeRelV relativeFrom="page">
              <wp14:pctHeight>0</wp14:pctHeight>
            </wp14:sizeRelV>
          </wp:anchor>
        </w:drawing>
      </w:r>
      <w:r w:rsidR="00E86914">
        <w:rPr>
          <w:lang w:eastAsia="en-IN"/>
        </w:rPr>
        <w:t>FTSE is above the 200-day moving average signalling for further upward movement.</w:t>
      </w:r>
      <w:r w:rsidR="00603DC2">
        <w:rPr>
          <w:lang w:eastAsia="en-IN"/>
        </w:rPr>
        <w:t xml:space="preserve"> </w:t>
      </w:r>
      <w:r w:rsidR="00F30C2A">
        <w:rPr>
          <w:lang w:eastAsia="en-IN"/>
        </w:rPr>
        <w:t>Furthermore</w:t>
      </w:r>
      <w:r w:rsidR="00020167">
        <w:rPr>
          <w:lang w:eastAsia="en-IN"/>
        </w:rPr>
        <w:t>,</w:t>
      </w:r>
      <w:r w:rsidR="00F30C2A">
        <w:rPr>
          <w:lang w:eastAsia="en-IN"/>
        </w:rPr>
        <w:t xml:space="preserve"> the P/E ratio</w:t>
      </w:r>
      <w:r w:rsidR="00CD61F4">
        <w:rPr>
          <w:lang w:eastAsia="en-IN"/>
        </w:rPr>
        <w:t xml:space="preserve"> is</w:t>
      </w:r>
      <w:r w:rsidR="00020167">
        <w:rPr>
          <w:lang w:eastAsia="en-IN"/>
        </w:rPr>
        <w:t xml:space="preserve"> 14.87 </w:t>
      </w:r>
      <w:r w:rsidR="00F30C2A">
        <w:rPr>
          <w:lang w:eastAsia="en-IN"/>
        </w:rPr>
        <w:t xml:space="preserve">and </w:t>
      </w:r>
      <w:r w:rsidR="00B23FA6">
        <w:rPr>
          <w:lang w:eastAsia="en-IN"/>
        </w:rPr>
        <w:t>CA</w:t>
      </w:r>
      <w:r w:rsidR="00CD61F4">
        <w:rPr>
          <w:lang w:eastAsia="en-IN"/>
        </w:rPr>
        <w:t>PE Ratio</w:t>
      </w:r>
      <w:r w:rsidR="00020167">
        <w:rPr>
          <w:lang w:eastAsia="en-IN"/>
        </w:rPr>
        <w:t xml:space="preserve"> is 20.19</w:t>
      </w:r>
      <w:r w:rsidR="00B62213">
        <w:rPr>
          <w:lang w:eastAsia="en-IN"/>
        </w:rPr>
        <w:t xml:space="preserve"> which is close to their average P/E ratio</w:t>
      </w:r>
      <w:r w:rsidR="00773AD5">
        <w:rPr>
          <w:lang w:eastAsia="en-IN"/>
        </w:rPr>
        <w:t xml:space="preserve"> of 15.67</w:t>
      </w:r>
      <w:r w:rsidR="00B62213">
        <w:rPr>
          <w:lang w:eastAsia="en-IN"/>
        </w:rPr>
        <w:t xml:space="preserve"> and CAPE</w:t>
      </w:r>
      <w:r w:rsidR="00773AD5">
        <w:rPr>
          <w:lang w:eastAsia="en-IN"/>
        </w:rPr>
        <w:t xml:space="preserve"> of 17</w:t>
      </w:r>
      <w:r w:rsidR="00B62213">
        <w:rPr>
          <w:lang w:eastAsia="en-IN"/>
        </w:rPr>
        <w:t xml:space="preserve"> indicating that</w:t>
      </w:r>
      <w:r w:rsidR="008823B5">
        <w:rPr>
          <w:lang w:eastAsia="en-IN"/>
        </w:rPr>
        <w:t xml:space="preserve"> FTSE is fairly valued</w:t>
      </w:r>
      <w:r w:rsidR="00773AD5">
        <w:rPr>
          <w:lang w:eastAsia="en-IN"/>
        </w:rPr>
        <w:t>.</w:t>
      </w:r>
    </w:p>
    <w:p w14:paraId="7406B1A1" w14:textId="2A3FB786" w:rsidR="00BA1466" w:rsidRDefault="00BA1466" w:rsidP="002972AF">
      <w:pPr>
        <w:jc w:val="both"/>
        <w:rPr>
          <w:lang w:eastAsia="en-IN"/>
        </w:rPr>
      </w:pPr>
    </w:p>
    <w:p w14:paraId="2FCE9CF3" w14:textId="71AA9F14" w:rsidR="00FF4133" w:rsidRDefault="00B506C9" w:rsidP="002972AF">
      <w:pPr>
        <w:jc w:val="both"/>
        <w:rPr>
          <w:lang w:eastAsia="en-IN"/>
        </w:rPr>
      </w:pPr>
      <w:r w:rsidRPr="00FF4133">
        <w:rPr>
          <w:noProof/>
          <w:lang w:eastAsia="en-IN"/>
        </w:rPr>
        <w:lastRenderedPageBreak/>
        <w:drawing>
          <wp:anchor distT="0" distB="0" distL="114300" distR="114300" simplePos="0" relativeHeight="251659776" behindDoc="0" locked="0" layoutInCell="1" allowOverlap="1" wp14:anchorId="521DC3B2" wp14:editId="37DCBC38">
            <wp:simplePos x="0" y="0"/>
            <wp:positionH relativeFrom="column">
              <wp:posOffset>0</wp:posOffset>
            </wp:positionH>
            <wp:positionV relativeFrom="paragraph">
              <wp:posOffset>762000</wp:posOffset>
            </wp:positionV>
            <wp:extent cx="5693410" cy="2367280"/>
            <wp:effectExtent l="0" t="0" r="2540" b="0"/>
            <wp:wrapSquare wrapText="bothSides"/>
            <wp:docPr id="76263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34332" name=""/>
                    <pic:cNvPicPr/>
                  </pic:nvPicPr>
                  <pic:blipFill>
                    <a:blip r:embed="rId22">
                      <a:extLst>
                        <a:ext uri="{28A0092B-C50C-407E-A947-70E740481C1C}">
                          <a14:useLocalDpi xmlns:a14="http://schemas.microsoft.com/office/drawing/2010/main" val="0"/>
                        </a:ext>
                      </a:extLst>
                    </a:blip>
                    <a:stretch>
                      <a:fillRect/>
                    </a:stretch>
                  </pic:blipFill>
                  <pic:spPr>
                    <a:xfrm>
                      <a:off x="0" y="0"/>
                      <a:ext cx="5693410" cy="2367280"/>
                    </a:xfrm>
                    <a:prstGeom prst="rect">
                      <a:avLst/>
                    </a:prstGeom>
                  </pic:spPr>
                </pic:pic>
              </a:graphicData>
            </a:graphic>
            <wp14:sizeRelH relativeFrom="page">
              <wp14:pctWidth>0</wp14:pctWidth>
            </wp14:sizeRelH>
            <wp14:sizeRelV relativeFrom="page">
              <wp14:pctHeight>0</wp14:pctHeight>
            </wp14:sizeRelV>
          </wp:anchor>
        </w:drawing>
      </w:r>
      <w:r w:rsidR="00FF4133">
        <w:rPr>
          <w:lang w:eastAsia="en-IN"/>
        </w:rPr>
        <w:t xml:space="preserve">The </w:t>
      </w:r>
      <w:r w:rsidR="00FC3345">
        <w:rPr>
          <w:lang w:eastAsia="en-IN"/>
        </w:rPr>
        <w:t xml:space="preserve">volatility of the index is at 10.96 </w:t>
      </w:r>
      <w:r w:rsidR="00066B06">
        <w:rPr>
          <w:lang w:eastAsia="en-IN"/>
        </w:rPr>
        <w:t>which is close to its mean</w:t>
      </w:r>
      <w:r w:rsidR="00F24ACC">
        <w:rPr>
          <w:lang w:eastAsia="en-IN"/>
        </w:rPr>
        <w:t xml:space="preserve"> indicating stable markets and no current market stress.</w:t>
      </w:r>
      <w:r w:rsidR="00A177C2">
        <w:rPr>
          <w:lang w:eastAsia="en-IN"/>
        </w:rPr>
        <w:t xml:space="preserve"> Moreover</w:t>
      </w:r>
      <w:r w:rsidR="00EA0C02">
        <w:rPr>
          <w:lang w:eastAsia="en-IN"/>
        </w:rPr>
        <w:t>,</w:t>
      </w:r>
      <w:r w:rsidR="00A177C2">
        <w:rPr>
          <w:lang w:eastAsia="en-IN"/>
        </w:rPr>
        <w:t xml:space="preserve"> </w:t>
      </w:r>
      <w:r w:rsidR="00030739">
        <w:rPr>
          <w:lang w:eastAsia="en-IN"/>
        </w:rPr>
        <w:t xml:space="preserve">the market valuation </w:t>
      </w:r>
      <w:r w:rsidR="00555323">
        <w:rPr>
          <w:lang w:eastAsia="en-IN"/>
        </w:rPr>
        <w:t>reveals the FTSE to be</w:t>
      </w:r>
      <w:r w:rsidR="00030739">
        <w:rPr>
          <w:lang w:eastAsia="en-IN"/>
        </w:rPr>
        <w:t xml:space="preserve"> undervalued</w:t>
      </w:r>
      <w:r w:rsidR="00555323">
        <w:rPr>
          <w:lang w:eastAsia="en-IN"/>
        </w:rPr>
        <w:t xml:space="preserve"> </w:t>
      </w:r>
      <w:r w:rsidR="00FE32D7">
        <w:rPr>
          <w:lang w:eastAsia="en-IN"/>
        </w:rPr>
        <w:t xml:space="preserve">which indicates </w:t>
      </w:r>
      <w:r w:rsidR="0038552F">
        <w:rPr>
          <w:lang w:eastAsia="en-IN"/>
        </w:rPr>
        <w:t>a higher potential for growth.</w:t>
      </w:r>
    </w:p>
    <w:p w14:paraId="50DE7D43" w14:textId="0686850B" w:rsidR="00FF4133" w:rsidRDefault="00FF4133" w:rsidP="002972AF">
      <w:pPr>
        <w:jc w:val="both"/>
        <w:rPr>
          <w:lang w:eastAsia="en-IN"/>
        </w:rPr>
      </w:pPr>
    </w:p>
    <w:p w14:paraId="7BBDE05E" w14:textId="7CEAAE86" w:rsidR="003B7B6C" w:rsidRDefault="003B7B6C" w:rsidP="002972AF">
      <w:pPr>
        <w:jc w:val="both"/>
        <w:rPr>
          <w:lang w:eastAsia="en-IN"/>
        </w:rPr>
      </w:pPr>
      <w:r w:rsidRPr="003B7B6C">
        <w:rPr>
          <w:lang w:eastAsia="en-IN"/>
        </w:rPr>
        <w:t>The 10</w:t>
      </w:r>
      <w:r w:rsidRPr="003B7B6C">
        <w:rPr>
          <w:rFonts w:ascii="Cambria Math" w:hAnsi="Cambria Math" w:cs="Cambria Math"/>
          <w:lang w:eastAsia="en-IN"/>
        </w:rPr>
        <w:t>‑</w:t>
      </w:r>
      <w:r w:rsidRPr="003B7B6C">
        <w:rPr>
          <w:lang w:eastAsia="en-IN"/>
        </w:rPr>
        <w:t>year gilt yield is currently 4.566%. Despite this relatively high risk</w:t>
      </w:r>
      <w:r w:rsidRPr="003B7B6C">
        <w:rPr>
          <w:rFonts w:ascii="Cambria Math" w:hAnsi="Cambria Math" w:cs="Cambria Math"/>
          <w:lang w:eastAsia="en-IN"/>
        </w:rPr>
        <w:t>‑</w:t>
      </w:r>
      <w:r w:rsidRPr="003B7B6C">
        <w:rPr>
          <w:lang w:eastAsia="en-IN"/>
        </w:rPr>
        <w:t>free rate, the FTSE still appears undervalued versus its long</w:t>
      </w:r>
      <w:r w:rsidRPr="003B7B6C">
        <w:rPr>
          <w:rFonts w:ascii="Cambria Math" w:hAnsi="Cambria Math" w:cs="Cambria Math"/>
          <w:lang w:eastAsia="en-IN"/>
        </w:rPr>
        <w:t>‑</w:t>
      </w:r>
      <w:r w:rsidRPr="003B7B6C">
        <w:rPr>
          <w:lang w:eastAsia="en-IN"/>
        </w:rPr>
        <w:t>run P/E and CAPE averages. However, any further</w:t>
      </w:r>
      <w:r>
        <w:rPr>
          <w:lang w:eastAsia="en-IN"/>
        </w:rPr>
        <w:t xml:space="preserve"> </w:t>
      </w:r>
      <w:r w:rsidR="00502803">
        <w:rPr>
          <w:lang w:eastAsia="en-IN"/>
        </w:rPr>
        <w:t>rise in gilt yields would put additional</w:t>
      </w:r>
      <w:r w:rsidR="00E114B3">
        <w:rPr>
          <w:lang w:eastAsia="en-IN"/>
        </w:rPr>
        <w:t xml:space="preserve"> downward pressure on equity valuations.</w:t>
      </w:r>
    </w:p>
    <w:p w14:paraId="2F40F59F" w14:textId="1908BD57" w:rsidR="005757B9" w:rsidRDefault="00EF6F01" w:rsidP="002972AF">
      <w:pPr>
        <w:jc w:val="both"/>
        <w:rPr>
          <w:lang w:eastAsia="en-IN"/>
        </w:rPr>
      </w:pPr>
      <w:r w:rsidRPr="00EF6F01">
        <w:rPr>
          <w:noProof/>
          <w:lang w:eastAsia="en-IN"/>
        </w:rPr>
        <w:drawing>
          <wp:inline distT="0" distB="0" distL="0" distR="0" wp14:anchorId="3104BBEA" wp14:editId="37C6B823">
            <wp:extent cx="5731510" cy="2538095"/>
            <wp:effectExtent l="0" t="0" r="2540" b="0"/>
            <wp:docPr id="65368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81082" name=""/>
                    <pic:cNvPicPr/>
                  </pic:nvPicPr>
                  <pic:blipFill>
                    <a:blip r:embed="rId23"/>
                    <a:stretch>
                      <a:fillRect/>
                    </a:stretch>
                  </pic:blipFill>
                  <pic:spPr>
                    <a:xfrm>
                      <a:off x="0" y="0"/>
                      <a:ext cx="5731510" cy="2538095"/>
                    </a:xfrm>
                    <a:prstGeom prst="rect">
                      <a:avLst/>
                    </a:prstGeom>
                  </pic:spPr>
                </pic:pic>
              </a:graphicData>
            </a:graphic>
          </wp:inline>
        </w:drawing>
      </w:r>
    </w:p>
    <w:p w14:paraId="067E57B4" w14:textId="74826965" w:rsidR="00215872" w:rsidRPr="00BE5338" w:rsidRDefault="00215872" w:rsidP="002972AF">
      <w:pPr>
        <w:jc w:val="both"/>
        <w:rPr>
          <w:b/>
          <w:bCs/>
          <w:sz w:val="28"/>
          <w:szCs w:val="28"/>
          <w:lang w:eastAsia="en-IN"/>
        </w:rPr>
      </w:pPr>
      <w:r w:rsidRPr="00BE5338">
        <w:rPr>
          <w:b/>
          <w:bCs/>
          <w:sz w:val="28"/>
          <w:szCs w:val="28"/>
          <w:lang w:eastAsia="en-IN"/>
        </w:rPr>
        <w:t xml:space="preserve">Factors Driving </w:t>
      </w:r>
      <w:r w:rsidR="00FC7182">
        <w:rPr>
          <w:b/>
          <w:bCs/>
          <w:sz w:val="28"/>
          <w:szCs w:val="28"/>
          <w:lang w:eastAsia="en-IN"/>
        </w:rPr>
        <w:t>FTSE</w:t>
      </w:r>
      <w:r>
        <w:rPr>
          <w:b/>
          <w:bCs/>
          <w:sz w:val="28"/>
          <w:szCs w:val="28"/>
          <w:lang w:eastAsia="en-IN"/>
        </w:rPr>
        <w:t xml:space="preserve"> </w:t>
      </w:r>
      <w:r w:rsidR="00FC7182">
        <w:rPr>
          <w:b/>
          <w:bCs/>
          <w:sz w:val="28"/>
          <w:szCs w:val="28"/>
          <w:lang w:eastAsia="en-IN"/>
        </w:rPr>
        <w:t>1</w:t>
      </w:r>
      <w:r>
        <w:rPr>
          <w:b/>
          <w:bCs/>
          <w:sz w:val="28"/>
          <w:szCs w:val="28"/>
          <w:lang w:eastAsia="en-IN"/>
        </w:rPr>
        <w:t>00 returns</w:t>
      </w:r>
    </w:p>
    <w:p w14:paraId="589D09F5" w14:textId="71465F68" w:rsidR="000332EC" w:rsidRPr="00CB37D1" w:rsidRDefault="00D16F0E" w:rsidP="002972AF">
      <w:pPr>
        <w:pStyle w:val="ListParagraph"/>
        <w:numPr>
          <w:ilvl w:val="0"/>
          <w:numId w:val="9"/>
        </w:numPr>
        <w:jc w:val="both"/>
        <w:rPr>
          <w:b/>
          <w:bCs/>
          <w:lang w:eastAsia="en-IN"/>
        </w:rPr>
      </w:pPr>
      <w:r w:rsidRPr="00D16F0E">
        <w:rPr>
          <w:b/>
          <w:bCs/>
          <w:lang w:eastAsia="en-IN"/>
        </w:rPr>
        <w:t>Sec</w:t>
      </w:r>
      <w:r>
        <w:rPr>
          <w:b/>
          <w:bCs/>
          <w:lang w:eastAsia="en-IN"/>
        </w:rPr>
        <w:t>tor Composition</w:t>
      </w:r>
      <w:r>
        <w:rPr>
          <w:lang w:eastAsia="en-IN"/>
        </w:rPr>
        <w:t xml:space="preserve">- </w:t>
      </w:r>
      <w:r w:rsidR="00EE5557">
        <w:rPr>
          <w:lang w:eastAsia="en-IN"/>
        </w:rPr>
        <w:t>FTSE 100 is heavily weighted to</w:t>
      </w:r>
      <w:r w:rsidR="00130FD1">
        <w:rPr>
          <w:lang w:eastAsia="en-IN"/>
        </w:rPr>
        <w:t xml:space="preserve"> ‘Old Economy’ stocks which deal in</w:t>
      </w:r>
      <w:r w:rsidR="00EE5557">
        <w:rPr>
          <w:lang w:eastAsia="en-IN"/>
        </w:rPr>
        <w:t xml:space="preserve"> </w:t>
      </w:r>
      <w:r w:rsidR="00E346B6">
        <w:rPr>
          <w:lang w:eastAsia="en-IN"/>
        </w:rPr>
        <w:t>energy, mining and finan</w:t>
      </w:r>
      <w:r w:rsidR="0029168F">
        <w:rPr>
          <w:lang w:eastAsia="en-IN"/>
        </w:rPr>
        <w:t>cials rather than tech</w:t>
      </w:r>
      <w:r w:rsidR="00B75374">
        <w:rPr>
          <w:lang w:eastAsia="en-IN"/>
        </w:rPr>
        <w:t xml:space="preserve">nology, so </w:t>
      </w:r>
      <w:r w:rsidR="0041494F">
        <w:rPr>
          <w:lang w:eastAsia="en-IN"/>
        </w:rPr>
        <w:t xml:space="preserve">it relies less on </w:t>
      </w:r>
      <w:r w:rsidR="004A7E9C">
        <w:rPr>
          <w:lang w:eastAsia="en-IN"/>
        </w:rPr>
        <w:t xml:space="preserve">multiple expansion. Therefore, its </w:t>
      </w:r>
      <w:r w:rsidR="00F411DF">
        <w:rPr>
          <w:lang w:eastAsia="en-IN"/>
        </w:rPr>
        <w:t xml:space="preserve">valuation </w:t>
      </w:r>
      <w:r w:rsidR="00DC1322">
        <w:rPr>
          <w:lang w:eastAsia="en-IN"/>
        </w:rPr>
        <w:t>has</w:t>
      </w:r>
      <w:r w:rsidR="004A7E9C">
        <w:rPr>
          <w:lang w:eastAsia="en-IN"/>
        </w:rPr>
        <w:t xml:space="preserve"> remained low compared to the US stock market.</w:t>
      </w:r>
    </w:p>
    <w:p w14:paraId="2F940B8B" w14:textId="4BFC29A9" w:rsidR="00FC79FB" w:rsidRPr="00A57E19" w:rsidRDefault="00FC79FB" w:rsidP="002972AF">
      <w:pPr>
        <w:pStyle w:val="ListParagraph"/>
        <w:numPr>
          <w:ilvl w:val="0"/>
          <w:numId w:val="9"/>
        </w:numPr>
        <w:jc w:val="both"/>
        <w:rPr>
          <w:b/>
          <w:bCs/>
          <w:lang w:eastAsia="en-IN"/>
        </w:rPr>
      </w:pPr>
      <w:r>
        <w:rPr>
          <w:b/>
          <w:bCs/>
          <w:lang w:eastAsia="en-IN"/>
        </w:rPr>
        <w:t>Interest Rates</w:t>
      </w:r>
      <w:r>
        <w:rPr>
          <w:lang w:eastAsia="en-IN"/>
        </w:rPr>
        <w:t xml:space="preserve">- Expectations of </w:t>
      </w:r>
      <w:r w:rsidR="007B20A8">
        <w:rPr>
          <w:lang w:eastAsia="en-IN"/>
        </w:rPr>
        <w:t xml:space="preserve">changes in interest </w:t>
      </w:r>
      <w:r>
        <w:rPr>
          <w:lang w:eastAsia="en-IN"/>
        </w:rPr>
        <w:t>rate</w:t>
      </w:r>
      <w:r w:rsidR="007B20A8">
        <w:rPr>
          <w:lang w:eastAsia="en-IN"/>
        </w:rPr>
        <w:t>s</w:t>
      </w:r>
      <w:r w:rsidR="00D638CA">
        <w:rPr>
          <w:lang w:eastAsia="en-IN"/>
        </w:rPr>
        <w:t xml:space="preserve"> affect discount rates which affect valuations. Rate cuts will </w:t>
      </w:r>
      <w:r w:rsidR="00A57E19">
        <w:rPr>
          <w:lang w:eastAsia="en-IN"/>
        </w:rPr>
        <w:t>increase valuations which affect FTSE performance.</w:t>
      </w:r>
    </w:p>
    <w:p w14:paraId="7CF39F5F" w14:textId="220A6ACD" w:rsidR="0000001C" w:rsidRPr="00E907C7" w:rsidRDefault="00967517" w:rsidP="002972AF">
      <w:pPr>
        <w:pStyle w:val="ListParagraph"/>
        <w:numPr>
          <w:ilvl w:val="0"/>
          <w:numId w:val="9"/>
        </w:numPr>
        <w:jc w:val="both"/>
        <w:rPr>
          <w:b/>
          <w:bCs/>
          <w:lang w:eastAsia="en-IN"/>
        </w:rPr>
      </w:pPr>
      <w:r>
        <w:rPr>
          <w:b/>
          <w:bCs/>
          <w:lang w:eastAsia="en-IN"/>
        </w:rPr>
        <w:lastRenderedPageBreak/>
        <w:t>Exchange Rate</w:t>
      </w:r>
      <w:r>
        <w:rPr>
          <w:lang w:eastAsia="en-IN"/>
        </w:rPr>
        <w:t xml:space="preserve">- </w:t>
      </w:r>
      <w:r w:rsidR="00515A0A">
        <w:rPr>
          <w:lang w:eastAsia="en-IN"/>
        </w:rPr>
        <w:t>Most FTSE constituents earn a large share of revenues overseas</w:t>
      </w:r>
      <w:r w:rsidR="008114F1">
        <w:rPr>
          <w:lang w:eastAsia="en-IN"/>
        </w:rPr>
        <w:t xml:space="preserve">, so a weaken pound benefits exporters which often increases earnings </w:t>
      </w:r>
      <w:r w:rsidR="0000001C">
        <w:rPr>
          <w:lang w:eastAsia="en-IN"/>
        </w:rPr>
        <w:t>and often share prices.</w:t>
      </w:r>
    </w:p>
    <w:p w14:paraId="20BC86BB" w14:textId="5488554F" w:rsidR="00E907C7" w:rsidRPr="000F1B13" w:rsidRDefault="000556EE" w:rsidP="002972AF">
      <w:pPr>
        <w:pStyle w:val="ListParagraph"/>
        <w:numPr>
          <w:ilvl w:val="0"/>
          <w:numId w:val="9"/>
        </w:numPr>
        <w:jc w:val="both"/>
        <w:rPr>
          <w:b/>
          <w:bCs/>
          <w:lang w:eastAsia="en-IN"/>
        </w:rPr>
      </w:pPr>
      <w:r>
        <w:rPr>
          <w:b/>
          <w:bCs/>
          <w:lang w:eastAsia="en-IN"/>
        </w:rPr>
        <w:t>Value Market status</w:t>
      </w:r>
      <w:r>
        <w:rPr>
          <w:lang w:eastAsia="en-IN"/>
        </w:rPr>
        <w:t xml:space="preserve">- </w:t>
      </w:r>
      <w:r w:rsidR="008C03C8">
        <w:rPr>
          <w:lang w:eastAsia="en-IN"/>
        </w:rPr>
        <w:t>FTSE is seen as a haven for value stocks. As the index trades</w:t>
      </w:r>
      <w:r w:rsidR="000F1B13">
        <w:rPr>
          <w:lang w:eastAsia="en-IN"/>
        </w:rPr>
        <w:t xml:space="preserve"> at a discount compared to US and European markets, it attracts high dividend and value-based investors.</w:t>
      </w:r>
    </w:p>
    <w:p w14:paraId="0E30590C" w14:textId="175DAF5C" w:rsidR="000F1B13" w:rsidRPr="008B475A" w:rsidRDefault="00DC1322" w:rsidP="002972AF">
      <w:pPr>
        <w:pStyle w:val="ListParagraph"/>
        <w:numPr>
          <w:ilvl w:val="0"/>
          <w:numId w:val="9"/>
        </w:numPr>
        <w:ind w:left="709" w:hanging="349"/>
        <w:jc w:val="both"/>
        <w:rPr>
          <w:b/>
          <w:bCs/>
          <w:lang w:eastAsia="en-IN"/>
        </w:rPr>
      </w:pPr>
      <w:r>
        <w:rPr>
          <w:b/>
          <w:bCs/>
          <w:lang w:eastAsia="en-IN"/>
        </w:rPr>
        <w:t>Commodity Prices</w:t>
      </w:r>
      <w:r>
        <w:rPr>
          <w:lang w:eastAsia="en-IN"/>
        </w:rPr>
        <w:t xml:space="preserve">- Strong performance in precious metals, </w:t>
      </w:r>
      <w:r w:rsidR="006176D8">
        <w:rPr>
          <w:lang w:eastAsia="en-IN"/>
        </w:rPr>
        <w:t xml:space="preserve">defence and </w:t>
      </w:r>
      <w:r w:rsidR="00AE43D0">
        <w:rPr>
          <w:lang w:eastAsia="en-IN"/>
        </w:rPr>
        <w:t>financial sectors</w:t>
      </w:r>
      <w:r w:rsidR="00092C1A">
        <w:rPr>
          <w:lang w:eastAsia="en-IN"/>
        </w:rPr>
        <w:t xml:space="preserve"> due to geopolitical </w:t>
      </w:r>
      <w:r w:rsidR="00253FFF">
        <w:rPr>
          <w:lang w:eastAsia="en-IN"/>
        </w:rPr>
        <w:t xml:space="preserve">tension affect earnings making the index </w:t>
      </w:r>
      <w:r w:rsidR="00384C36">
        <w:rPr>
          <w:lang w:eastAsia="en-IN"/>
        </w:rPr>
        <w:t>to commodity cycles rather than pure multiple expansion.</w:t>
      </w:r>
    </w:p>
    <w:p w14:paraId="39295BB4" w14:textId="77777777" w:rsidR="00707A8A" w:rsidRDefault="00707A8A" w:rsidP="002972AF">
      <w:pPr>
        <w:jc w:val="both"/>
        <w:rPr>
          <w:b/>
          <w:bCs/>
          <w:sz w:val="28"/>
          <w:szCs w:val="28"/>
          <w:lang w:eastAsia="en-IN"/>
        </w:rPr>
      </w:pPr>
    </w:p>
    <w:p w14:paraId="39A2E661" w14:textId="019AACDD" w:rsidR="00CF3E8D" w:rsidRDefault="00A578AA" w:rsidP="002972AF">
      <w:pPr>
        <w:jc w:val="both"/>
        <w:rPr>
          <w:b/>
          <w:bCs/>
          <w:sz w:val="28"/>
          <w:szCs w:val="28"/>
          <w:lang w:eastAsia="en-IN"/>
        </w:rPr>
      </w:pPr>
      <w:r>
        <w:rPr>
          <w:b/>
          <w:bCs/>
          <w:sz w:val="28"/>
          <w:szCs w:val="28"/>
          <w:lang w:eastAsia="en-IN"/>
        </w:rPr>
        <w:t>Investment Outlook</w:t>
      </w:r>
      <w:r w:rsidR="00333C35">
        <w:rPr>
          <w:b/>
          <w:bCs/>
          <w:sz w:val="28"/>
          <w:szCs w:val="28"/>
          <w:lang w:eastAsia="en-IN"/>
        </w:rPr>
        <w:t xml:space="preserve"> and Risks</w:t>
      </w:r>
    </w:p>
    <w:p w14:paraId="008082AC" w14:textId="1D56D028" w:rsidR="006459B4" w:rsidRDefault="005E0C1B" w:rsidP="002972AF">
      <w:pPr>
        <w:jc w:val="both"/>
        <w:rPr>
          <w:b/>
          <w:bCs/>
          <w:lang w:eastAsia="en-IN"/>
        </w:rPr>
      </w:pPr>
      <w:r w:rsidRPr="005E0C1B">
        <w:rPr>
          <w:b/>
          <w:bCs/>
          <w:lang w:eastAsia="en-IN"/>
        </w:rPr>
        <w:t>US</w:t>
      </w:r>
      <w:r>
        <w:rPr>
          <w:lang w:eastAsia="en-IN"/>
        </w:rPr>
        <w:t xml:space="preserve"> </w:t>
      </w:r>
      <w:r w:rsidRPr="005E0C1B">
        <w:rPr>
          <w:b/>
          <w:bCs/>
          <w:lang w:eastAsia="en-IN"/>
        </w:rPr>
        <w:t>Market</w:t>
      </w:r>
    </w:p>
    <w:p w14:paraId="089E1129" w14:textId="00E1A257" w:rsidR="005E0C1B" w:rsidRDefault="005E0C1B" w:rsidP="002972AF">
      <w:pPr>
        <w:jc w:val="both"/>
        <w:rPr>
          <w:lang w:eastAsia="en-IN"/>
        </w:rPr>
      </w:pPr>
      <w:r>
        <w:rPr>
          <w:lang w:eastAsia="en-IN"/>
        </w:rPr>
        <w:t>The</w:t>
      </w:r>
      <w:r w:rsidR="00DF395B">
        <w:rPr>
          <w:lang w:eastAsia="en-IN"/>
        </w:rPr>
        <w:t xml:space="preserve"> valuations of US </w:t>
      </w:r>
      <w:r w:rsidR="00D30491">
        <w:rPr>
          <w:lang w:eastAsia="en-IN"/>
        </w:rPr>
        <w:t xml:space="preserve">market </w:t>
      </w:r>
      <w:r w:rsidR="004962E2">
        <w:rPr>
          <w:lang w:eastAsia="en-IN"/>
        </w:rPr>
        <w:t>are very high and close to dotcom crash levels</w:t>
      </w:r>
      <w:r w:rsidR="004015A5">
        <w:rPr>
          <w:lang w:eastAsia="en-IN"/>
        </w:rPr>
        <w:t xml:space="preserve"> due to AI</w:t>
      </w:r>
      <w:r w:rsidR="00D30491">
        <w:rPr>
          <w:lang w:eastAsia="en-IN"/>
        </w:rPr>
        <w:t xml:space="preserve"> boom</w:t>
      </w:r>
      <w:r w:rsidR="004015A5">
        <w:rPr>
          <w:lang w:eastAsia="en-IN"/>
        </w:rPr>
        <w:t>.</w:t>
      </w:r>
      <w:r w:rsidR="00C4081E">
        <w:rPr>
          <w:lang w:eastAsia="en-IN"/>
        </w:rPr>
        <w:t xml:space="preserve"> However</w:t>
      </w:r>
      <w:r w:rsidR="0094718E">
        <w:rPr>
          <w:lang w:eastAsia="en-IN"/>
        </w:rPr>
        <w:t>,</w:t>
      </w:r>
      <w:r w:rsidR="00C4081E">
        <w:rPr>
          <w:lang w:eastAsia="en-IN"/>
        </w:rPr>
        <w:t xml:space="preserve"> the bigger market player ha</w:t>
      </w:r>
      <w:r w:rsidR="0094718E">
        <w:rPr>
          <w:lang w:eastAsia="en-IN"/>
        </w:rPr>
        <w:t>s</w:t>
      </w:r>
      <w:r w:rsidR="00C4081E">
        <w:rPr>
          <w:lang w:eastAsia="en-IN"/>
        </w:rPr>
        <w:t xml:space="preserve"> seen increase in market value</w:t>
      </w:r>
      <w:r w:rsidR="00736FA8">
        <w:rPr>
          <w:lang w:eastAsia="en-IN"/>
        </w:rPr>
        <w:t xml:space="preserve"> </w:t>
      </w:r>
      <w:r w:rsidR="00736FA8" w:rsidRPr="00736FA8">
        <w:rPr>
          <w:lang w:eastAsia="en-IN"/>
        </w:rPr>
        <w:t>(Soni, 2025</w:t>
      </w:r>
      <w:r w:rsidR="00736FA8">
        <w:rPr>
          <w:lang w:eastAsia="en-IN"/>
        </w:rPr>
        <w:t xml:space="preserve">; </w:t>
      </w:r>
      <w:r w:rsidR="00736FA8" w:rsidRPr="00736FA8">
        <w:rPr>
          <w:lang w:eastAsia="en-IN"/>
        </w:rPr>
        <w:t>The Guardian, 2026)</w:t>
      </w:r>
      <w:r w:rsidR="0094718E">
        <w:rPr>
          <w:lang w:eastAsia="en-IN"/>
        </w:rPr>
        <w:t>.</w:t>
      </w:r>
      <w:r w:rsidR="004015A5">
        <w:rPr>
          <w:lang w:eastAsia="en-IN"/>
        </w:rPr>
        <w:t xml:space="preserve"> </w:t>
      </w:r>
      <w:r w:rsidR="00460003">
        <w:rPr>
          <w:lang w:eastAsia="en-IN"/>
        </w:rPr>
        <w:t>AI based companies are</w:t>
      </w:r>
      <w:r w:rsidR="0094718E">
        <w:rPr>
          <w:lang w:eastAsia="en-IN"/>
        </w:rPr>
        <w:t xml:space="preserve"> </w:t>
      </w:r>
      <w:r w:rsidR="00460003">
        <w:rPr>
          <w:lang w:eastAsia="en-IN"/>
        </w:rPr>
        <w:t>spending massively on CAPEX expansion</w:t>
      </w:r>
      <w:r w:rsidR="00FA339D">
        <w:rPr>
          <w:lang w:eastAsia="en-IN"/>
        </w:rPr>
        <w:t xml:space="preserve"> like </w:t>
      </w:r>
      <w:r w:rsidR="00EB7462">
        <w:rPr>
          <w:lang w:eastAsia="en-IN"/>
        </w:rPr>
        <w:t>OpenAI</w:t>
      </w:r>
      <w:r w:rsidR="007F1BB0">
        <w:rPr>
          <w:lang w:eastAsia="en-IN"/>
        </w:rPr>
        <w:t xml:space="preserve"> is</w:t>
      </w:r>
      <w:r w:rsidR="00EB7462">
        <w:rPr>
          <w:lang w:eastAsia="en-IN"/>
        </w:rPr>
        <w:t xml:space="preserve"> </w:t>
      </w:r>
      <w:r w:rsidR="007F1BB0">
        <w:rPr>
          <w:lang w:eastAsia="en-IN"/>
        </w:rPr>
        <w:t>projected to</w:t>
      </w:r>
      <w:r w:rsidR="00EB7462">
        <w:rPr>
          <w:lang w:eastAsia="en-IN"/>
        </w:rPr>
        <w:t xml:space="preserve"> lose 14 billion in 2026</w:t>
      </w:r>
      <w:r w:rsidR="00555700">
        <w:rPr>
          <w:lang w:eastAsia="en-IN"/>
        </w:rPr>
        <w:t xml:space="preserve"> due to expansion, model </w:t>
      </w:r>
      <w:r w:rsidR="004A30CF">
        <w:rPr>
          <w:lang w:eastAsia="en-IN"/>
        </w:rPr>
        <w:t>training and other costs</w:t>
      </w:r>
      <w:r w:rsidR="00EB7462">
        <w:rPr>
          <w:lang w:eastAsia="en-IN"/>
        </w:rPr>
        <w:t>.</w:t>
      </w:r>
      <w:r w:rsidR="004A30CF">
        <w:rPr>
          <w:lang w:eastAsia="en-IN"/>
        </w:rPr>
        <w:t xml:space="preserve"> There are also threat of other models like the Chinese DeepSeek </w:t>
      </w:r>
      <w:r w:rsidR="00A03BF9">
        <w:rPr>
          <w:lang w:eastAsia="en-IN"/>
        </w:rPr>
        <w:t>which built a premier model at</w:t>
      </w:r>
      <w:r w:rsidR="008D195F">
        <w:rPr>
          <w:lang w:eastAsia="en-IN"/>
        </w:rPr>
        <w:t xml:space="preserve"> a lower cost of $5.6 million </w:t>
      </w:r>
      <w:r w:rsidR="006A5936" w:rsidRPr="006A5936">
        <w:rPr>
          <w:lang w:eastAsia="en-IN"/>
        </w:rPr>
        <w:t>(Forbes Finance Council, 2025</w:t>
      </w:r>
      <w:r w:rsidR="00736FA8">
        <w:rPr>
          <w:lang w:eastAsia="en-IN"/>
        </w:rPr>
        <w:t xml:space="preserve">; </w:t>
      </w:r>
      <w:r w:rsidR="00736FA8" w:rsidRPr="00736FA8">
        <w:rPr>
          <w:lang w:eastAsia="en-IN"/>
        </w:rPr>
        <w:t>Guinness Global Investors, 2024</w:t>
      </w:r>
      <w:r w:rsidR="006A5936" w:rsidRPr="006A5936">
        <w:rPr>
          <w:lang w:eastAsia="en-IN"/>
        </w:rPr>
        <w:t>)</w:t>
      </w:r>
      <w:r w:rsidR="006A5936">
        <w:rPr>
          <w:lang w:eastAsia="en-IN"/>
        </w:rPr>
        <w:t>.</w:t>
      </w:r>
      <w:r w:rsidR="00BA0C04">
        <w:rPr>
          <w:lang w:eastAsia="en-IN"/>
        </w:rPr>
        <w:t xml:space="preserve"> </w:t>
      </w:r>
      <w:r w:rsidR="00333C35">
        <w:rPr>
          <w:lang w:eastAsia="en-IN"/>
        </w:rPr>
        <w:t>This triggered a $1 trillion sell off with</w:t>
      </w:r>
      <w:r w:rsidR="00176842">
        <w:rPr>
          <w:lang w:eastAsia="en-IN"/>
        </w:rPr>
        <w:t xml:space="preserve"> Nvidia losing $592 billion in</w:t>
      </w:r>
      <w:r w:rsidR="00A0008E">
        <w:rPr>
          <w:lang w:eastAsia="en-IN"/>
        </w:rPr>
        <w:t xml:space="preserve"> a single day, the largest single day loss in US stock history. </w:t>
      </w:r>
    </w:p>
    <w:p w14:paraId="188D22EB" w14:textId="77777777" w:rsidR="00BE00B6" w:rsidRDefault="00BE00B6" w:rsidP="002972AF">
      <w:pPr>
        <w:jc w:val="both"/>
        <w:rPr>
          <w:lang w:eastAsia="en-IN"/>
        </w:rPr>
      </w:pPr>
    </w:p>
    <w:p w14:paraId="3AA198F4" w14:textId="78B0380E" w:rsidR="0084035C" w:rsidRDefault="0084035C" w:rsidP="002972AF">
      <w:pPr>
        <w:jc w:val="both"/>
        <w:rPr>
          <w:lang w:eastAsia="en-IN"/>
        </w:rPr>
      </w:pPr>
      <w:r w:rsidRPr="0084035C">
        <w:rPr>
          <w:noProof/>
          <w:lang w:eastAsia="en-IN"/>
        </w:rPr>
        <w:drawing>
          <wp:inline distT="0" distB="0" distL="0" distR="0" wp14:anchorId="31BF6945" wp14:editId="3E4C6A68">
            <wp:extent cx="5036574" cy="2889361"/>
            <wp:effectExtent l="0" t="0" r="0" b="6350"/>
            <wp:docPr id="129076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9136" name=""/>
                    <pic:cNvPicPr/>
                  </pic:nvPicPr>
                  <pic:blipFill>
                    <a:blip r:embed="rId24"/>
                    <a:stretch>
                      <a:fillRect/>
                    </a:stretch>
                  </pic:blipFill>
                  <pic:spPr>
                    <a:xfrm>
                      <a:off x="0" y="0"/>
                      <a:ext cx="5074081" cy="2910878"/>
                    </a:xfrm>
                    <a:prstGeom prst="rect">
                      <a:avLst/>
                    </a:prstGeom>
                  </pic:spPr>
                </pic:pic>
              </a:graphicData>
            </a:graphic>
          </wp:inline>
        </w:drawing>
      </w:r>
    </w:p>
    <w:p w14:paraId="3FDB78A7" w14:textId="1B6367DA" w:rsidR="00660ECF" w:rsidRDefault="00BE00B6" w:rsidP="002972AF">
      <w:pPr>
        <w:jc w:val="both"/>
        <w:rPr>
          <w:lang w:eastAsia="en-IN"/>
        </w:rPr>
      </w:pPr>
      <w:r w:rsidRPr="00660ECF">
        <w:rPr>
          <w:noProof/>
          <w:lang w:eastAsia="en-IN"/>
        </w:rPr>
        <w:lastRenderedPageBreak/>
        <w:drawing>
          <wp:anchor distT="0" distB="0" distL="114300" distR="114300" simplePos="0" relativeHeight="251659264" behindDoc="0" locked="0" layoutInCell="1" allowOverlap="1" wp14:anchorId="643601A3" wp14:editId="6716DB69">
            <wp:simplePos x="0" y="0"/>
            <wp:positionH relativeFrom="column">
              <wp:posOffset>405581</wp:posOffset>
            </wp:positionH>
            <wp:positionV relativeFrom="paragraph">
              <wp:posOffset>41</wp:posOffset>
            </wp:positionV>
            <wp:extent cx="4350385" cy="2919730"/>
            <wp:effectExtent l="0" t="0" r="0" b="0"/>
            <wp:wrapSquare wrapText="bothSides"/>
            <wp:docPr id="125466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6835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350385" cy="2919730"/>
                    </a:xfrm>
                    <a:prstGeom prst="rect">
                      <a:avLst/>
                    </a:prstGeom>
                  </pic:spPr>
                </pic:pic>
              </a:graphicData>
            </a:graphic>
            <wp14:sizeRelH relativeFrom="page">
              <wp14:pctWidth>0</wp14:pctWidth>
            </wp14:sizeRelH>
            <wp14:sizeRelV relativeFrom="page">
              <wp14:pctHeight>0</wp14:pctHeight>
            </wp14:sizeRelV>
          </wp:anchor>
        </w:drawing>
      </w:r>
    </w:p>
    <w:p w14:paraId="2101BCD0" w14:textId="77777777" w:rsidR="00BE00B6" w:rsidRDefault="00BE00B6" w:rsidP="002972AF">
      <w:pPr>
        <w:jc w:val="both"/>
        <w:rPr>
          <w:b/>
          <w:bCs/>
          <w:lang w:eastAsia="en-IN"/>
        </w:rPr>
      </w:pPr>
    </w:p>
    <w:p w14:paraId="75CD72F2" w14:textId="77777777" w:rsidR="00BE00B6" w:rsidRDefault="00BE00B6" w:rsidP="002972AF">
      <w:pPr>
        <w:jc w:val="both"/>
        <w:rPr>
          <w:b/>
          <w:bCs/>
          <w:lang w:eastAsia="en-IN"/>
        </w:rPr>
      </w:pPr>
    </w:p>
    <w:p w14:paraId="034000D4" w14:textId="77777777" w:rsidR="00BE00B6" w:rsidRDefault="00BE00B6" w:rsidP="002972AF">
      <w:pPr>
        <w:jc w:val="both"/>
        <w:rPr>
          <w:b/>
          <w:bCs/>
          <w:lang w:eastAsia="en-IN"/>
        </w:rPr>
      </w:pPr>
    </w:p>
    <w:p w14:paraId="60297906" w14:textId="77777777" w:rsidR="00BE00B6" w:rsidRDefault="00BE00B6" w:rsidP="002972AF">
      <w:pPr>
        <w:jc w:val="both"/>
        <w:rPr>
          <w:b/>
          <w:bCs/>
          <w:lang w:eastAsia="en-IN"/>
        </w:rPr>
      </w:pPr>
    </w:p>
    <w:p w14:paraId="646D9911" w14:textId="77777777" w:rsidR="00BE00B6" w:rsidRDefault="00BE00B6" w:rsidP="002972AF">
      <w:pPr>
        <w:jc w:val="both"/>
        <w:rPr>
          <w:b/>
          <w:bCs/>
          <w:lang w:eastAsia="en-IN"/>
        </w:rPr>
      </w:pPr>
    </w:p>
    <w:p w14:paraId="257AC6BA" w14:textId="77777777" w:rsidR="00BE00B6" w:rsidRDefault="00BE00B6" w:rsidP="002972AF">
      <w:pPr>
        <w:jc w:val="both"/>
        <w:rPr>
          <w:b/>
          <w:bCs/>
          <w:lang w:eastAsia="en-IN"/>
        </w:rPr>
      </w:pPr>
    </w:p>
    <w:p w14:paraId="4F394118" w14:textId="77777777" w:rsidR="00BE00B6" w:rsidRDefault="00BE00B6" w:rsidP="002972AF">
      <w:pPr>
        <w:jc w:val="both"/>
        <w:rPr>
          <w:b/>
          <w:bCs/>
          <w:lang w:eastAsia="en-IN"/>
        </w:rPr>
      </w:pPr>
    </w:p>
    <w:p w14:paraId="58353B6A" w14:textId="77777777" w:rsidR="00BE00B6" w:rsidRDefault="00BE00B6" w:rsidP="002972AF">
      <w:pPr>
        <w:jc w:val="both"/>
        <w:rPr>
          <w:b/>
          <w:bCs/>
          <w:lang w:eastAsia="en-IN"/>
        </w:rPr>
      </w:pPr>
    </w:p>
    <w:p w14:paraId="4D7BF39B" w14:textId="77777777" w:rsidR="00BE00B6" w:rsidRDefault="00BE00B6" w:rsidP="002972AF">
      <w:pPr>
        <w:jc w:val="both"/>
        <w:rPr>
          <w:b/>
          <w:bCs/>
          <w:lang w:eastAsia="en-IN"/>
        </w:rPr>
      </w:pPr>
    </w:p>
    <w:p w14:paraId="77269AC0" w14:textId="77777777" w:rsidR="00BE00B6" w:rsidRDefault="00BE00B6" w:rsidP="002972AF">
      <w:pPr>
        <w:jc w:val="both"/>
        <w:rPr>
          <w:b/>
          <w:bCs/>
          <w:lang w:eastAsia="en-IN"/>
        </w:rPr>
      </w:pPr>
    </w:p>
    <w:p w14:paraId="4BFA4EA7" w14:textId="273D565B" w:rsidR="00660ECF" w:rsidRDefault="00122E34" w:rsidP="002972AF">
      <w:pPr>
        <w:jc w:val="both"/>
        <w:rPr>
          <w:b/>
          <w:bCs/>
          <w:lang w:eastAsia="en-IN"/>
        </w:rPr>
      </w:pPr>
      <w:r w:rsidRPr="00122E34">
        <w:rPr>
          <w:b/>
          <w:bCs/>
          <w:lang w:eastAsia="en-IN"/>
        </w:rPr>
        <w:t>UK Market</w:t>
      </w:r>
    </w:p>
    <w:p w14:paraId="430ADF6C" w14:textId="0D7C034A" w:rsidR="00707A8A" w:rsidRPr="001B7A6D" w:rsidRDefault="00055924" w:rsidP="002972AF">
      <w:pPr>
        <w:jc w:val="both"/>
        <w:rPr>
          <w:lang w:eastAsia="en-IN"/>
        </w:rPr>
      </w:pPr>
      <w:r>
        <w:rPr>
          <w:lang w:eastAsia="en-IN"/>
        </w:rPr>
        <w:t xml:space="preserve">The market continues to trade at a discount which attracts value investors. </w:t>
      </w:r>
      <w:r w:rsidR="002C1AB1">
        <w:rPr>
          <w:lang w:eastAsia="en-IN"/>
        </w:rPr>
        <w:t>Controlling inflation and expectations of rate cuts by Bank of England</w:t>
      </w:r>
      <w:r w:rsidR="00BD45C8">
        <w:rPr>
          <w:lang w:eastAsia="en-IN"/>
        </w:rPr>
        <w:t xml:space="preserve"> are improving</w:t>
      </w:r>
      <w:r w:rsidR="00B54AC9">
        <w:rPr>
          <w:lang w:eastAsia="en-IN"/>
        </w:rPr>
        <w:t xml:space="preserve"> market sentiment for domestic sectors like real estate</w:t>
      </w:r>
      <w:r w:rsidR="00677AF7">
        <w:rPr>
          <w:lang w:eastAsia="en-IN"/>
        </w:rPr>
        <w:t xml:space="preserve"> supported by strong cash flows and attractive dividend yields. </w:t>
      </w:r>
      <w:r w:rsidR="00532996">
        <w:rPr>
          <w:lang w:eastAsia="en-IN"/>
        </w:rPr>
        <w:t>This means the market is cautiously optimistic rather than outright bullish.</w:t>
      </w:r>
    </w:p>
    <w:p w14:paraId="294EC78F" w14:textId="10BD2396" w:rsidR="00960B54" w:rsidRPr="00960B54" w:rsidRDefault="008C6AAA" w:rsidP="002972AF">
      <w:pPr>
        <w:jc w:val="both"/>
        <w:rPr>
          <w:b/>
          <w:bCs/>
          <w:sz w:val="28"/>
          <w:szCs w:val="28"/>
          <w:lang w:eastAsia="en-IN"/>
        </w:rPr>
      </w:pPr>
      <w:r>
        <w:rPr>
          <w:b/>
          <w:bCs/>
          <w:sz w:val="28"/>
          <w:szCs w:val="28"/>
          <w:lang w:eastAsia="en-IN"/>
        </w:rPr>
        <w:t>Conclusion</w:t>
      </w:r>
      <w:r w:rsidR="00A112D4">
        <w:rPr>
          <w:b/>
          <w:bCs/>
          <w:sz w:val="28"/>
          <w:szCs w:val="28"/>
          <w:lang w:eastAsia="en-IN"/>
        </w:rPr>
        <w:t xml:space="preserve">: </w:t>
      </w:r>
      <w:r w:rsidR="00CE0279" w:rsidRPr="00960B54">
        <w:rPr>
          <w:b/>
          <w:bCs/>
          <w:sz w:val="28"/>
          <w:szCs w:val="28"/>
          <w:lang w:eastAsia="en-IN"/>
        </w:rPr>
        <w:t>Fund Manager View</w:t>
      </w:r>
      <w:r w:rsidR="00A112D4">
        <w:rPr>
          <w:b/>
          <w:bCs/>
          <w:sz w:val="28"/>
          <w:szCs w:val="28"/>
          <w:lang w:eastAsia="en-IN"/>
        </w:rPr>
        <w:t xml:space="preserve"> and</w:t>
      </w:r>
      <w:r w:rsidR="00960B54" w:rsidRPr="00960B54">
        <w:rPr>
          <w:b/>
          <w:bCs/>
          <w:sz w:val="28"/>
          <w:szCs w:val="28"/>
          <w:lang w:eastAsia="en-IN"/>
        </w:rPr>
        <w:t xml:space="preserve"> Action Plan</w:t>
      </w:r>
    </w:p>
    <w:p w14:paraId="78BD3638" w14:textId="57F1CCDA" w:rsidR="00122E34" w:rsidRDefault="00BD45C8" w:rsidP="002972AF">
      <w:pPr>
        <w:jc w:val="both"/>
        <w:rPr>
          <w:lang w:eastAsia="en-IN"/>
        </w:rPr>
      </w:pPr>
      <w:r w:rsidRPr="00CE0279">
        <w:rPr>
          <w:b/>
          <w:bCs/>
          <w:lang w:eastAsia="en-IN"/>
        </w:rPr>
        <w:t xml:space="preserve"> </w:t>
      </w:r>
      <w:r w:rsidR="0079729C">
        <w:rPr>
          <w:lang w:eastAsia="en-IN"/>
        </w:rPr>
        <w:t xml:space="preserve">A fund manager may choose to keep </w:t>
      </w:r>
      <w:r w:rsidR="000661BF">
        <w:rPr>
          <w:lang w:eastAsia="en-IN"/>
        </w:rPr>
        <w:t>5</w:t>
      </w:r>
      <w:r w:rsidR="00844319">
        <w:rPr>
          <w:lang w:eastAsia="en-IN"/>
        </w:rPr>
        <w:t>5</w:t>
      </w:r>
      <w:r w:rsidR="0079729C">
        <w:rPr>
          <w:lang w:eastAsia="en-IN"/>
        </w:rPr>
        <w:t xml:space="preserve">% in US stock due </w:t>
      </w:r>
      <w:r w:rsidR="00682039">
        <w:rPr>
          <w:lang w:eastAsia="en-IN"/>
        </w:rPr>
        <w:t xml:space="preserve">to </w:t>
      </w:r>
      <w:r w:rsidR="00844319">
        <w:rPr>
          <w:lang w:eastAsia="en-IN"/>
        </w:rPr>
        <w:t xml:space="preserve">further </w:t>
      </w:r>
      <w:r w:rsidR="00187178">
        <w:rPr>
          <w:lang w:eastAsia="en-IN"/>
        </w:rPr>
        <w:t xml:space="preserve">potential </w:t>
      </w:r>
      <w:r w:rsidR="001263C1">
        <w:rPr>
          <w:lang w:eastAsia="en-IN"/>
        </w:rPr>
        <w:t>AI-based higher</w:t>
      </w:r>
      <w:r w:rsidR="00187178">
        <w:rPr>
          <w:lang w:eastAsia="en-IN"/>
        </w:rPr>
        <w:t xml:space="preserve"> valuations </w:t>
      </w:r>
      <w:r w:rsidR="00682039">
        <w:rPr>
          <w:lang w:eastAsia="en-IN"/>
        </w:rPr>
        <w:t xml:space="preserve">lead by </w:t>
      </w:r>
      <w:r w:rsidR="0068478D">
        <w:rPr>
          <w:lang w:eastAsia="en-IN"/>
        </w:rPr>
        <w:t>multiples growth</w:t>
      </w:r>
      <w:r w:rsidR="001263C1">
        <w:rPr>
          <w:lang w:eastAsia="en-IN"/>
        </w:rPr>
        <w:t xml:space="preserve"> to capture the AI boom</w:t>
      </w:r>
      <w:r w:rsidR="0068478D">
        <w:rPr>
          <w:lang w:eastAsia="en-IN"/>
        </w:rPr>
        <w:t xml:space="preserve"> and</w:t>
      </w:r>
      <w:r w:rsidR="006B56CB">
        <w:rPr>
          <w:lang w:eastAsia="en-IN"/>
        </w:rPr>
        <w:t xml:space="preserve"> </w:t>
      </w:r>
      <w:r w:rsidR="000661BF">
        <w:rPr>
          <w:lang w:eastAsia="en-IN"/>
        </w:rPr>
        <w:t>4</w:t>
      </w:r>
      <w:r w:rsidR="00844319">
        <w:rPr>
          <w:lang w:eastAsia="en-IN"/>
        </w:rPr>
        <w:t>0</w:t>
      </w:r>
      <w:r w:rsidR="006B56CB">
        <w:rPr>
          <w:lang w:eastAsia="en-IN"/>
        </w:rPr>
        <w:t>%</w:t>
      </w:r>
      <w:r w:rsidR="00266E37">
        <w:rPr>
          <w:lang w:eastAsia="en-IN"/>
        </w:rPr>
        <w:t xml:space="preserve"> in UK as safe </w:t>
      </w:r>
      <w:r w:rsidR="00682039">
        <w:rPr>
          <w:lang w:eastAsia="en-IN"/>
        </w:rPr>
        <w:t>value-based market</w:t>
      </w:r>
      <w:r w:rsidR="00266E37">
        <w:rPr>
          <w:lang w:eastAsia="en-IN"/>
        </w:rPr>
        <w:t>. The portfolio might be hedged by</w:t>
      </w:r>
      <w:r w:rsidR="001F1049">
        <w:rPr>
          <w:lang w:eastAsia="en-IN"/>
        </w:rPr>
        <w:t xml:space="preserve"> </w:t>
      </w:r>
      <w:r w:rsidR="007F1BB0">
        <w:rPr>
          <w:lang w:eastAsia="en-IN"/>
        </w:rPr>
        <w:t>5</w:t>
      </w:r>
      <w:r w:rsidR="001F1049">
        <w:rPr>
          <w:lang w:eastAsia="en-IN"/>
        </w:rPr>
        <w:t>%</w:t>
      </w:r>
      <w:r w:rsidR="00266E37">
        <w:rPr>
          <w:lang w:eastAsia="en-IN"/>
        </w:rPr>
        <w:t xml:space="preserve"> out of the money put options on US AI stocks</w:t>
      </w:r>
      <w:r w:rsidR="001F1049">
        <w:rPr>
          <w:lang w:eastAsia="en-IN"/>
        </w:rPr>
        <w:t xml:space="preserve"> in the short term with decreasing weights in US stocks and increasing</w:t>
      </w:r>
      <w:r w:rsidR="007B1E24">
        <w:rPr>
          <w:lang w:eastAsia="en-IN"/>
        </w:rPr>
        <w:t xml:space="preserve"> in</w:t>
      </w:r>
      <w:r w:rsidR="001F1049">
        <w:rPr>
          <w:lang w:eastAsia="en-IN"/>
        </w:rPr>
        <w:t xml:space="preserve"> UK</w:t>
      </w:r>
      <w:r w:rsidR="007B1E24">
        <w:rPr>
          <w:lang w:eastAsia="en-IN"/>
        </w:rPr>
        <w:t xml:space="preserve"> stocks over the long term</w:t>
      </w:r>
      <w:r w:rsidR="00502069">
        <w:rPr>
          <w:lang w:eastAsia="en-IN"/>
        </w:rPr>
        <w:t xml:space="preserve"> to manage </w:t>
      </w:r>
      <w:r w:rsidR="00185C79">
        <w:rPr>
          <w:lang w:eastAsia="en-IN"/>
        </w:rPr>
        <w:t xml:space="preserve">downside </w:t>
      </w:r>
      <w:r w:rsidR="00502069">
        <w:rPr>
          <w:lang w:eastAsia="en-IN"/>
        </w:rPr>
        <w:t>risk</w:t>
      </w:r>
      <w:r w:rsidR="004E0393">
        <w:rPr>
          <w:lang w:eastAsia="en-IN"/>
        </w:rPr>
        <w:t xml:space="preserve"> as </w:t>
      </w:r>
      <w:r w:rsidR="005430B5">
        <w:rPr>
          <w:lang w:eastAsia="en-IN"/>
        </w:rPr>
        <w:t>1 tech breakthrough can lead to massive correction in the US market.</w:t>
      </w:r>
      <w:r w:rsidR="007F44A9">
        <w:rPr>
          <w:lang w:eastAsia="en-IN"/>
        </w:rPr>
        <w:t xml:space="preserve"> No currency risks are considered in the above</w:t>
      </w:r>
      <w:r w:rsidR="004227F0">
        <w:rPr>
          <w:lang w:eastAsia="en-IN"/>
        </w:rPr>
        <w:t xml:space="preserve"> valuations</w:t>
      </w:r>
      <w:r w:rsidR="007F44A9">
        <w:rPr>
          <w:lang w:eastAsia="en-IN"/>
        </w:rPr>
        <w:t>.</w:t>
      </w:r>
    </w:p>
    <w:p w14:paraId="34A9DE77" w14:textId="77777777" w:rsidR="009E2572" w:rsidRDefault="009E2572" w:rsidP="002972AF">
      <w:pPr>
        <w:jc w:val="both"/>
        <w:rPr>
          <w:lang w:eastAsia="en-IN"/>
        </w:rPr>
      </w:pPr>
    </w:p>
    <w:p w14:paraId="79CAD248" w14:textId="77777777" w:rsidR="00B071FA" w:rsidRDefault="00B071FA" w:rsidP="002972AF">
      <w:pPr>
        <w:jc w:val="both"/>
        <w:rPr>
          <w:b/>
          <w:bCs/>
          <w:sz w:val="32"/>
          <w:szCs w:val="32"/>
          <w:lang w:eastAsia="en-IN"/>
        </w:rPr>
      </w:pPr>
    </w:p>
    <w:p w14:paraId="072ED1B9" w14:textId="77777777" w:rsidR="00B071FA" w:rsidRDefault="00B071FA" w:rsidP="002972AF">
      <w:pPr>
        <w:jc w:val="both"/>
        <w:rPr>
          <w:b/>
          <w:bCs/>
          <w:sz w:val="32"/>
          <w:szCs w:val="32"/>
          <w:lang w:eastAsia="en-IN"/>
        </w:rPr>
      </w:pPr>
    </w:p>
    <w:p w14:paraId="1BED6040" w14:textId="77777777" w:rsidR="00B071FA" w:rsidRDefault="00B071FA" w:rsidP="002972AF">
      <w:pPr>
        <w:jc w:val="both"/>
        <w:rPr>
          <w:b/>
          <w:bCs/>
          <w:sz w:val="32"/>
          <w:szCs w:val="32"/>
          <w:lang w:eastAsia="en-IN"/>
        </w:rPr>
      </w:pPr>
    </w:p>
    <w:p w14:paraId="0E6CB405" w14:textId="77777777" w:rsidR="00B071FA" w:rsidRDefault="00B071FA" w:rsidP="002972AF">
      <w:pPr>
        <w:jc w:val="both"/>
        <w:rPr>
          <w:b/>
          <w:bCs/>
          <w:sz w:val="32"/>
          <w:szCs w:val="32"/>
          <w:lang w:eastAsia="en-IN"/>
        </w:rPr>
      </w:pPr>
    </w:p>
    <w:p w14:paraId="51ED8004" w14:textId="77777777" w:rsidR="00B071FA" w:rsidRDefault="00B071FA" w:rsidP="002972AF">
      <w:pPr>
        <w:jc w:val="both"/>
        <w:rPr>
          <w:b/>
          <w:bCs/>
          <w:sz w:val="32"/>
          <w:szCs w:val="32"/>
          <w:lang w:eastAsia="en-IN"/>
        </w:rPr>
      </w:pPr>
    </w:p>
    <w:p w14:paraId="1A1A4981" w14:textId="77777777" w:rsidR="00B071FA" w:rsidRDefault="00B071FA" w:rsidP="002972AF">
      <w:pPr>
        <w:jc w:val="both"/>
        <w:rPr>
          <w:b/>
          <w:bCs/>
          <w:sz w:val="32"/>
          <w:szCs w:val="32"/>
          <w:lang w:eastAsia="en-IN"/>
        </w:rPr>
      </w:pPr>
    </w:p>
    <w:p w14:paraId="7AFEFC71" w14:textId="1F54FA7D" w:rsidR="009E2572" w:rsidRDefault="009E2572" w:rsidP="002972AF">
      <w:pPr>
        <w:jc w:val="both"/>
        <w:rPr>
          <w:b/>
          <w:bCs/>
          <w:sz w:val="32"/>
          <w:szCs w:val="32"/>
          <w:lang w:eastAsia="en-IN"/>
        </w:rPr>
      </w:pPr>
      <w:r w:rsidRPr="009E2572">
        <w:rPr>
          <w:b/>
          <w:bCs/>
          <w:sz w:val="32"/>
          <w:szCs w:val="32"/>
          <w:lang w:eastAsia="en-IN"/>
        </w:rPr>
        <w:t>Reference</w:t>
      </w:r>
      <w:r>
        <w:rPr>
          <w:b/>
          <w:bCs/>
          <w:sz w:val="32"/>
          <w:szCs w:val="32"/>
          <w:lang w:eastAsia="en-IN"/>
        </w:rPr>
        <w:t>:</w:t>
      </w:r>
    </w:p>
    <w:p w14:paraId="43583ED3" w14:textId="77777777" w:rsidR="009E2572" w:rsidRDefault="009E2572" w:rsidP="002972AF">
      <w:pPr>
        <w:jc w:val="both"/>
        <w:rPr>
          <w:lang w:eastAsia="en-IN"/>
        </w:rPr>
      </w:pPr>
      <w:r w:rsidRPr="009E2572">
        <w:rPr>
          <w:lang w:eastAsia="en-IN"/>
        </w:rPr>
        <w:t xml:space="preserve">Wright, S., Smithers, A., Warburton, P., Pepper, G., Goldberg, J., Brodie, H., Riley, B. &amp; Napier, R. (2004) </w:t>
      </w:r>
      <w:r w:rsidRPr="009E2572">
        <w:rPr>
          <w:i/>
          <w:iCs/>
          <w:lang w:eastAsia="en-IN"/>
        </w:rPr>
        <w:t>Practical history of financial markets</w:t>
      </w:r>
      <w:r w:rsidRPr="009E2572">
        <w:rPr>
          <w:lang w:eastAsia="en-IN"/>
        </w:rPr>
        <w:t>. Edinburgh Business School, Heriot</w:t>
      </w:r>
      <w:r w:rsidRPr="009E2572">
        <w:rPr>
          <w:lang w:eastAsia="en-IN"/>
        </w:rPr>
        <w:noBreakHyphen/>
        <w:t>Watt University.</w:t>
      </w:r>
    </w:p>
    <w:p w14:paraId="49CA2510" w14:textId="03D96E02" w:rsidR="00580F15" w:rsidRDefault="00580F15" w:rsidP="002972AF">
      <w:pPr>
        <w:jc w:val="both"/>
        <w:rPr>
          <w:lang w:eastAsia="en-IN"/>
        </w:rPr>
      </w:pPr>
      <w:r w:rsidRPr="00580F15">
        <w:rPr>
          <w:lang w:eastAsia="en-IN"/>
        </w:rPr>
        <w:t>Le Bris, D. (2015). Shiller, Robert J.: Irrational exuberance. Revised and expanded third edition. </w:t>
      </w:r>
      <w:r w:rsidRPr="00580F15">
        <w:rPr>
          <w:i/>
          <w:iCs/>
          <w:lang w:eastAsia="en-IN"/>
        </w:rPr>
        <w:t>Journal of Economics</w:t>
      </w:r>
      <w:r w:rsidRPr="00580F15">
        <w:rPr>
          <w:lang w:eastAsia="en-IN"/>
        </w:rPr>
        <w:t xml:space="preserve">, 117(2), pp.185–187. </w:t>
      </w:r>
      <w:proofErr w:type="spellStart"/>
      <w:proofErr w:type="gramStart"/>
      <w:r w:rsidRPr="00580F15">
        <w:rPr>
          <w:lang w:eastAsia="en-IN"/>
        </w:rPr>
        <w:t>doi:https</w:t>
      </w:r>
      <w:proofErr w:type="spellEnd"/>
      <w:r w:rsidRPr="00580F15">
        <w:rPr>
          <w:lang w:eastAsia="en-IN"/>
        </w:rPr>
        <w:t>://doi.org/10.1007/s00712-015-0462-4</w:t>
      </w:r>
      <w:proofErr w:type="gramEnd"/>
      <w:r w:rsidRPr="00580F15">
        <w:rPr>
          <w:lang w:eastAsia="en-IN"/>
        </w:rPr>
        <w:t>.</w:t>
      </w:r>
    </w:p>
    <w:p w14:paraId="70774B40" w14:textId="762C17AE" w:rsidR="009E2572" w:rsidRDefault="00EB04EA" w:rsidP="002972AF">
      <w:pPr>
        <w:jc w:val="both"/>
        <w:rPr>
          <w:lang w:eastAsia="en-IN"/>
        </w:rPr>
      </w:pPr>
      <w:r w:rsidRPr="00EB04EA">
        <w:rPr>
          <w:lang w:eastAsia="en-IN"/>
        </w:rPr>
        <w:t>Tobin, J. (1969). A General Equilibrium Approach to Monetary Theory. </w:t>
      </w:r>
      <w:r w:rsidRPr="00EB04EA">
        <w:rPr>
          <w:i/>
          <w:iCs/>
          <w:lang w:eastAsia="en-IN"/>
        </w:rPr>
        <w:t>Journal of Money, Credit and Banking</w:t>
      </w:r>
      <w:r w:rsidRPr="00EB04EA">
        <w:rPr>
          <w:lang w:eastAsia="en-IN"/>
        </w:rPr>
        <w:t xml:space="preserve">, [online] 1(1), pp.15–29. </w:t>
      </w:r>
      <w:proofErr w:type="spellStart"/>
      <w:proofErr w:type="gramStart"/>
      <w:r w:rsidRPr="00EB04EA">
        <w:rPr>
          <w:lang w:eastAsia="en-IN"/>
        </w:rPr>
        <w:t>doi:https</w:t>
      </w:r>
      <w:proofErr w:type="spellEnd"/>
      <w:r w:rsidRPr="00EB04EA">
        <w:rPr>
          <w:lang w:eastAsia="en-IN"/>
        </w:rPr>
        <w:t>://doi.org/10.2307/1991374</w:t>
      </w:r>
      <w:proofErr w:type="gramEnd"/>
      <w:r w:rsidRPr="00EB04EA">
        <w:rPr>
          <w:lang w:eastAsia="en-IN"/>
        </w:rPr>
        <w:t>.</w:t>
      </w:r>
    </w:p>
    <w:p w14:paraId="422CFC1A" w14:textId="37FD70FF" w:rsidR="00EB04EA" w:rsidRDefault="00EB04EA" w:rsidP="002972AF">
      <w:pPr>
        <w:jc w:val="both"/>
        <w:rPr>
          <w:lang w:eastAsia="en-IN"/>
        </w:rPr>
      </w:pPr>
      <w:r w:rsidRPr="00EB04EA">
        <w:rPr>
          <w:lang w:eastAsia="en-IN"/>
        </w:rPr>
        <w:t>Tobin, J. and Brainard, W. (1977) ‘Asset Markets and the Cost of Capital’, in Nelson, R. and Balassa, B. (eds.) </w:t>
      </w:r>
      <w:r w:rsidRPr="00EB04EA">
        <w:rPr>
          <w:i/>
          <w:iCs/>
          <w:lang w:eastAsia="en-IN"/>
        </w:rPr>
        <w:t>Economic Progress, Private Values and Public Policy</w:t>
      </w:r>
      <w:r w:rsidRPr="00EB04EA">
        <w:rPr>
          <w:lang w:eastAsia="en-IN"/>
        </w:rPr>
        <w:t>. Amsterdam: North</w:t>
      </w:r>
      <w:r w:rsidRPr="00EB04EA">
        <w:rPr>
          <w:lang w:eastAsia="en-IN"/>
        </w:rPr>
        <w:noBreakHyphen/>
        <w:t>Holland, pp. 235–262.</w:t>
      </w:r>
    </w:p>
    <w:p w14:paraId="1230A5A2" w14:textId="77777777" w:rsidR="00405E86" w:rsidRPr="00405E86" w:rsidRDefault="00405E86" w:rsidP="002972AF">
      <w:pPr>
        <w:jc w:val="both"/>
        <w:rPr>
          <w:lang w:eastAsia="en-IN"/>
        </w:rPr>
      </w:pPr>
      <w:r w:rsidRPr="00405E86">
        <w:rPr>
          <w:lang w:eastAsia="en-IN"/>
        </w:rPr>
        <w:t>Smithers.co.uk. (2025). </w:t>
      </w:r>
      <w:r w:rsidRPr="00405E86">
        <w:rPr>
          <w:i/>
          <w:iCs/>
          <w:lang w:eastAsia="en-IN"/>
        </w:rPr>
        <w:t>q &amp; FAQs | Andrew Smithers - Author</w:t>
      </w:r>
      <w:r w:rsidRPr="00405E86">
        <w:rPr>
          <w:lang w:eastAsia="en-IN"/>
        </w:rPr>
        <w:t>. [online] Available at: https://smithers.co.uk/q_faqs/.</w:t>
      </w:r>
    </w:p>
    <w:p w14:paraId="19F6D026" w14:textId="5B9F9FFB" w:rsidR="004D75AB" w:rsidRDefault="00405E86" w:rsidP="002972AF">
      <w:pPr>
        <w:jc w:val="both"/>
        <w:rPr>
          <w:lang w:eastAsia="en-IN"/>
        </w:rPr>
      </w:pPr>
      <w:r w:rsidRPr="00405E86">
        <w:rPr>
          <w:lang w:eastAsia="en-IN"/>
        </w:rPr>
        <w:t>‌</w:t>
      </w:r>
      <w:r w:rsidR="004D75AB" w:rsidRPr="004D75AB">
        <w:rPr>
          <w:lang w:eastAsia="en-IN"/>
        </w:rPr>
        <w:t>www.federalreserve.gov. (n.d.). </w:t>
      </w:r>
      <w:r w:rsidR="004D75AB" w:rsidRPr="004D75AB">
        <w:rPr>
          <w:i/>
          <w:iCs/>
          <w:lang w:eastAsia="en-IN"/>
        </w:rPr>
        <w:t>The Fed - Financial Accounts of the United States - Z.1 - Current Release</w:t>
      </w:r>
      <w:r w:rsidR="004D75AB" w:rsidRPr="004D75AB">
        <w:rPr>
          <w:lang w:eastAsia="en-IN"/>
        </w:rPr>
        <w:t xml:space="preserve">. [online] Available at: </w:t>
      </w:r>
      <w:hyperlink r:id="rId26" w:history="1">
        <w:r w:rsidR="004D75AB" w:rsidRPr="004D75AB">
          <w:rPr>
            <w:rStyle w:val="Hyperlink"/>
            <w:lang w:eastAsia="en-IN"/>
          </w:rPr>
          <w:t>https://www.federalreserve.gov/releases/z1/</w:t>
        </w:r>
      </w:hyperlink>
      <w:r w:rsidR="004D75AB" w:rsidRPr="004D75AB">
        <w:rPr>
          <w:lang w:eastAsia="en-IN"/>
        </w:rPr>
        <w:t>.</w:t>
      </w:r>
    </w:p>
    <w:p w14:paraId="47598626" w14:textId="4713C5FD" w:rsidR="004D75AB" w:rsidRPr="004D75AB" w:rsidRDefault="004D75AB" w:rsidP="002972AF">
      <w:pPr>
        <w:jc w:val="both"/>
        <w:rPr>
          <w:lang w:eastAsia="en-IN"/>
        </w:rPr>
      </w:pPr>
      <w:r w:rsidRPr="004D75AB">
        <w:rPr>
          <w:lang w:eastAsia="en-IN"/>
        </w:rPr>
        <w:t>Corrado, C., Hulten, C. and Sichel, D. (2009) ‘Intangible Capital and U.S. Economic Growth’, </w:t>
      </w:r>
      <w:r w:rsidRPr="004D75AB">
        <w:rPr>
          <w:i/>
          <w:iCs/>
          <w:lang w:eastAsia="en-IN"/>
        </w:rPr>
        <w:t>Review of Income and Wealth</w:t>
      </w:r>
      <w:r w:rsidRPr="004D75AB">
        <w:rPr>
          <w:lang w:eastAsia="en-IN"/>
        </w:rPr>
        <w:t>, 55(3), pp. 661–685.</w:t>
      </w:r>
    </w:p>
    <w:p w14:paraId="00268985" w14:textId="77777777" w:rsidR="00707A8A" w:rsidRDefault="004D75AB" w:rsidP="002972AF">
      <w:pPr>
        <w:jc w:val="both"/>
      </w:pPr>
      <w:r w:rsidRPr="004D75AB">
        <w:rPr>
          <w:lang w:eastAsia="en-IN"/>
        </w:rPr>
        <w:t>‌</w:t>
      </w:r>
      <w:r w:rsidR="00707A8A" w:rsidRPr="00707A8A">
        <w:t>Gmo.com. (2025). </w:t>
      </w:r>
      <w:r w:rsidR="00707A8A" w:rsidRPr="00707A8A">
        <w:rPr>
          <w:i/>
          <w:iCs/>
        </w:rPr>
        <w:t>Valuing AI: Extreme Bubble, New Golden Era, or Both</w:t>
      </w:r>
      <w:r w:rsidR="00707A8A" w:rsidRPr="00707A8A">
        <w:t>. [online] Available at: https://www.gmo.com/europe/research-library/valuing-ai-extreme-bubble-new-golden-era-or-both_viewpoints/ [Accessed 7 Feb. 2026].</w:t>
      </w:r>
    </w:p>
    <w:p w14:paraId="75FA19C4" w14:textId="77777777" w:rsidR="00052934" w:rsidRPr="00052934" w:rsidRDefault="00052934" w:rsidP="002972AF">
      <w:pPr>
        <w:jc w:val="both"/>
      </w:pPr>
      <w:r w:rsidRPr="00052934">
        <w:t>Goldmansachs.com. (2023). </w:t>
      </w:r>
      <w:r w:rsidRPr="00052934">
        <w:rPr>
          <w:i/>
          <w:iCs/>
        </w:rPr>
        <w:t>Why AI stocks aren’t in a bubble</w:t>
      </w:r>
      <w:r w:rsidRPr="00052934">
        <w:t>. [online] Available at: https://www.goldmansachs.com/insights/articles/why-ai-stocks-arent-in-a-bubble.</w:t>
      </w:r>
    </w:p>
    <w:p w14:paraId="16BB6C04" w14:textId="54B18B37" w:rsidR="00052934" w:rsidRDefault="00052934" w:rsidP="002972AF">
      <w:pPr>
        <w:jc w:val="both"/>
      </w:pPr>
      <w:r w:rsidRPr="00052934">
        <w:t>‌</w:t>
      </w:r>
      <w:r w:rsidR="001D4DC1" w:rsidRPr="001D4DC1">
        <w:t>Morningstar, I. (2025). </w:t>
      </w:r>
      <w:r w:rsidR="001D4DC1" w:rsidRPr="001D4DC1">
        <w:rPr>
          <w:i/>
          <w:iCs/>
        </w:rPr>
        <w:t>European Stock Market Outlook: Where Investors Can Find Value in Q4 | Morningstar UK</w:t>
      </w:r>
      <w:r w:rsidR="001D4DC1" w:rsidRPr="001D4DC1">
        <w:t>. [online] Morningstar, Inc. Available at: https://global.morningstar.com/en-gb/markets/european-stock-market-outlook-where-investors-can-find-value-q4.</w:t>
      </w:r>
    </w:p>
    <w:p w14:paraId="7F97D648" w14:textId="62F529C2" w:rsidR="00736FA8" w:rsidRDefault="00736FA8" w:rsidP="002972AF">
      <w:pPr>
        <w:jc w:val="both"/>
      </w:pPr>
      <w:r w:rsidRPr="00736FA8">
        <w:t xml:space="preserve">Soni, A. (2025). Big Tech to report earnings under </w:t>
      </w:r>
      <w:proofErr w:type="spellStart"/>
      <w:r w:rsidRPr="00736FA8">
        <w:t>specter</w:t>
      </w:r>
      <w:proofErr w:type="spellEnd"/>
      <w:r w:rsidRPr="00736FA8">
        <w:t xml:space="preserve"> of AI bubble. </w:t>
      </w:r>
      <w:r w:rsidRPr="00736FA8">
        <w:rPr>
          <w:i/>
          <w:iCs/>
        </w:rPr>
        <w:t>Reuters</w:t>
      </w:r>
      <w:r w:rsidRPr="00736FA8">
        <w:t xml:space="preserve">. [online] 27 Oct. Available at: </w:t>
      </w:r>
      <w:hyperlink r:id="rId27" w:history="1">
        <w:r w:rsidRPr="00736FA8">
          <w:rPr>
            <w:rStyle w:val="Hyperlink"/>
          </w:rPr>
          <w:t>https://www.reuters.com/business/retail-consumer/big-tech-report-earnings-under-specter-ai-bubble-2025-10-27/</w:t>
        </w:r>
      </w:hyperlink>
      <w:r w:rsidRPr="00736FA8">
        <w:t>.</w:t>
      </w:r>
    </w:p>
    <w:p w14:paraId="62292DE8" w14:textId="63D11624" w:rsidR="00736FA8" w:rsidRPr="00736FA8" w:rsidRDefault="00736FA8" w:rsidP="002972AF">
      <w:pPr>
        <w:jc w:val="both"/>
      </w:pPr>
      <w:r w:rsidRPr="00736FA8">
        <w:t>Guardian staff reporter (2026). </w:t>
      </w:r>
      <w:r w:rsidRPr="00736FA8">
        <w:rPr>
          <w:i/>
          <w:iCs/>
        </w:rPr>
        <w:t>Big tech results show investor demand for payoffs from heavy AI spending</w:t>
      </w:r>
      <w:r w:rsidRPr="00736FA8">
        <w:t xml:space="preserve">. [online] the Guardian. Available at: https://www.theguardian.com/technology/2026/jan/29/big-tech-earnings-reports-ai [Accessed </w:t>
      </w:r>
      <w:r>
        <w:t>5</w:t>
      </w:r>
      <w:r w:rsidRPr="00736FA8">
        <w:t xml:space="preserve"> Feb. 2026].</w:t>
      </w:r>
    </w:p>
    <w:p w14:paraId="433F535F" w14:textId="77777777" w:rsidR="009E414E" w:rsidRPr="009E414E" w:rsidRDefault="00736FA8" w:rsidP="002972AF">
      <w:pPr>
        <w:jc w:val="both"/>
      </w:pPr>
      <w:r w:rsidRPr="00736FA8">
        <w:lastRenderedPageBreak/>
        <w:t>‌</w:t>
      </w:r>
      <w:r w:rsidR="009E414E" w:rsidRPr="009E414E">
        <w:t>Guinnessgi.com. (2025). </w:t>
      </w:r>
      <w:r w:rsidR="009E414E" w:rsidRPr="009E414E">
        <w:rPr>
          <w:i/>
          <w:iCs/>
        </w:rPr>
        <w:t>How has DeepSeek affected the AI Market for investors?</w:t>
      </w:r>
      <w:r w:rsidR="009E414E" w:rsidRPr="009E414E">
        <w:t> [online] Available at: https://www.guinnessgi.com/insights/how-has-deepseek-affected-ai-market-investors.</w:t>
      </w:r>
    </w:p>
    <w:p w14:paraId="1F339BFF" w14:textId="77777777" w:rsidR="009E414E" w:rsidRPr="009E414E" w:rsidRDefault="009E414E" w:rsidP="002972AF">
      <w:pPr>
        <w:jc w:val="both"/>
      </w:pPr>
      <w:r w:rsidRPr="009E414E">
        <w:t>‌Stlouisfed.org. (2024). </w:t>
      </w:r>
      <w:r w:rsidRPr="009E414E">
        <w:rPr>
          <w:i/>
          <w:iCs/>
        </w:rPr>
        <w:t>ICE BofA BBB US Corporate Index Option-Adjusted Spread</w:t>
      </w:r>
      <w:r w:rsidRPr="009E414E">
        <w:t>. [online] Available at: https://fred.stlouisfed.org/series/BAMLC0A4CBBB/.</w:t>
      </w:r>
    </w:p>
    <w:p w14:paraId="42C12503" w14:textId="77777777" w:rsidR="001C2AB2" w:rsidRPr="001C2AB2" w:rsidRDefault="009E414E" w:rsidP="002972AF">
      <w:pPr>
        <w:jc w:val="both"/>
      </w:pPr>
      <w:r w:rsidRPr="009E414E">
        <w:t>‌</w:t>
      </w:r>
      <w:r w:rsidR="001C2AB2" w:rsidRPr="001C2AB2">
        <w:t>Gurufocus.com. (2025). </w:t>
      </w:r>
      <w:r w:rsidR="001C2AB2" w:rsidRPr="001C2AB2">
        <w:rPr>
          <w:i/>
          <w:iCs/>
        </w:rPr>
        <w:t>Tobin Q Charts, Data</w:t>
      </w:r>
      <w:r w:rsidR="001C2AB2" w:rsidRPr="001C2AB2">
        <w:t>. [online] Available at: https://www.gurufocus.com/economic_indicators/99/tobin-q.</w:t>
      </w:r>
    </w:p>
    <w:p w14:paraId="4D5FBB30" w14:textId="77777777" w:rsidR="001C2AB2" w:rsidRPr="001C2AB2" w:rsidRDefault="001C2AB2" w:rsidP="002972AF">
      <w:pPr>
        <w:jc w:val="both"/>
      </w:pPr>
      <w:r w:rsidRPr="001C2AB2">
        <w:t>‌www.currentmarketvaluation.com. (n.d.). </w:t>
      </w:r>
      <w:r w:rsidRPr="001C2AB2">
        <w:rPr>
          <w:i/>
          <w:iCs/>
        </w:rPr>
        <w:t>Price/Earnings Analysis Indicates Stock Market is Overvalued</w:t>
      </w:r>
      <w:r w:rsidRPr="001C2AB2">
        <w:t>. [online] Available at: https://www.currentmarketvaluation.com/models/price-earnings.php.</w:t>
      </w:r>
    </w:p>
    <w:p w14:paraId="4F799078" w14:textId="3C5F1265" w:rsidR="001C2AB2" w:rsidRPr="001C2AB2" w:rsidRDefault="001C2AB2" w:rsidP="002972AF">
      <w:pPr>
        <w:jc w:val="both"/>
      </w:pPr>
      <w:r w:rsidRPr="001C2AB2">
        <w:t>‌Current Market Valuation. (2025). </w:t>
      </w:r>
      <w:r w:rsidRPr="001C2AB2">
        <w:rPr>
          <w:i/>
          <w:iCs/>
        </w:rPr>
        <w:t>Current Market Valuation | Data-Driven US Stock Market Valuation Models</w:t>
      </w:r>
      <w:r w:rsidRPr="001C2AB2">
        <w:t xml:space="preserve">. [online] Available at: https://currentmarketvaluation.com/ [Accessed </w:t>
      </w:r>
      <w:r w:rsidR="00BE00B6">
        <w:t>4</w:t>
      </w:r>
      <w:r w:rsidRPr="001C2AB2">
        <w:t xml:space="preserve"> Feb. 2026].</w:t>
      </w:r>
    </w:p>
    <w:p w14:paraId="7CD9C625" w14:textId="0CCD7D92" w:rsidR="00BE00B6" w:rsidRDefault="001C2AB2" w:rsidP="002972AF">
      <w:pPr>
        <w:jc w:val="both"/>
      </w:pPr>
      <w:r w:rsidRPr="001C2AB2">
        <w:t>‌</w:t>
      </w:r>
      <w:r w:rsidR="00BE00B6" w:rsidRPr="00BE00B6">
        <w:t>Investing.com UK. (2019). </w:t>
      </w:r>
      <w:r w:rsidR="00BE00B6" w:rsidRPr="00BE00B6">
        <w:rPr>
          <w:i/>
          <w:iCs/>
        </w:rPr>
        <w:t>FTSE 100 VIX Index Today (VFTSE) Live Share Price</w:t>
      </w:r>
      <w:r w:rsidR="00BE00B6" w:rsidRPr="00BE00B6">
        <w:t xml:space="preserve">. [online] Available at: </w:t>
      </w:r>
      <w:hyperlink r:id="rId28" w:history="1">
        <w:r w:rsidR="001B7A6D" w:rsidRPr="00EA2E78">
          <w:rPr>
            <w:rStyle w:val="Hyperlink"/>
          </w:rPr>
          <w:t>https://uk.investing.com/indices/ftse-100-vix</w:t>
        </w:r>
      </w:hyperlink>
      <w:r w:rsidR="00BE00B6" w:rsidRPr="00BE00B6">
        <w:t>.</w:t>
      </w:r>
    </w:p>
    <w:p w14:paraId="083DBDCF" w14:textId="3A31D05D" w:rsidR="001B7A6D" w:rsidRDefault="001B7A6D" w:rsidP="002972AF">
      <w:pPr>
        <w:jc w:val="both"/>
      </w:pPr>
      <w:r w:rsidRPr="001B7A6D">
        <w:t>Investing.com UK. (n.d.). </w:t>
      </w:r>
      <w:r w:rsidRPr="001B7A6D">
        <w:rPr>
          <w:i/>
          <w:iCs/>
        </w:rPr>
        <w:t>United Kingdom 10-Year Bond Yield</w:t>
      </w:r>
      <w:r w:rsidRPr="001B7A6D">
        <w:t xml:space="preserve">. [online] Available at: </w:t>
      </w:r>
      <w:hyperlink r:id="rId29" w:history="1">
        <w:r w:rsidR="00C565BD" w:rsidRPr="001B7A6D">
          <w:rPr>
            <w:rStyle w:val="Hyperlink"/>
          </w:rPr>
          <w:t>https://uk.investing.com/rates-bonds/uk-10-year-bond-yield</w:t>
        </w:r>
      </w:hyperlink>
      <w:r w:rsidRPr="001B7A6D">
        <w:t>.</w:t>
      </w:r>
    </w:p>
    <w:p w14:paraId="0EE76BF8" w14:textId="637B0E6A" w:rsidR="00C565BD" w:rsidRDefault="00C565BD" w:rsidP="002972AF">
      <w:pPr>
        <w:jc w:val="both"/>
      </w:pPr>
      <w:r w:rsidRPr="00C565BD">
        <w:t>Gspublishing.com. (2024). </w:t>
      </w:r>
      <w:r w:rsidRPr="00C565BD">
        <w:rPr>
          <w:i/>
          <w:iCs/>
        </w:rPr>
        <w:t>Updating our long-term return forecast for US equities to incorporate the current high level of market concentration</w:t>
      </w:r>
      <w:r w:rsidRPr="00C565BD">
        <w:t xml:space="preserve">. [online] Available at: </w:t>
      </w:r>
      <w:hyperlink r:id="rId30" w:history="1">
        <w:r w:rsidRPr="00C565BD">
          <w:rPr>
            <w:rStyle w:val="Hyperlink"/>
          </w:rPr>
          <w:t>https://www.gspublishing.com/content/research/en/reports/2024/10/18/29e68989-0d2c-4960-bd4b-010a101f711e.html</w:t>
        </w:r>
      </w:hyperlink>
      <w:r w:rsidRPr="00C565BD">
        <w:t>.</w:t>
      </w:r>
    </w:p>
    <w:p w14:paraId="02F81A33" w14:textId="7C7977FB" w:rsidR="00C565BD" w:rsidRDefault="00C565BD" w:rsidP="002972AF">
      <w:pPr>
        <w:jc w:val="both"/>
      </w:pPr>
      <w:r w:rsidRPr="00C565BD">
        <w:t>Jpmorgan.com. (2023). </w:t>
      </w:r>
      <w:r w:rsidRPr="00C565BD">
        <w:rPr>
          <w:i/>
          <w:iCs/>
        </w:rPr>
        <w:t>What’s driving stock market returns?</w:t>
      </w:r>
      <w:r w:rsidRPr="00C565BD">
        <w:t xml:space="preserve"> [online] Available at: https://am.jpmorgan.com/us/en/asset-management/adv/insights/market-insights/market-updates/on-the-minds-of-investors/whats-driving-stock-market-returns/ [Accessed </w:t>
      </w:r>
      <w:r>
        <w:t>4</w:t>
      </w:r>
      <w:r w:rsidRPr="00C565BD">
        <w:t xml:space="preserve"> Feb. 2026].</w:t>
      </w:r>
    </w:p>
    <w:p w14:paraId="7D529072" w14:textId="4A4D92A8" w:rsidR="00C565BD" w:rsidRDefault="00C565BD" w:rsidP="002972AF">
      <w:pPr>
        <w:jc w:val="both"/>
      </w:pPr>
      <w:r w:rsidRPr="00C565BD">
        <w:t>Thompson, C. (2024). </w:t>
      </w:r>
      <w:r w:rsidRPr="00C565BD">
        <w:rPr>
          <w:i/>
          <w:iCs/>
        </w:rPr>
        <w:t>Magnificent 7 Stocks: What You Need to Know</w:t>
      </w:r>
      <w:r w:rsidRPr="00C565BD">
        <w:t xml:space="preserve">. [online] Investopedia. Available at: </w:t>
      </w:r>
      <w:hyperlink r:id="rId31" w:history="1">
        <w:r w:rsidR="00A94DD0" w:rsidRPr="00C565BD">
          <w:rPr>
            <w:rStyle w:val="Hyperlink"/>
          </w:rPr>
          <w:t>https://www.investopedia.com/magnificent-seven-stocks-8402262</w:t>
        </w:r>
      </w:hyperlink>
      <w:r w:rsidRPr="00C565BD">
        <w:t>.</w:t>
      </w:r>
    </w:p>
    <w:p w14:paraId="49937D17" w14:textId="110F7BEE" w:rsidR="00BE00B6" w:rsidRPr="00BE00B6" w:rsidRDefault="00A94DD0" w:rsidP="002972AF">
      <w:pPr>
        <w:jc w:val="both"/>
      </w:pPr>
      <w:r w:rsidRPr="00A94DD0">
        <w:t>Drew, M. (2025). </w:t>
      </w:r>
      <w:r w:rsidRPr="00A94DD0">
        <w:rPr>
          <w:i/>
          <w:iCs/>
        </w:rPr>
        <w:t>The Mag 7 in Charts: How Big Tech Dominates the Market</w:t>
      </w:r>
      <w:r w:rsidRPr="00A94DD0">
        <w:t>. [online] Investopedia. Available at: https://www.investopedia.com/the-mag-7-in-charts-how-big-tech-dominates-the-market-11866473.</w:t>
      </w:r>
    </w:p>
    <w:p w14:paraId="34348BA0" w14:textId="3A32BABD" w:rsidR="001D4DC1" w:rsidRPr="00052934" w:rsidRDefault="001D4DC1" w:rsidP="002972AF">
      <w:pPr>
        <w:jc w:val="both"/>
      </w:pPr>
    </w:p>
    <w:p w14:paraId="58A196F2" w14:textId="77777777" w:rsidR="00405E86" w:rsidRPr="00405E86" w:rsidRDefault="00405E86" w:rsidP="002972AF">
      <w:pPr>
        <w:jc w:val="both"/>
      </w:pPr>
      <w:r w:rsidRPr="00405E86">
        <w:t>‌</w:t>
      </w:r>
    </w:p>
    <w:p w14:paraId="410E9F4E" w14:textId="77777777" w:rsidR="00405E86" w:rsidRPr="00707A8A" w:rsidRDefault="00405E86" w:rsidP="002972AF">
      <w:pPr>
        <w:jc w:val="both"/>
      </w:pPr>
    </w:p>
    <w:p w14:paraId="655E2136" w14:textId="11EE6BB8" w:rsidR="004D75AB" w:rsidRPr="009E2572" w:rsidRDefault="00707A8A" w:rsidP="002972AF">
      <w:pPr>
        <w:jc w:val="both"/>
        <w:rPr>
          <w:lang w:eastAsia="en-IN"/>
        </w:rPr>
      </w:pPr>
      <w:r w:rsidRPr="00707A8A">
        <w:rPr>
          <w:lang w:eastAsia="en-IN"/>
        </w:rPr>
        <w:t>‌</w:t>
      </w:r>
    </w:p>
    <w:sectPr w:rsidR="004D75AB" w:rsidRPr="009E2572">
      <w:headerReference w:type="default" r:id="rId32"/>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C8038" w14:textId="77777777" w:rsidR="007B20D1" w:rsidRDefault="007B20D1" w:rsidP="00561027">
      <w:pPr>
        <w:spacing w:after="0" w:line="240" w:lineRule="auto"/>
      </w:pPr>
      <w:r>
        <w:separator/>
      </w:r>
    </w:p>
  </w:endnote>
  <w:endnote w:type="continuationSeparator" w:id="0">
    <w:p w14:paraId="185B8357" w14:textId="77777777" w:rsidR="007B20D1" w:rsidRDefault="007B20D1" w:rsidP="00561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2AC0" w14:textId="77777777" w:rsidR="00B112BF" w:rsidRDefault="00B112BF">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78E0B2B" w14:textId="77777777" w:rsidR="00B112BF" w:rsidRDefault="00B112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9A055" w14:textId="77777777" w:rsidR="007B20D1" w:rsidRDefault="007B20D1" w:rsidP="00561027">
      <w:pPr>
        <w:spacing w:after="0" w:line="240" w:lineRule="auto"/>
      </w:pPr>
      <w:r>
        <w:separator/>
      </w:r>
    </w:p>
  </w:footnote>
  <w:footnote w:type="continuationSeparator" w:id="0">
    <w:p w14:paraId="21DE8ACB" w14:textId="77777777" w:rsidR="007B20D1" w:rsidRDefault="007B20D1" w:rsidP="005610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4D74" w14:textId="6A88F96B" w:rsidR="00561027" w:rsidRDefault="00561027">
    <w:pPr>
      <w:pStyle w:val="Header"/>
    </w:pPr>
    <w:r>
      <w:rPr>
        <w:noProof/>
        <w:sz w:val="20"/>
      </w:rPr>
      <w:drawing>
        <wp:anchor distT="0" distB="0" distL="0" distR="0" simplePos="0" relativeHeight="251659264" behindDoc="1" locked="0" layoutInCell="1" allowOverlap="1" wp14:anchorId="6C4501E1" wp14:editId="61D75CF7">
          <wp:simplePos x="0" y="0"/>
          <wp:positionH relativeFrom="page">
            <wp:posOffset>4945380</wp:posOffset>
          </wp:positionH>
          <wp:positionV relativeFrom="page">
            <wp:posOffset>220345</wp:posOffset>
          </wp:positionV>
          <wp:extent cx="1959494" cy="45360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59494" cy="453609"/>
                  </a:xfrm>
                  <a:prstGeom prst="rect">
                    <a:avLst/>
                  </a:prstGeom>
                </pic:spPr>
              </pic:pic>
            </a:graphicData>
          </a:graphic>
        </wp:anchor>
      </w:drawing>
    </w:r>
  </w:p>
  <w:p w14:paraId="3095E7A5" w14:textId="77777777" w:rsidR="00561027" w:rsidRDefault="005610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96DD0"/>
    <w:multiLevelType w:val="hybridMultilevel"/>
    <w:tmpl w:val="0C7681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681723"/>
    <w:multiLevelType w:val="hybridMultilevel"/>
    <w:tmpl w:val="8ABCBA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727824"/>
    <w:multiLevelType w:val="hybridMultilevel"/>
    <w:tmpl w:val="86CCB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651BD7"/>
    <w:multiLevelType w:val="hybridMultilevel"/>
    <w:tmpl w:val="6B0885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F539F4"/>
    <w:multiLevelType w:val="hybridMultilevel"/>
    <w:tmpl w:val="EF7282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BC3D13"/>
    <w:multiLevelType w:val="hybridMultilevel"/>
    <w:tmpl w:val="9000C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7472CA9"/>
    <w:multiLevelType w:val="hybridMultilevel"/>
    <w:tmpl w:val="F16A2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9DE18BA"/>
    <w:multiLevelType w:val="hybridMultilevel"/>
    <w:tmpl w:val="A4106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DB02063"/>
    <w:multiLevelType w:val="hybridMultilevel"/>
    <w:tmpl w:val="6988EF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5975420">
    <w:abstractNumId w:val="3"/>
  </w:num>
  <w:num w:numId="2" w16cid:durableId="1564021282">
    <w:abstractNumId w:val="4"/>
  </w:num>
  <w:num w:numId="3" w16cid:durableId="1660384685">
    <w:abstractNumId w:val="1"/>
  </w:num>
  <w:num w:numId="4" w16cid:durableId="1168330052">
    <w:abstractNumId w:val="7"/>
  </w:num>
  <w:num w:numId="5" w16cid:durableId="110632341">
    <w:abstractNumId w:val="0"/>
  </w:num>
  <w:num w:numId="6" w16cid:durableId="1404177087">
    <w:abstractNumId w:val="5"/>
  </w:num>
  <w:num w:numId="7" w16cid:durableId="1246106821">
    <w:abstractNumId w:val="6"/>
  </w:num>
  <w:num w:numId="8" w16cid:durableId="600068926">
    <w:abstractNumId w:val="2"/>
  </w:num>
  <w:num w:numId="9" w16cid:durableId="11348356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1D"/>
    <w:rsid w:val="0000001C"/>
    <w:rsid w:val="000012AC"/>
    <w:rsid w:val="000013BC"/>
    <w:rsid w:val="00002465"/>
    <w:rsid w:val="00010CAA"/>
    <w:rsid w:val="00020167"/>
    <w:rsid w:val="00021B74"/>
    <w:rsid w:val="00030739"/>
    <w:rsid w:val="00030AFF"/>
    <w:rsid w:val="000332B2"/>
    <w:rsid w:val="000332EC"/>
    <w:rsid w:val="000411D5"/>
    <w:rsid w:val="00044908"/>
    <w:rsid w:val="0005038E"/>
    <w:rsid w:val="00052934"/>
    <w:rsid w:val="000556EE"/>
    <w:rsid w:val="00055924"/>
    <w:rsid w:val="00055DE8"/>
    <w:rsid w:val="000661BF"/>
    <w:rsid w:val="00066B06"/>
    <w:rsid w:val="0007576C"/>
    <w:rsid w:val="00080B52"/>
    <w:rsid w:val="00082532"/>
    <w:rsid w:val="00083035"/>
    <w:rsid w:val="000831B0"/>
    <w:rsid w:val="00085619"/>
    <w:rsid w:val="000866ED"/>
    <w:rsid w:val="00092C1A"/>
    <w:rsid w:val="000A0709"/>
    <w:rsid w:val="000A409F"/>
    <w:rsid w:val="000A68E7"/>
    <w:rsid w:val="000B1D36"/>
    <w:rsid w:val="000B6CEA"/>
    <w:rsid w:val="000C1A36"/>
    <w:rsid w:val="000C36A1"/>
    <w:rsid w:val="000C375A"/>
    <w:rsid w:val="000C60D5"/>
    <w:rsid w:val="000C642C"/>
    <w:rsid w:val="000D2EB0"/>
    <w:rsid w:val="000E3681"/>
    <w:rsid w:val="000F1B13"/>
    <w:rsid w:val="001006B5"/>
    <w:rsid w:val="001010BE"/>
    <w:rsid w:val="00102799"/>
    <w:rsid w:val="00106535"/>
    <w:rsid w:val="001079BE"/>
    <w:rsid w:val="001222BA"/>
    <w:rsid w:val="00122E34"/>
    <w:rsid w:val="001263C1"/>
    <w:rsid w:val="00126C39"/>
    <w:rsid w:val="00126F3B"/>
    <w:rsid w:val="00130BB5"/>
    <w:rsid w:val="00130FD1"/>
    <w:rsid w:val="00135535"/>
    <w:rsid w:val="00142663"/>
    <w:rsid w:val="00144FC6"/>
    <w:rsid w:val="001474B6"/>
    <w:rsid w:val="00147747"/>
    <w:rsid w:val="0015105C"/>
    <w:rsid w:val="00160C3F"/>
    <w:rsid w:val="00160CBF"/>
    <w:rsid w:val="00165118"/>
    <w:rsid w:val="001710CC"/>
    <w:rsid w:val="00172A1A"/>
    <w:rsid w:val="00174F16"/>
    <w:rsid w:val="00176842"/>
    <w:rsid w:val="00184685"/>
    <w:rsid w:val="001858C6"/>
    <w:rsid w:val="00185C79"/>
    <w:rsid w:val="00187178"/>
    <w:rsid w:val="001933F1"/>
    <w:rsid w:val="001A06CD"/>
    <w:rsid w:val="001A5DB0"/>
    <w:rsid w:val="001B281F"/>
    <w:rsid w:val="001B7A6D"/>
    <w:rsid w:val="001B7B41"/>
    <w:rsid w:val="001C2AB2"/>
    <w:rsid w:val="001C4E54"/>
    <w:rsid w:val="001C65BB"/>
    <w:rsid w:val="001C79A6"/>
    <w:rsid w:val="001D2B42"/>
    <w:rsid w:val="001D4716"/>
    <w:rsid w:val="001D4DC1"/>
    <w:rsid w:val="001D7F90"/>
    <w:rsid w:val="001E3032"/>
    <w:rsid w:val="001E5593"/>
    <w:rsid w:val="001E6C38"/>
    <w:rsid w:val="001F1049"/>
    <w:rsid w:val="001F2A45"/>
    <w:rsid w:val="001F3447"/>
    <w:rsid w:val="0020161D"/>
    <w:rsid w:val="00204FB5"/>
    <w:rsid w:val="002077F0"/>
    <w:rsid w:val="002110EB"/>
    <w:rsid w:val="002129A2"/>
    <w:rsid w:val="00212BFE"/>
    <w:rsid w:val="002155A4"/>
    <w:rsid w:val="00215872"/>
    <w:rsid w:val="00215F34"/>
    <w:rsid w:val="002209CD"/>
    <w:rsid w:val="0022414F"/>
    <w:rsid w:val="00246550"/>
    <w:rsid w:val="0025058C"/>
    <w:rsid w:val="002535C5"/>
    <w:rsid w:val="00253FFF"/>
    <w:rsid w:val="0026066C"/>
    <w:rsid w:val="00264EE4"/>
    <w:rsid w:val="00266CE9"/>
    <w:rsid w:val="00266E37"/>
    <w:rsid w:val="002672BD"/>
    <w:rsid w:val="00272DAD"/>
    <w:rsid w:val="00274894"/>
    <w:rsid w:val="00274D15"/>
    <w:rsid w:val="00275DCF"/>
    <w:rsid w:val="0027765B"/>
    <w:rsid w:val="0028122A"/>
    <w:rsid w:val="00285F04"/>
    <w:rsid w:val="002862C8"/>
    <w:rsid w:val="00286886"/>
    <w:rsid w:val="00290338"/>
    <w:rsid w:val="0029168F"/>
    <w:rsid w:val="00292690"/>
    <w:rsid w:val="00294B0A"/>
    <w:rsid w:val="002972AF"/>
    <w:rsid w:val="002A115B"/>
    <w:rsid w:val="002C0D61"/>
    <w:rsid w:val="002C1AB1"/>
    <w:rsid w:val="002C3EEF"/>
    <w:rsid w:val="002C4B7F"/>
    <w:rsid w:val="002C7D47"/>
    <w:rsid w:val="002D2AB6"/>
    <w:rsid w:val="002E1492"/>
    <w:rsid w:val="002E3559"/>
    <w:rsid w:val="002E6316"/>
    <w:rsid w:val="002F02E9"/>
    <w:rsid w:val="002F2050"/>
    <w:rsid w:val="002F28E8"/>
    <w:rsid w:val="002F7E72"/>
    <w:rsid w:val="003027CC"/>
    <w:rsid w:val="00303A51"/>
    <w:rsid w:val="00305F77"/>
    <w:rsid w:val="00315ABD"/>
    <w:rsid w:val="00322E89"/>
    <w:rsid w:val="0032494C"/>
    <w:rsid w:val="00325A0A"/>
    <w:rsid w:val="00333C35"/>
    <w:rsid w:val="00334ABC"/>
    <w:rsid w:val="00336BB3"/>
    <w:rsid w:val="00337C64"/>
    <w:rsid w:val="00347764"/>
    <w:rsid w:val="00351DCB"/>
    <w:rsid w:val="00367A64"/>
    <w:rsid w:val="0037054A"/>
    <w:rsid w:val="0037384F"/>
    <w:rsid w:val="0037432E"/>
    <w:rsid w:val="003750AE"/>
    <w:rsid w:val="003766F4"/>
    <w:rsid w:val="00384C36"/>
    <w:rsid w:val="0038552F"/>
    <w:rsid w:val="00395B63"/>
    <w:rsid w:val="003A126F"/>
    <w:rsid w:val="003A3B67"/>
    <w:rsid w:val="003A3D0E"/>
    <w:rsid w:val="003A3DE3"/>
    <w:rsid w:val="003A3F32"/>
    <w:rsid w:val="003A74D7"/>
    <w:rsid w:val="003B1A18"/>
    <w:rsid w:val="003B5999"/>
    <w:rsid w:val="003B736F"/>
    <w:rsid w:val="003B7B6C"/>
    <w:rsid w:val="003C2A90"/>
    <w:rsid w:val="003D63FC"/>
    <w:rsid w:val="003E0643"/>
    <w:rsid w:val="003E0990"/>
    <w:rsid w:val="003E17D2"/>
    <w:rsid w:val="003E58DE"/>
    <w:rsid w:val="004015A5"/>
    <w:rsid w:val="00403801"/>
    <w:rsid w:val="00405E86"/>
    <w:rsid w:val="00407454"/>
    <w:rsid w:val="00413D21"/>
    <w:rsid w:val="004148BF"/>
    <w:rsid w:val="0041494F"/>
    <w:rsid w:val="004227F0"/>
    <w:rsid w:val="00423BD1"/>
    <w:rsid w:val="004242A8"/>
    <w:rsid w:val="00426AE1"/>
    <w:rsid w:val="00427160"/>
    <w:rsid w:val="004410D1"/>
    <w:rsid w:val="00446D0C"/>
    <w:rsid w:val="0045163C"/>
    <w:rsid w:val="00454972"/>
    <w:rsid w:val="00457781"/>
    <w:rsid w:val="00460003"/>
    <w:rsid w:val="004653FF"/>
    <w:rsid w:val="0046667F"/>
    <w:rsid w:val="00471BF8"/>
    <w:rsid w:val="00481A83"/>
    <w:rsid w:val="0048473B"/>
    <w:rsid w:val="00492ADD"/>
    <w:rsid w:val="004962E2"/>
    <w:rsid w:val="004964DE"/>
    <w:rsid w:val="004A30CF"/>
    <w:rsid w:val="004A3D22"/>
    <w:rsid w:val="004A61D9"/>
    <w:rsid w:val="004A7E9C"/>
    <w:rsid w:val="004B43EF"/>
    <w:rsid w:val="004B744A"/>
    <w:rsid w:val="004C3643"/>
    <w:rsid w:val="004C3F46"/>
    <w:rsid w:val="004D3236"/>
    <w:rsid w:val="004D75AB"/>
    <w:rsid w:val="004E0393"/>
    <w:rsid w:val="004E556D"/>
    <w:rsid w:val="004E6B21"/>
    <w:rsid w:val="004E7488"/>
    <w:rsid w:val="004F0CF6"/>
    <w:rsid w:val="00502069"/>
    <w:rsid w:val="00502803"/>
    <w:rsid w:val="0050346A"/>
    <w:rsid w:val="00504282"/>
    <w:rsid w:val="005049C9"/>
    <w:rsid w:val="00504B7F"/>
    <w:rsid w:val="00506716"/>
    <w:rsid w:val="00514A29"/>
    <w:rsid w:val="00515638"/>
    <w:rsid w:val="00515A0A"/>
    <w:rsid w:val="005319CD"/>
    <w:rsid w:val="00532996"/>
    <w:rsid w:val="005355A6"/>
    <w:rsid w:val="00542694"/>
    <w:rsid w:val="00542A00"/>
    <w:rsid w:val="005430B5"/>
    <w:rsid w:val="005434B4"/>
    <w:rsid w:val="00543FB5"/>
    <w:rsid w:val="005455DF"/>
    <w:rsid w:val="005459F6"/>
    <w:rsid w:val="005464E6"/>
    <w:rsid w:val="005537B9"/>
    <w:rsid w:val="00554128"/>
    <w:rsid w:val="00555323"/>
    <w:rsid w:val="00555700"/>
    <w:rsid w:val="0055756F"/>
    <w:rsid w:val="00560701"/>
    <w:rsid w:val="00561027"/>
    <w:rsid w:val="00561C79"/>
    <w:rsid w:val="005757B9"/>
    <w:rsid w:val="00580F15"/>
    <w:rsid w:val="00584072"/>
    <w:rsid w:val="00584238"/>
    <w:rsid w:val="00585229"/>
    <w:rsid w:val="005874BD"/>
    <w:rsid w:val="00591ADD"/>
    <w:rsid w:val="005B0462"/>
    <w:rsid w:val="005B1893"/>
    <w:rsid w:val="005D4642"/>
    <w:rsid w:val="005E0C1B"/>
    <w:rsid w:val="005E2FF5"/>
    <w:rsid w:val="005F0F9B"/>
    <w:rsid w:val="005F1A2D"/>
    <w:rsid w:val="00603482"/>
    <w:rsid w:val="00603DC2"/>
    <w:rsid w:val="00610AA7"/>
    <w:rsid w:val="00615E2F"/>
    <w:rsid w:val="006176D8"/>
    <w:rsid w:val="0064224E"/>
    <w:rsid w:val="00642930"/>
    <w:rsid w:val="006459B4"/>
    <w:rsid w:val="00653929"/>
    <w:rsid w:val="00660ECF"/>
    <w:rsid w:val="00663667"/>
    <w:rsid w:val="00664D70"/>
    <w:rsid w:val="006666AC"/>
    <w:rsid w:val="00671067"/>
    <w:rsid w:val="00675A81"/>
    <w:rsid w:val="00677AF7"/>
    <w:rsid w:val="0068138E"/>
    <w:rsid w:val="00682039"/>
    <w:rsid w:val="0068478D"/>
    <w:rsid w:val="00691287"/>
    <w:rsid w:val="0069131C"/>
    <w:rsid w:val="00691B06"/>
    <w:rsid w:val="00693787"/>
    <w:rsid w:val="006A00B8"/>
    <w:rsid w:val="006A0DDF"/>
    <w:rsid w:val="006A40A9"/>
    <w:rsid w:val="006A5936"/>
    <w:rsid w:val="006A60B5"/>
    <w:rsid w:val="006B56CB"/>
    <w:rsid w:val="006B695F"/>
    <w:rsid w:val="006C02A7"/>
    <w:rsid w:val="006C16B4"/>
    <w:rsid w:val="006C3958"/>
    <w:rsid w:val="006C4DE4"/>
    <w:rsid w:val="006D2A0D"/>
    <w:rsid w:val="006E218F"/>
    <w:rsid w:val="006E2ED6"/>
    <w:rsid w:val="006E4420"/>
    <w:rsid w:val="006E5BDB"/>
    <w:rsid w:val="006F03BC"/>
    <w:rsid w:val="006F217A"/>
    <w:rsid w:val="006F5F1E"/>
    <w:rsid w:val="006F6B1A"/>
    <w:rsid w:val="00700F70"/>
    <w:rsid w:val="007067AA"/>
    <w:rsid w:val="00707A8A"/>
    <w:rsid w:val="00710B7D"/>
    <w:rsid w:val="00717F63"/>
    <w:rsid w:val="007224A3"/>
    <w:rsid w:val="0073339D"/>
    <w:rsid w:val="00736FA8"/>
    <w:rsid w:val="00742095"/>
    <w:rsid w:val="007436A5"/>
    <w:rsid w:val="0074739C"/>
    <w:rsid w:val="00754640"/>
    <w:rsid w:val="00761A5A"/>
    <w:rsid w:val="00762A65"/>
    <w:rsid w:val="00763030"/>
    <w:rsid w:val="007674C4"/>
    <w:rsid w:val="00772D8C"/>
    <w:rsid w:val="00773AD5"/>
    <w:rsid w:val="00773ED9"/>
    <w:rsid w:val="00784046"/>
    <w:rsid w:val="00784089"/>
    <w:rsid w:val="007920CA"/>
    <w:rsid w:val="0079729C"/>
    <w:rsid w:val="00797FC9"/>
    <w:rsid w:val="007A2A4C"/>
    <w:rsid w:val="007B1E24"/>
    <w:rsid w:val="007B20A8"/>
    <w:rsid w:val="007B20D1"/>
    <w:rsid w:val="007B5968"/>
    <w:rsid w:val="007B66E2"/>
    <w:rsid w:val="007C4B97"/>
    <w:rsid w:val="007D06E7"/>
    <w:rsid w:val="007D26F6"/>
    <w:rsid w:val="007D4BDD"/>
    <w:rsid w:val="007E05DE"/>
    <w:rsid w:val="007E0E75"/>
    <w:rsid w:val="007E0F92"/>
    <w:rsid w:val="007F1BB0"/>
    <w:rsid w:val="007F44A9"/>
    <w:rsid w:val="008114F1"/>
    <w:rsid w:val="00812CD5"/>
    <w:rsid w:val="00816A65"/>
    <w:rsid w:val="008176AD"/>
    <w:rsid w:val="008332FC"/>
    <w:rsid w:val="0084035C"/>
    <w:rsid w:val="00844319"/>
    <w:rsid w:val="00844794"/>
    <w:rsid w:val="008539BC"/>
    <w:rsid w:val="00867595"/>
    <w:rsid w:val="00877645"/>
    <w:rsid w:val="00880F8B"/>
    <w:rsid w:val="00881C15"/>
    <w:rsid w:val="008823B5"/>
    <w:rsid w:val="00887A22"/>
    <w:rsid w:val="008900A9"/>
    <w:rsid w:val="008B3059"/>
    <w:rsid w:val="008B42C2"/>
    <w:rsid w:val="008B475A"/>
    <w:rsid w:val="008C03C8"/>
    <w:rsid w:val="008C0A45"/>
    <w:rsid w:val="008C4EC6"/>
    <w:rsid w:val="008C6AAA"/>
    <w:rsid w:val="008D02FE"/>
    <w:rsid w:val="008D09A7"/>
    <w:rsid w:val="008D0AE5"/>
    <w:rsid w:val="008D195F"/>
    <w:rsid w:val="008D1BE7"/>
    <w:rsid w:val="008D2740"/>
    <w:rsid w:val="008E2BDD"/>
    <w:rsid w:val="008E45C2"/>
    <w:rsid w:val="008E54EE"/>
    <w:rsid w:val="008F6025"/>
    <w:rsid w:val="0090174C"/>
    <w:rsid w:val="0090295A"/>
    <w:rsid w:val="00911B07"/>
    <w:rsid w:val="009211BA"/>
    <w:rsid w:val="00925964"/>
    <w:rsid w:val="009270AB"/>
    <w:rsid w:val="00931E87"/>
    <w:rsid w:val="0093214A"/>
    <w:rsid w:val="0094030C"/>
    <w:rsid w:val="0094666B"/>
    <w:rsid w:val="0094718E"/>
    <w:rsid w:val="009577B9"/>
    <w:rsid w:val="00960B0E"/>
    <w:rsid w:val="00960B54"/>
    <w:rsid w:val="0096408D"/>
    <w:rsid w:val="00967517"/>
    <w:rsid w:val="00973F92"/>
    <w:rsid w:val="00975388"/>
    <w:rsid w:val="009816EE"/>
    <w:rsid w:val="00982C78"/>
    <w:rsid w:val="00983E38"/>
    <w:rsid w:val="009863C7"/>
    <w:rsid w:val="009878E5"/>
    <w:rsid w:val="009918AE"/>
    <w:rsid w:val="00992E03"/>
    <w:rsid w:val="00995329"/>
    <w:rsid w:val="009953CB"/>
    <w:rsid w:val="00995B6F"/>
    <w:rsid w:val="009A2449"/>
    <w:rsid w:val="009A39D2"/>
    <w:rsid w:val="009A5191"/>
    <w:rsid w:val="009A551F"/>
    <w:rsid w:val="009B1336"/>
    <w:rsid w:val="009C2CC7"/>
    <w:rsid w:val="009C3056"/>
    <w:rsid w:val="009C602B"/>
    <w:rsid w:val="009D14D8"/>
    <w:rsid w:val="009D599B"/>
    <w:rsid w:val="009E23CD"/>
    <w:rsid w:val="009E2572"/>
    <w:rsid w:val="009E34EE"/>
    <w:rsid w:val="009E414E"/>
    <w:rsid w:val="009E6445"/>
    <w:rsid w:val="00A0008E"/>
    <w:rsid w:val="00A004D2"/>
    <w:rsid w:val="00A02123"/>
    <w:rsid w:val="00A034F1"/>
    <w:rsid w:val="00A03BF9"/>
    <w:rsid w:val="00A112D4"/>
    <w:rsid w:val="00A11854"/>
    <w:rsid w:val="00A177C2"/>
    <w:rsid w:val="00A23BC0"/>
    <w:rsid w:val="00A2449A"/>
    <w:rsid w:val="00A453B2"/>
    <w:rsid w:val="00A47100"/>
    <w:rsid w:val="00A51FEE"/>
    <w:rsid w:val="00A570A4"/>
    <w:rsid w:val="00A578AA"/>
    <w:rsid w:val="00A57AB4"/>
    <w:rsid w:val="00A57E19"/>
    <w:rsid w:val="00A61889"/>
    <w:rsid w:val="00A61DF5"/>
    <w:rsid w:val="00A71276"/>
    <w:rsid w:val="00A83ADF"/>
    <w:rsid w:val="00A83CCF"/>
    <w:rsid w:val="00A84561"/>
    <w:rsid w:val="00A94DD0"/>
    <w:rsid w:val="00AA231D"/>
    <w:rsid w:val="00AA34CF"/>
    <w:rsid w:val="00AA53BE"/>
    <w:rsid w:val="00AB4322"/>
    <w:rsid w:val="00AC0270"/>
    <w:rsid w:val="00AC0D8F"/>
    <w:rsid w:val="00AC3329"/>
    <w:rsid w:val="00AC5E86"/>
    <w:rsid w:val="00AD033A"/>
    <w:rsid w:val="00AD3ED1"/>
    <w:rsid w:val="00AD6070"/>
    <w:rsid w:val="00AE0D11"/>
    <w:rsid w:val="00AE2A18"/>
    <w:rsid w:val="00AE43D0"/>
    <w:rsid w:val="00AF60E4"/>
    <w:rsid w:val="00AF6C30"/>
    <w:rsid w:val="00B00556"/>
    <w:rsid w:val="00B06FDB"/>
    <w:rsid w:val="00B071FA"/>
    <w:rsid w:val="00B112BF"/>
    <w:rsid w:val="00B23FA6"/>
    <w:rsid w:val="00B40D70"/>
    <w:rsid w:val="00B506C9"/>
    <w:rsid w:val="00B50EE6"/>
    <w:rsid w:val="00B51066"/>
    <w:rsid w:val="00B54AC9"/>
    <w:rsid w:val="00B61955"/>
    <w:rsid w:val="00B61FBC"/>
    <w:rsid w:val="00B62213"/>
    <w:rsid w:val="00B75374"/>
    <w:rsid w:val="00B825C3"/>
    <w:rsid w:val="00B900FE"/>
    <w:rsid w:val="00B90D7A"/>
    <w:rsid w:val="00BA0C04"/>
    <w:rsid w:val="00BA0DDC"/>
    <w:rsid w:val="00BA1466"/>
    <w:rsid w:val="00BA2F72"/>
    <w:rsid w:val="00BB38BE"/>
    <w:rsid w:val="00BC4895"/>
    <w:rsid w:val="00BC7675"/>
    <w:rsid w:val="00BC78E1"/>
    <w:rsid w:val="00BD45C8"/>
    <w:rsid w:val="00BD627D"/>
    <w:rsid w:val="00BD735A"/>
    <w:rsid w:val="00BE00B6"/>
    <w:rsid w:val="00BE04E4"/>
    <w:rsid w:val="00BE38C4"/>
    <w:rsid w:val="00BE3F28"/>
    <w:rsid w:val="00BE5338"/>
    <w:rsid w:val="00BF58BC"/>
    <w:rsid w:val="00BF641E"/>
    <w:rsid w:val="00BF7815"/>
    <w:rsid w:val="00C02CA7"/>
    <w:rsid w:val="00C0641C"/>
    <w:rsid w:val="00C10810"/>
    <w:rsid w:val="00C15841"/>
    <w:rsid w:val="00C20725"/>
    <w:rsid w:val="00C24CE4"/>
    <w:rsid w:val="00C30806"/>
    <w:rsid w:val="00C40073"/>
    <w:rsid w:val="00C4081E"/>
    <w:rsid w:val="00C5441D"/>
    <w:rsid w:val="00C565BD"/>
    <w:rsid w:val="00C65D5E"/>
    <w:rsid w:val="00C71BDA"/>
    <w:rsid w:val="00C76E18"/>
    <w:rsid w:val="00C82011"/>
    <w:rsid w:val="00C91559"/>
    <w:rsid w:val="00C92D87"/>
    <w:rsid w:val="00CA5D9F"/>
    <w:rsid w:val="00CB231F"/>
    <w:rsid w:val="00CB37D1"/>
    <w:rsid w:val="00CB5DC5"/>
    <w:rsid w:val="00CB7E5B"/>
    <w:rsid w:val="00CC0B69"/>
    <w:rsid w:val="00CD1340"/>
    <w:rsid w:val="00CD5531"/>
    <w:rsid w:val="00CD61F4"/>
    <w:rsid w:val="00CE0279"/>
    <w:rsid w:val="00CE0BCF"/>
    <w:rsid w:val="00CE475D"/>
    <w:rsid w:val="00CE4F3E"/>
    <w:rsid w:val="00CE69FB"/>
    <w:rsid w:val="00CF1A40"/>
    <w:rsid w:val="00CF3E8D"/>
    <w:rsid w:val="00D01C13"/>
    <w:rsid w:val="00D11C8D"/>
    <w:rsid w:val="00D120C2"/>
    <w:rsid w:val="00D12DCA"/>
    <w:rsid w:val="00D14D5A"/>
    <w:rsid w:val="00D16F0E"/>
    <w:rsid w:val="00D30491"/>
    <w:rsid w:val="00D32CDE"/>
    <w:rsid w:val="00D34CE1"/>
    <w:rsid w:val="00D41526"/>
    <w:rsid w:val="00D426A2"/>
    <w:rsid w:val="00D42E0A"/>
    <w:rsid w:val="00D46B14"/>
    <w:rsid w:val="00D47499"/>
    <w:rsid w:val="00D54233"/>
    <w:rsid w:val="00D606CA"/>
    <w:rsid w:val="00D6129B"/>
    <w:rsid w:val="00D62A61"/>
    <w:rsid w:val="00D638CA"/>
    <w:rsid w:val="00D64156"/>
    <w:rsid w:val="00D740F7"/>
    <w:rsid w:val="00D76148"/>
    <w:rsid w:val="00D87D4E"/>
    <w:rsid w:val="00D92D5A"/>
    <w:rsid w:val="00DA1801"/>
    <w:rsid w:val="00DB1E47"/>
    <w:rsid w:val="00DC0056"/>
    <w:rsid w:val="00DC1322"/>
    <w:rsid w:val="00DC5514"/>
    <w:rsid w:val="00DC5E29"/>
    <w:rsid w:val="00DC7CAC"/>
    <w:rsid w:val="00DE136E"/>
    <w:rsid w:val="00DF0A7D"/>
    <w:rsid w:val="00DF1913"/>
    <w:rsid w:val="00DF1A4B"/>
    <w:rsid w:val="00DF1E6C"/>
    <w:rsid w:val="00DF395B"/>
    <w:rsid w:val="00DF5587"/>
    <w:rsid w:val="00DF7979"/>
    <w:rsid w:val="00E03BCE"/>
    <w:rsid w:val="00E114B3"/>
    <w:rsid w:val="00E2449D"/>
    <w:rsid w:val="00E25D49"/>
    <w:rsid w:val="00E31154"/>
    <w:rsid w:val="00E346B6"/>
    <w:rsid w:val="00E3773F"/>
    <w:rsid w:val="00E4098E"/>
    <w:rsid w:val="00E41FFC"/>
    <w:rsid w:val="00E46912"/>
    <w:rsid w:val="00E53117"/>
    <w:rsid w:val="00E568AE"/>
    <w:rsid w:val="00E57361"/>
    <w:rsid w:val="00E5748B"/>
    <w:rsid w:val="00E617A8"/>
    <w:rsid w:val="00E66250"/>
    <w:rsid w:val="00E7604E"/>
    <w:rsid w:val="00E770AC"/>
    <w:rsid w:val="00E86914"/>
    <w:rsid w:val="00E907C7"/>
    <w:rsid w:val="00E93DCE"/>
    <w:rsid w:val="00EA0115"/>
    <w:rsid w:val="00EA0C02"/>
    <w:rsid w:val="00EA4106"/>
    <w:rsid w:val="00EA4C10"/>
    <w:rsid w:val="00EB04EA"/>
    <w:rsid w:val="00EB1E9B"/>
    <w:rsid w:val="00EB5E63"/>
    <w:rsid w:val="00EB7462"/>
    <w:rsid w:val="00EC0880"/>
    <w:rsid w:val="00EE3E56"/>
    <w:rsid w:val="00EE4E46"/>
    <w:rsid w:val="00EE5557"/>
    <w:rsid w:val="00EF2B49"/>
    <w:rsid w:val="00EF2ED8"/>
    <w:rsid w:val="00EF3712"/>
    <w:rsid w:val="00EF3A0B"/>
    <w:rsid w:val="00EF44AB"/>
    <w:rsid w:val="00EF5703"/>
    <w:rsid w:val="00EF6F01"/>
    <w:rsid w:val="00F010D9"/>
    <w:rsid w:val="00F1206A"/>
    <w:rsid w:val="00F12C03"/>
    <w:rsid w:val="00F24ACC"/>
    <w:rsid w:val="00F30BC1"/>
    <w:rsid w:val="00F30C2A"/>
    <w:rsid w:val="00F31C9A"/>
    <w:rsid w:val="00F411DF"/>
    <w:rsid w:val="00F45C88"/>
    <w:rsid w:val="00F45D33"/>
    <w:rsid w:val="00F47C0A"/>
    <w:rsid w:val="00F53F0D"/>
    <w:rsid w:val="00F5443A"/>
    <w:rsid w:val="00F61D24"/>
    <w:rsid w:val="00F641A1"/>
    <w:rsid w:val="00F642E6"/>
    <w:rsid w:val="00F66193"/>
    <w:rsid w:val="00F703DF"/>
    <w:rsid w:val="00F70AC4"/>
    <w:rsid w:val="00F778A4"/>
    <w:rsid w:val="00F80A74"/>
    <w:rsid w:val="00F818E0"/>
    <w:rsid w:val="00F81BBB"/>
    <w:rsid w:val="00F92E9D"/>
    <w:rsid w:val="00F939EA"/>
    <w:rsid w:val="00F9615C"/>
    <w:rsid w:val="00FA1132"/>
    <w:rsid w:val="00FA176C"/>
    <w:rsid w:val="00FA339D"/>
    <w:rsid w:val="00FA40EF"/>
    <w:rsid w:val="00FB361C"/>
    <w:rsid w:val="00FB4885"/>
    <w:rsid w:val="00FC3345"/>
    <w:rsid w:val="00FC7182"/>
    <w:rsid w:val="00FC79FB"/>
    <w:rsid w:val="00FD0B17"/>
    <w:rsid w:val="00FD21CA"/>
    <w:rsid w:val="00FD7232"/>
    <w:rsid w:val="00FE32D7"/>
    <w:rsid w:val="00FE439E"/>
    <w:rsid w:val="00FE5647"/>
    <w:rsid w:val="00FE604C"/>
    <w:rsid w:val="00FE6C02"/>
    <w:rsid w:val="00FE7BE2"/>
    <w:rsid w:val="00FF41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1B73"/>
  <w15:chartTrackingRefBased/>
  <w15:docId w15:val="{0286B427-9735-4003-93BD-2F85CDEA3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75A"/>
  </w:style>
  <w:style w:type="paragraph" w:styleId="Heading1">
    <w:name w:val="heading 1"/>
    <w:basedOn w:val="Normal"/>
    <w:next w:val="Normal"/>
    <w:link w:val="Heading1Char"/>
    <w:uiPriority w:val="9"/>
    <w:qFormat/>
    <w:rsid w:val="00AA2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3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3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3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3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3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3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3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3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31D"/>
    <w:rPr>
      <w:rFonts w:eastAsiaTheme="majorEastAsia" w:cstheme="majorBidi"/>
      <w:color w:val="272727" w:themeColor="text1" w:themeTint="D8"/>
    </w:rPr>
  </w:style>
  <w:style w:type="paragraph" w:styleId="Title">
    <w:name w:val="Title"/>
    <w:basedOn w:val="Normal"/>
    <w:next w:val="Normal"/>
    <w:link w:val="TitleChar"/>
    <w:uiPriority w:val="10"/>
    <w:qFormat/>
    <w:rsid w:val="00AA2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31D"/>
    <w:pPr>
      <w:spacing w:before="160"/>
      <w:jc w:val="center"/>
    </w:pPr>
    <w:rPr>
      <w:i/>
      <w:iCs/>
      <w:color w:val="404040" w:themeColor="text1" w:themeTint="BF"/>
    </w:rPr>
  </w:style>
  <w:style w:type="character" w:customStyle="1" w:styleId="QuoteChar">
    <w:name w:val="Quote Char"/>
    <w:basedOn w:val="DefaultParagraphFont"/>
    <w:link w:val="Quote"/>
    <w:uiPriority w:val="29"/>
    <w:rsid w:val="00AA231D"/>
    <w:rPr>
      <w:i/>
      <w:iCs/>
      <w:color w:val="404040" w:themeColor="text1" w:themeTint="BF"/>
    </w:rPr>
  </w:style>
  <w:style w:type="paragraph" w:styleId="ListParagraph">
    <w:name w:val="List Paragraph"/>
    <w:basedOn w:val="Normal"/>
    <w:uiPriority w:val="34"/>
    <w:qFormat/>
    <w:rsid w:val="00AA231D"/>
    <w:pPr>
      <w:ind w:left="720"/>
      <w:contextualSpacing/>
    </w:pPr>
  </w:style>
  <w:style w:type="character" w:styleId="IntenseEmphasis">
    <w:name w:val="Intense Emphasis"/>
    <w:basedOn w:val="DefaultParagraphFont"/>
    <w:uiPriority w:val="21"/>
    <w:qFormat/>
    <w:rsid w:val="00AA231D"/>
    <w:rPr>
      <w:i/>
      <w:iCs/>
      <w:color w:val="2F5496" w:themeColor="accent1" w:themeShade="BF"/>
    </w:rPr>
  </w:style>
  <w:style w:type="paragraph" w:styleId="IntenseQuote">
    <w:name w:val="Intense Quote"/>
    <w:basedOn w:val="Normal"/>
    <w:next w:val="Normal"/>
    <w:link w:val="IntenseQuoteChar"/>
    <w:uiPriority w:val="30"/>
    <w:qFormat/>
    <w:rsid w:val="00AA23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31D"/>
    <w:rPr>
      <w:i/>
      <w:iCs/>
      <w:color w:val="2F5496" w:themeColor="accent1" w:themeShade="BF"/>
    </w:rPr>
  </w:style>
  <w:style w:type="character" w:styleId="IntenseReference">
    <w:name w:val="Intense Reference"/>
    <w:basedOn w:val="DefaultParagraphFont"/>
    <w:uiPriority w:val="32"/>
    <w:qFormat/>
    <w:rsid w:val="00AA231D"/>
    <w:rPr>
      <w:b/>
      <w:bCs/>
      <w:smallCaps/>
      <w:color w:val="2F5496" w:themeColor="accent1" w:themeShade="BF"/>
      <w:spacing w:val="5"/>
    </w:rPr>
  </w:style>
  <w:style w:type="paragraph" w:styleId="NormalWeb">
    <w:name w:val="Normal (Web)"/>
    <w:basedOn w:val="Normal"/>
    <w:uiPriority w:val="99"/>
    <w:unhideWhenUsed/>
    <w:rsid w:val="001710C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4D75AB"/>
    <w:rPr>
      <w:color w:val="0563C1" w:themeColor="hyperlink"/>
      <w:u w:val="single"/>
    </w:rPr>
  </w:style>
  <w:style w:type="character" w:styleId="UnresolvedMention">
    <w:name w:val="Unresolved Mention"/>
    <w:basedOn w:val="DefaultParagraphFont"/>
    <w:uiPriority w:val="99"/>
    <w:semiHidden/>
    <w:unhideWhenUsed/>
    <w:rsid w:val="004D75AB"/>
    <w:rPr>
      <w:color w:val="605E5C"/>
      <w:shd w:val="clear" w:color="auto" w:fill="E1DFDD"/>
    </w:rPr>
  </w:style>
  <w:style w:type="paragraph" w:styleId="Header">
    <w:name w:val="header"/>
    <w:basedOn w:val="Normal"/>
    <w:link w:val="HeaderChar"/>
    <w:uiPriority w:val="99"/>
    <w:unhideWhenUsed/>
    <w:rsid w:val="005610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027"/>
  </w:style>
  <w:style w:type="paragraph" w:styleId="Footer">
    <w:name w:val="footer"/>
    <w:basedOn w:val="Normal"/>
    <w:link w:val="FooterChar"/>
    <w:uiPriority w:val="99"/>
    <w:unhideWhenUsed/>
    <w:rsid w:val="005610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1027"/>
  </w:style>
  <w:style w:type="paragraph" w:styleId="BodyText">
    <w:name w:val="Body Text"/>
    <w:basedOn w:val="Normal"/>
    <w:link w:val="BodyTextChar"/>
    <w:uiPriority w:val="1"/>
    <w:qFormat/>
    <w:rsid w:val="00561027"/>
    <w:pPr>
      <w:widowControl w:val="0"/>
      <w:autoSpaceDE w:val="0"/>
      <w:autoSpaceDN w:val="0"/>
      <w:spacing w:after="0" w:line="240" w:lineRule="auto"/>
    </w:pPr>
    <w:rPr>
      <w:rFonts w:ascii="Calibri" w:eastAsia="Calibri" w:hAnsi="Calibri" w:cs="Calibri"/>
      <w:kern w:val="0"/>
      <w:lang w:val="en-US"/>
      <w14:ligatures w14:val="none"/>
    </w:rPr>
  </w:style>
  <w:style w:type="character" w:customStyle="1" w:styleId="BodyTextChar">
    <w:name w:val="Body Text Char"/>
    <w:basedOn w:val="DefaultParagraphFont"/>
    <w:link w:val="BodyText"/>
    <w:uiPriority w:val="1"/>
    <w:rsid w:val="00561027"/>
    <w:rPr>
      <w:rFonts w:ascii="Calibri" w:eastAsia="Calibri" w:hAnsi="Calibri" w:cs="Calibri"/>
      <w:kern w:val="0"/>
      <w:lang w:val="en-US"/>
      <w14:ligatures w14:val="none"/>
    </w:rPr>
  </w:style>
  <w:style w:type="table" w:styleId="TableGrid">
    <w:name w:val="Table Grid"/>
    <w:basedOn w:val="TableNormal"/>
    <w:uiPriority w:val="39"/>
    <w:rsid w:val="00BF78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federalreserve.gov/releases/z1/"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hyperlink" Target="https://uk.investing.com/rates-bonds/uk-10-year-bond-yiel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uk.investing.com/indices/ftse-100-vix"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nvestopedia.com/magnificent-seven-stocks-840226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reuters.com/business/retail-consumer/big-tech-report-earnings-under-specter-ai-bubble-2025-10-27/" TargetMode="External"/><Relationship Id="rId30" Type="http://schemas.openxmlformats.org/officeDocument/2006/relationships/hyperlink" Target="https://www.gspublishing.com/content/research/en/reports/2024/10/18/29e68989-0d2c-4960-bd4b-010a101f711e.html" TargetMode="External"/><Relationship Id="rId35" Type="http://schemas.openxmlformats.org/officeDocument/2006/relationships/theme" Target="theme/theme1.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F4B6150-53E6-44F2-8A2B-CA0E04AB56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16</Pages>
  <Words>2883</Words>
  <Characters>16438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Sambit Samanta</dc:creator>
  <cp:keywords/>
  <dc:description/>
  <cp:lastModifiedBy>Sambit Samanta</cp:lastModifiedBy>
  <cp:revision>28</cp:revision>
  <dcterms:created xsi:type="dcterms:W3CDTF">2026-02-07T16:37:00Z</dcterms:created>
  <dcterms:modified xsi:type="dcterms:W3CDTF">2026-02-08T01:24:00Z</dcterms:modified>
</cp:coreProperties>
</file>