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Timestamp Audit of Filing-Tone Signals</w:t>
      </w:r>
    </w:p>
    <w:p>
      <w:pPr>
        <w:pStyle w:val="Subtitle"/>
      </w:pPr>
      <w:r>
        <w:t xml:space="preserve">A known-truth worked example of a finance research paper</w:t>
      </w:r>
    </w:p>
    <w:p>
      <w:pPr>
        <w:pStyle w:val="Author"/>
      </w:pPr>
      <w:r>
        <w:t xml:space="preserve">FIN 7057 worked example</w:t>
      </w:r>
    </w:p>
    <w:p>
      <w:pPr>
        <w:pStyle w:val="Date"/>
      </w:pPr>
      <w:r>
        <w:t xml:space="preserve">2026-09-27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Financial language models can classify sentiment more accurately than simple</w:t>
      </w:r>
      <w:r>
        <w:t xml:space="preserve"> </w:t>
      </w:r>
      <w:r>
        <w:t xml:space="preserve">word lists, but a better text classifier does not necessarily produce a better</w:t>
      </w:r>
      <w:r>
        <w:t xml:space="preserve"> </w:t>
      </w:r>
      <w:r>
        <w:t xml:space="preserve">financial decision. This known-truth study constructs 1,200 synthetic filings</w:t>
      </w:r>
      <w:r>
        <w:t xml:space="preserve"> </w:t>
      </w:r>
      <w:r>
        <w:t xml:space="preserve">with a 45-day publication lag, a tone-related announcement return, and a much</w:t>
      </w:r>
      <w:r>
        <w:t xml:space="preserve"> </w:t>
      </w:r>
      <w:r>
        <w:t xml:space="preserve">weaker post-publication drift. We compare a transparent finance-style lexicon</w:t>
      </w:r>
      <w:r>
        <w:t xml:space="preserve"> </w:t>
      </w:r>
      <w:r>
        <w:t xml:space="preserve">with a richer contextual-reader proxy and evaluate both on the final 30 percent</w:t>
      </w:r>
      <w:r>
        <w:t xml:space="preserve"> </w:t>
      </w:r>
      <w:r>
        <w:t xml:space="preserve">of the dated sample. Aligning the signal to the fiscal period end produces an</w:t>
      </w:r>
      <w:r>
        <w:t xml:space="preserve"> </w:t>
      </w:r>
      <w:r>
        <w:t xml:space="preserve">information coefficient of 0.548 because the outcome improperly includes the</w:t>
      </w:r>
      <w:r>
        <w:t xml:space="preserve"> </w:t>
      </w:r>
      <w:r>
        <w:t xml:space="preserve">announcement response. Aligning it to the filing date reduces the corresponding</w:t>
      </w:r>
      <w:r>
        <w:t xml:space="preserve"> </w:t>
      </w:r>
      <w:r>
        <w:t xml:space="preserve">coefficient to 0.106. On the honest later sample, the richer reader records an</w:t>
      </w:r>
      <w:r>
        <w:t xml:space="preserve"> </w:t>
      </w:r>
      <w:r>
        <w:t xml:space="preserve">information coefficient of 0.140 versus 0.136 for the lexicon, with only a small</w:t>
      </w:r>
      <w:r>
        <w:t xml:space="preserve"> </w:t>
      </w:r>
      <w:r>
        <w:t xml:space="preserve">advantage in the net tercile spread. The experiment therefore supports a</w:t>
      </w:r>
      <w:r>
        <w:t xml:space="preserve"> </w:t>
      </w:r>
      <w:r>
        <w:t xml:space="preserve">methodological conclusion rather than an investment claim: timestamp discipline</w:t>
      </w:r>
      <w:r>
        <w:t xml:space="preserve"> </w:t>
      </w:r>
      <w:r>
        <w:t xml:space="preserve">can matter more than model complexity. Because the filings and returns are</w:t>
      </w:r>
      <w:r>
        <w:t xml:space="preserve"> </w:t>
      </w:r>
      <w:r>
        <w:t xml:space="preserve">synthetic and the executed fallback is not FinBERT itself, the study does not</w:t>
      </w:r>
      <w:r>
        <w:t xml:space="preserve"> </w:t>
      </w:r>
      <w:r>
        <w:t xml:space="preserve">establish profitability in real SEC filings.</w: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Corporate filings contain language that may help investors, creditors, and</w:t>
      </w:r>
      <w:r>
        <w:t xml:space="preserve"> </w:t>
      </w:r>
      <w:r>
        <w:t xml:space="preserve">other decision makers assess firms. Modern language models promise a more</w:t>
      </w:r>
      <w:r>
        <w:t xml:space="preserve"> </w:t>
      </w:r>
      <w:r>
        <w:t xml:space="preserve">context-sensitive reading of that language than a dictionary can provide. The</w:t>
      </w:r>
      <w:r>
        <w:t xml:space="preserve"> </w:t>
      </w:r>
      <w:r>
        <w:t xml:space="preserve">financial question, however, is not whether a model assigns plausible sentiment</w:t>
      </w:r>
      <w:r>
        <w:t xml:space="preserve"> </w:t>
      </w:r>
      <w:r>
        <w:t xml:space="preserve">labels. It is whether the resulting score improves a decision using information</w:t>
      </w:r>
      <w:r>
        <w:t xml:space="preserve"> </w:t>
      </w:r>
      <w:r>
        <w:t xml:space="preserve">that was actually available at the decision time.</w:t>
      </w:r>
    </w:p>
    <w:p>
      <w:pPr>
        <w:pStyle w:val="BodyText"/>
      </w:pPr>
      <w:r>
        <w:t xml:space="preserve">This paper asks a deliberately narrow question:</w:t>
      </w:r>
      <w:r>
        <w:t xml:space="preserve"> </w:t>
      </w:r>
      <w:r>
        <w:rPr>
          <w:b/>
          <w:bCs/>
        </w:rPr>
        <w:t xml:space="preserve">does a richer reader of filing</w:t>
      </w:r>
      <w:r>
        <w:rPr>
          <w:b/>
          <w:bCs/>
        </w:rPr>
        <w:t xml:space="preserve"> </w:t>
      </w:r>
      <w:r>
        <w:rPr>
          <w:b/>
          <w:bCs/>
        </w:rPr>
        <w:t xml:space="preserve">tone rank post-filing returns better than a simple finance-specific lexicon once</w:t>
      </w:r>
      <w:r>
        <w:rPr>
          <w:b/>
          <w:bCs/>
        </w:rPr>
        <w:t xml:space="preserve"> </w:t>
      </w:r>
      <w:r>
        <w:rPr>
          <w:b/>
          <w:bCs/>
        </w:rPr>
        <w:t xml:space="preserve">the filing timestamp and trading costs are respected?</w:t>
      </w:r>
      <w:r>
        <w:t xml:space="preserve"> </w:t>
      </w:r>
      <w:r>
        <w:t xml:space="preserve">The intended decision is</w:t>
      </w:r>
      <w:r>
        <w:t xml:space="preserve"> </w:t>
      </w:r>
      <w:r>
        <w:t xml:space="preserve">to rank newly public filings and form a top-minus-bottom position after</w:t>
      </w:r>
      <w:r>
        <w:t xml:space="preserve"> </w:t>
      </w:r>
      <w:r>
        <w:t xml:space="preserve">publication. The comparison is designed as a known-truth teaching experiment,</w:t>
      </w:r>
      <w:r>
        <w:t xml:space="preserve"> </w:t>
      </w:r>
      <w:r>
        <w:t xml:space="preserve">not as evidence about the profitability of actual SEC filings.</w:t>
      </w:r>
    </w:p>
    <w:p>
      <w:pPr>
        <w:pStyle w:val="BodyText"/>
      </w:pPr>
      <w:r>
        <w:t xml:space="preserve">The contribution is twofold. First, the experiment isolates a common timing</w:t>
      </w:r>
      <w:r>
        <w:t xml:space="preserve"> </w:t>
      </w:r>
      <w:r>
        <w:t xml:space="preserve">error by constructing fiscal-period and filing dates separately. Second, it</w:t>
      </w:r>
      <w:r>
        <w:t xml:space="preserve"> </w:t>
      </w:r>
      <w:r>
        <w:t xml:space="preserve">separates upstream text-reading quality from downstream return predictability.</w:t>
      </w:r>
      <w:r>
        <w:t xml:space="preserve"> </w:t>
      </w:r>
      <w:r>
        <w:t xml:space="preserve">The headline result is that an inadmissible period-end alignment makes the</w:t>
      </w:r>
      <w:r>
        <w:t xml:space="preserve"> </w:t>
      </w:r>
      <w:r>
        <w:t xml:space="preserve">signal appear roughly five times stronger, while the richer reader only</w:t>
      </w:r>
      <w:r>
        <w:t xml:space="preserve"> </w:t>
      </w:r>
      <w:r>
        <w:t xml:space="preserve">marginally improves on the lexicon under the admissible clock.</w:t>
      </w:r>
    </w:p>
    <w:bookmarkEnd w:id="21"/>
    <w:bookmarkStart w:id="22" w:name="related-literature"/>
    <w:p>
      <w:pPr>
        <w:pStyle w:val="Heading2"/>
      </w:pPr>
      <w:r>
        <w:t xml:space="preserve">2. Related literature</w:t>
      </w:r>
    </w:p>
    <w:p>
      <w:pPr>
        <w:pStyle w:val="FirstParagraph"/>
      </w:pPr>
      <w:r>
        <w:t xml:space="preserve">Quantitative financial text analysis predates modern language models.</w:t>
      </w:r>
      <w:r>
        <w:t xml:space="preserve"> </w:t>
      </w:r>
      <w:r>
        <w:t xml:space="preserve">Tetlock (2007)</w:t>
      </w:r>
      <w:r>
        <w:t xml:space="preserve"> </w:t>
      </w:r>
      <w:r>
        <w:t xml:space="preserve">links measured media pessimism to market outcomes, establishing</w:t>
      </w:r>
      <w:r>
        <w:t xml:space="preserve"> </w:t>
      </w:r>
      <w:r>
        <w:t xml:space="preserve">that text-derived signals can be evaluated against financial consequences.</w:t>
      </w:r>
      <w:r>
        <w:t xml:space="preserve"> </w:t>
      </w:r>
      <w:r>
        <w:t xml:space="preserve">Domain-specific language also matters.</w:t>
      </w:r>
      <w:r>
        <w:t xml:space="preserve"> </w:t>
      </w:r>
      <w:r>
        <w:t xml:space="preserve">Loughran and McDonald (2011)</w:t>
      </w:r>
      <w:r>
        <w:t xml:space="preserve"> </w:t>
      </w:r>
      <w:r>
        <w:t xml:space="preserve">show that ordinary dictionaries can misclassify words whose meaning differs in</w:t>
      </w:r>
      <w:r>
        <w:t xml:space="preserve"> </w:t>
      </w:r>
      <w:r>
        <w:t xml:space="preserve">financial contexts and develop finance-oriented word lists for 10-K analysis.</w:t>
      </w:r>
      <w:r>
        <w:t xml:space="preserve"> </w:t>
      </w:r>
      <w:r>
        <w:t xml:space="preserve">Jegadeesh and Wu (2013)</w:t>
      </w:r>
      <w:r>
        <w:t xml:space="preserve"> </w:t>
      </w:r>
      <w:r>
        <w:t xml:space="preserve">further shows that the way words are weighted can materially</w:t>
      </w:r>
      <w:r>
        <w:t xml:space="preserve"> </w:t>
      </w:r>
      <w:r>
        <w:t xml:space="preserve">affect a document-tone measure. Together, that evidence motivates the simple,</w:t>
      </w:r>
      <w:r>
        <w:t xml:space="preserve"> </w:t>
      </w:r>
      <w:r>
        <w:t xml:space="preserve">transparent lexicon used as the baseline and makes clear that even a baseline</w:t>
      </w:r>
      <w:r>
        <w:t xml:space="preserve"> </w:t>
      </w:r>
      <w:r>
        <w:t xml:space="preserve">score is a modeling choice.</w:t>
      </w:r>
    </w:p>
    <w:p>
      <w:pPr>
        <w:pStyle w:val="BodyText"/>
      </w:pPr>
      <w:r>
        <w:t xml:space="preserve">Contextual language models address a different limitation.</w:t>
      </w:r>
      <w:r>
        <w:t xml:space="preserve"> </w:t>
      </w:r>
      <w:r>
        <w:t xml:space="preserve">Araci (2019)</w:t>
      </w:r>
      <w:r>
        <w:t xml:space="preserve"> </w:t>
      </w:r>
      <w:r>
        <w:t xml:space="preserve">adapts</w:t>
      </w:r>
      <w:r>
        <w:t xml:space="preserve"> </w:t>
      </w:r>
      <w:r>
        <w:t xml:space="preserve">BERT to financial sentiment analysis, while</w:t>
      </w:r>
      <w:r>
        <w:t xml:space="preserve"> </w:t>
      </w:r>
      <w:r>
        <w:t xml:space="preserve">Huang, Wang, and Yang (2023)</w:t>
      </w:r>
      <w:r>
        <w:t xml:space="preserve"> </w:t>
      </w:r>
      <w:r>
        <w:t xml:space="preserve">develops and</w:t>
      </w:r>
      <w:r>
        <w:t xml:space="preserve"> </w:t>
      </w:r>
      <w:r>
        <w:t xml:space="preserve">evaluates a finance-specific language model across labeled financial-text</w:t>
      </w:r>
      <w:r>
        <w:t xml:space="preserve"> </w:t>
      </w:r>
      <w:r>
        <w:t xml:space="preserve">tasks. Those studies support the proposition that a contextual model can read</w:t>
      </w:r>
      <w:r>
        <w:t xml:space="preserve"> </w:t>
      </w:r>
      <w:r>
        <w:t xml:space="preserve">financial language more accurately than bag-of-words methods. They do not imply</w:t>
      </w:r>
      <w:r>
        <w:t xml:space="preserve"> </w:t>
      </w:r>
      <w:r>
        <w:t xml:space="preserve">that a more accurate sentiment label must improve a later return forecast.</w:t>
      </w:r>
    </w:p>
    <w:p>
      <w:pPr>
        <w:pStyle w:val="BodyText"/>
      </w:pPr>
      <w:r>
        <w:t xml:space="preserve">The downstream question is plausible because filing language can contain</w:t>
      </w:r>
      <w:r>
        <w:t xml:space="preserve"> </w:t>
      </w:r>
      <w:r>
        <w:t xml:space="preserve">market-relevant information.</w:t>
      </w:r>
      <w:r>
        <w:t xml:space="preserve"> </w:t>
      </w:r>
      <w:r>
        <w:t xml:space="preserve">Cohen, Malloy, and Nguyen (2020)</w:t>
      </w:r>
      <w:r>
        <w:t xml:space="preserve"> </w:t>
      </w:r>
      <w:r>
        <w:t xml:space="preserve">document associations</w:t>
      </w:r>
      <w:r>
        <w:t xml:space="preserve"> </w:t>
      </w:r>
      <w:r>
        <w:t xml:space="preserve">between changes in 10-K language and later corporate outcomes and returns. The</w:t>
      </w:r>
      <w:r>
        <w:t xml:space="preserve"> </w:t>
      </w:r>
      <w:r>
        <w:t xml:space="preserve">present experiment does not attempt to replicate that historical result.</w:t>
      </w:r>
      <w:r>
        <w:t xml:space="preserve"> </w:t>
      </w:r>
      <w:r>
        <w:t xml:space="preserve">Instead, it uses known truth to demonstrate two design requirements for such a</w:t>
      </w:r>
      <w:r>
        <w:t xml:space="preserve"> </w:t>
      </w:r>
      <w:r>
        <w:t xml:space="preserve">study: the filing must be aligned to its public availability date, and a complex</w:t>
      </w:r>
      <w:r>
        <w:t xml:space="preserve"> </w:t>
      </w:r>
      <w:r>
        <w:t xml:space="preserve">text reader must be compared with a feasible domain-specific baseline on the</w:t>
      </w:r>
      <w:r>
        <w:t xml:space="preserve"> </w:t>
      </w:r>
      <w:r>
        <w:t xml:space="preserve">actual downstream outcome.</w:t>
      </w:r>
    </w:p>
    <w:bookmarkEnd w:id="22"/>
    <w:bookmarkStart w:id="23" w:name="data-and-information-clock"/>
    <w:p>
      <w:pPr>
        <w:pStyle w:val="Heading2"/>
      </w:pPr>
      <w:r>
        <w:t xml:space="preserve">3. Data and information clock</w:t>
      </w:r>
    </w:p>
    <w:p>
      <w:pPr>
        <w:pStyle w:val="FirstParagraph"/>
      </w:pPr>
      <w:r>
        <w:t xml:space="preserve">The analysis uses 1,200 synthetic filing records generated with a fixed random</w:t>
      </w:r>
      <w:r>
        <w:t xml:space="preserve"> </w:t>
      </w:r>
      <w:r>
        <w:t xml:space="preserve">seed. Each record has a latent tone, a short document whose sentence mix reflects</w:t>
      </w:r>
      <w:r>
        <w:t xml:space="preserve"> </w:t>
      </w:r>
      <w:r>
        <w:t xml:space="preserve">that tone, a fiscal period end, and a filing date 45 days later. The data-</w:t>
      </w:r>
      <w:r>
        <w:t xml:space="preserve"> </w:t>
      </w:r>
      <w:r>
        <w:t xml:space="preserve">generating process produces two subsequent returns:</w:t>
      </w:r>
    </w:p>
    <w:p>
      <w:pPr>
        <w:pStyle w:val="Compact"/>
        <w:numPr>
          <w:ilvl w:val="0"/>
          <w:numId w:val="1001"/>
        </w:numPr>
      </w:pPr>
      <w:r>
        <w:t xml:space="preserve">a relatively strong announcement response associated with tone; and</w:t>
      </w:r>
    </w:p>
    <w:p>
      <w:pPr>
        <w:pStyle w:val="Compact"/>
        <w:numPr>
          <w:ilvl w:val="0"/>
          <w:numId w:val="1001"/>
        </w:numPr>
      </w:pPr>
      <w:r>
        <w:t xml:space="preserve">a much weaker 20-day drift after the filing becomes public.</w:t>
      </w:r>
    </w:p>
    <w:p>
      <w:pPr>
        <w:pStyle w:val="FirstParagraph"/>
      </w:pPr>
      <w:r>
        <w:t xml:space="preserve">The distinction creates the information contract. A decision made after the</w:t>
      </w:r>
      <w:r>
        <w:t xml:space="preserve"> </w:t>
      </w:r>
      <w:r>
        <w:t xml:space="preserve">filing may use its text and may evaluate the later drift. It may not claim the</w:t>
      </w:r>
      <w:r>
        <w:t xml:space="preserve"> </w:t>
      </w:r>
      <w:r>
        <w:t xml:space="preserve">announcement response that occurred as the information became public. The</w:t>
      </w:r>
      <w:r>
        <w:t xml:space="preserve"> </w:t>
      </w:r>
      <w:r>
        <w:t xml:space="preserve">period-end outcome used below is therefore a deliberate failure control.</w:t>
      </w:r>
    </w:p>
    <w:p>
      <w:pPr>
        <w:pStyle w:val="BodyText"/>
      </w:pPr>
      <w:r>
        <w:t xml:space="preserve">Because the records are synthetic, there are no revisions, missing filings,</w:t>
      </w:r>
      <w:r>
        <w:t xml:space="preserve"> </w:t>
      </w:r>
      <w:r>
        <w:t xml:space="preserve">delistings, or survivorship effects. That simplicity makes the clock test clear</w:t>
      </w:r>
      <w:r>
        <w:t xml:space="preserve"> </w:t>
      </w:r>
      <w:r>
        <w:t xml:space="preserve">but also limits external validity.</w:t>
      </w:r>
    </w:p>
    <w:bookmarkEnd w:id="23"/>
    <w:bookmarkStart w:id="24" w:name="research-design"/>
    <w:p>
      <w:pPr>
        <w:pStyle w:val="Heading2"/>
      </w:pPr>
      <w:r>
        <w:t xml:space="preserve">4. Research design</w:t>
      </w:r>
    </w:p>
    <w:p>
      <w:pPr>
        <w:pStyle w:val="FirstParagraph"/>
      </w:pPr>
      <w:r>
        <w:t xml:space="preserve">The baseline is a small finance-style lexicon that reports normalized positive</w:t>
      </w:r>
      <w:r>
        <w:t xml:space="preserve"> </w:t>
      </w:r>
      <w:r>
        <w:t xml:space="preserve">minus negative word hits. The candidate is a richer text reader. The pipeline</w:t>
      </w:r>
      <w:r>
        <w:t xml:space="preserve"> </w:t>
      </w:r>
      <w:r>
        <w:t xml:space="preserve">can call</w:t>
      </w:r>
      <w:r>
        <w:t xml:space="preserve"> </w:t>
      </w:r>
      <w:r>
        <w:rPr>
          <w:rStyle w:val="VerbatimChar"/>
        </w:rPr>
        <w:t xml:space="preserve">ProsusAI/finbert</w:t>
      </w:r>
      <w:r>
        <w:t xml:space="preserve"> </w:t>
      </w:r>
      <w:r>
        <w:t xml:space="preserve">when its optional dependencies are installed; the</w:t>
      </w:r>
      <w:r>
        <w:t xml:space="preserve"> </w:t>
      </w:r>
      <w:r>
        <w:t xml:space="preserve">committed worked result uses a deterministic richer-lexicon proxy so that the</w:t>
      </w:r>
      <w:r>
        <w:t xml:space="preserve"> </w:t>
      </w:r>
      <w:r>
        <w:t xml:space="preserve">example runs offline. Accordingly, this paper treats the candidate as a</w:t>
      </w:r>
      <w:r>
        <w:t xml:space="preserve"> </w:t>
      </w:r>
      <w:r>
        <w:t xml:space="preserve">contextual-reader</w:t>
      </w:r>
      <w:r>
        <w:t xml:space="preserve"> </w:t>
      </w:r>
      <w:r>
        <w:rPr>
          <w:b/>
          <w:bCs/>
        </w:rPr>
        <w:t xml:space="preserve">proxy</w:t>
      </w:r>
      <w:r>
        <w:t xml:space="preserve"> </w:t>
      </w:r>
      <w:r>
        <w:t xml:space="preserve">and does not claim to measure FinBERT’s empirical</w:t>
      </w:r>
      <w:r>
        <w:t xml:space="preserve"> </w:t>
      </w:r>
      <w:r>
        <w:t xml:space="preserve">performance.</w:t>
      </w:r>
    </w:p>
    <w:p>
      <w:pPr>
        <w:pStyle w:val="BodyText"/>
      </w:pPr>
      <w:r>
        <w:t xml:space="preserve">The primary comparison is rank information coefficient on the last 30 percent</w:t>
      </w:r>
      <w:r>
        <w:t xml:space="preserve"> </w:t>
      </w:r>
      <w:r>
        <w:t xml:space="preserve">of the time-ordered records. A secondary decision ledger forms a long position</w:t>
      </w:r>
      <w:r>
        <w:t xml:space="preserve"> </w:t>
      </w:r>
      <w:r>
        <w:t xml:space="preserve">in the top sentiment tercile and a short position in the bottom tercile, then</w:t>
      </w:r>
      <w:r>
        <w:t xml:space="preserve"> </w:t>
      </w:r>
      <w:r>
        <w:t xml:space="preserve">subtracts 10 basis points from each leg. No hyperparameter search is conducted.</w:t>
      </w:r>
      <w:r>
        <w:t xml:space="preserve"> </w:t>
      </w:r>
      <w:r>
        <w:t xml:space="preserve">The timestamp diagnostic compares the admissible post-filing return with an</w:t>
      </w:r>
      <w:r>
        <w:t xml:space="preserve"> </w:t>
      </w:r>
      <w:r>
        <w:t xml:space="preserve">inadmissible label that includes the announcement return.</w:t>
      </w:r>
    </w:p>
    <w:p>
      <w:pPr>
        <w:pStyle w:val="BodyText"/>
      </w:pPr>
      <w:r>
        <w:t xml:space="preserve">The original worked example predates the course research-record convention, so</w:t>
      </w:r>
      <w:r>
        <w:t xml:space="preserve"> </w:t>
      </w:r>
      <w:r>
        <w:t xml:space="preserve">its plan was not committed before the results were observed. The accompanying</w:t>
      </w:r>
      <w:r>
        <w:t xml:space="preserve"> </w:t>
      </w:r>
      <w:r>
        <w:rPr>
          <w:rStyle w:val="VerbatimChar"/>
        </w:rPr>
        <w:t xml:space="preserve">RESEARCH_RECORD.md</w:t>
      </w:r>
      <w:r>
        <w:t xml:space="preserve"> </w:t>
      </w:r>
      <w:r>
        <w:t xml:space="preserve">discloses that defect. A student project must preserve a</w:t>
      </w:r>
      <w:r>
        <w:t xml:space="preserve"> </w:t>
      </w:r>
      <w:r>
        <w:t xml:space="preserve">genuine pre-lockbox commit.</w:t>
      </w:r>
    </w:p>
    <w:bookmarkEnd w:id="24"/>
    <w:bookmarkStart w:id="33" w:name="results"/>
    <w:p>
      <w:pPr>
        <w:pStyle w:val="Heading2"/>
      </w:pPr>
      <w:r>
        <w:t xml:space="preserve">5. Results</w:t>
      </w:r>
    </w:p>
    <w:p>
      <w:pPr>
        <w:pStyle w:val="FirstParagraph"/>
      </w:pPr>
      <w:r>
        <w:t xml:space="preserve">Figure 1 reports the timing diagnostic. When the text score is aligned to a</w:t>
      </w:r>
      <w:r>
        <w:t xml:space="preserve"> </w:t>
      </w:r>
      <w:r>
        <w:t xml:space="preserve">period-end label that includes the announcement response, its rank information</w:t>
      </w:r>
      <w:r>
        <w:t xml:space="preserve"> </w:t>
      </w:r>
      <w:r>
        <w:t xml:space="preserve">coefficient is 0.548. When the target begins after the filing is public, the</w:t>
      </w:r>
      <w:r>
        <w:t xml:space="preserve"> </w:t>
      </w:r>
      <w:r>
        <w:t xml:space="preserve">coefficient falls to 0.106. The difference does not show that filing tone is</w:t>
      </w:r>
      <w:r>
        <w:t xml:space="preserve"> </w:t>
      </w:r>
      <w:r>
        <w:t xml:space="preserve">useless. It shows that most of the apparent result in the first construction</w:t>
      </w:r>
      <w:r>
        <w:t xml:space="preserve"> </w:t>
      </w:r>
      <w:r>
        <w:t xml:space="preserve">comes from a return that was unavailable to the proposed decision.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leakage"/>
          <w:p>
            <w:pPr>
              <w:pStyle w:val="Compact"/>
              <w:jc w:val="center"/>
            </w:pPr>
            <w:r>
              <w:drawing>
                <wp:inline>
                  <wp:extent cx="4000500" cy="22407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figures/01_leakag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240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The same text score appears roughly five times stronger when the outcome improperly includes the announcement response. Data are 1,200 seeded synthetic filings generated by</w:t>
            </w:r>
            <w:r>
              <w:t xml:space="preserve"> </w:t>
            </w:r>
            <w:r>
              <w:rPr>
                <w:rStyle w:val="VerbatimChar"/>
              </w:rPr>
              <w:t xml:space="preserve">_pipeline.py</w:t>
            </w:r>
            <w:r>
              <w:t xml:space="preserve">.</w:t>
            </w:r>
          </w:p>
          <w:bookmarkEnd w:id="28"/>
        </w:tc>
      </w:tr>
    </w:tbl>
    <w:p>
      <w:pPr>
        <w:pStyle w:val="BodyText"/>
      </w:pPr>
      <w:r>
        <w:t xml:space="preserve">Figure 2 compares the two readers on the final 30 percent of records using the</w:t>
      </w:r>
      <w:r>
        <w:t xml:space="preserve"> </w:t>
      </w:r>
      <w:r>
        <w:t xml:space="preserve">honest post-filing target. The richer proxy records an information coefficient</w:t>
      </w:r>
      <w:r>
        <w:t xml:space="preserve"> </w:t>
      </w:r>
      <w:r>
        <w:t xml:space="preserve">of 0.140, compared with 0.136 for the lexicon. Its net top-minus-bottom tercile</w:t>
      </w:r>
      <w:r>
        <w:t xml:space="preserve"> </w:t>
      </w:r>
      <w:r>
        <w:t xml:space="preserve">spread is 0.22 percent versus 0.14 percent. These point estimates slightly favor</w:t>
      </w:r>
      <w:r>
        <w:t xml:space="preserve"> </w:t>
      </w:r>
      <w:r>
        <w:t xml:space="preserve">the candidate, but the experiment supplies no repeated-sample or formal</w:t>
      </w:r>
      <w:r>
        <w:t xml:space="preserve"> </w:t>
      </w:r>
      <w:r>
        <w:t xml:space="preserve">uncertainty analysis sufficient to call the difference reliable.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model-comparison"/>
          <w:p>
            <w:pPr>
              <w:pStyle w:val="Compact"/>
              <w:jc w:val="center"/>
            </w:pPr>
            <w:r>
              <w:drawing>
                <wp:inline>
                  <wp:extent cx="4800600" cy="188782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figures/02_finbert_vs_lexicon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887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Later-sample information coefficient and net tercile spread for the richer reader and the lexicon baseline. The net spread subtracts 10 basis points from each leg.</w:t>
            </w:r>
          </w:p>
          <w:bookmarkEnd w:id="32"/>
        </w:tc>
      </w:tr>
    </w:tbl>
    <w:p>
      <w:pPr>
        <w:pStyle w:val="BodyText"/>
      </w:pPr>
      <w:r>
        <w:t xml:space="preserve">The defensible result is therefore narrower than</w:t>
      </w:r>
      <w:r>
        <w:t xml:space="preserve"> </w:t>
      </w:r>
      <w:r>
        <w:t xml:space="preserve">“the richer reader wins.”</w:t>
      </w:r>
      <w:r>
        <w:t xml:space="preserve"> </w:t>
      </w:r>
      <w:r>
        <w:t xml:space="preserve">The</w:t>
      </w:r>
      <w:r>
        <w:t xml:space="preserve"> </w:t>
      </w:r>
      <w:r>
        <w:t xml:space="preserve">complex method produces only a small incremental difference after the clock is</w:t>
      </w:r>
      <w:r>
        <w:t xml:space="preserve"> </w:t>
      </w:r>
      <w:r>
        <w:t xml:space="preserve">repaired, and the available evidence does not establish that this difference is</w:t>
      </w:r>
      <w:r>
        <w:t xml:space="preserve"> </w:t>
      </w:r>
      <w:r>
        <w:t xml:space="preserve">stable.</w:t>
      </w:r>
    </w:p>
    <w:bookmarkEnd w:id="33"/>
    <w:bookmarkStart w:id="34" w:name="Xbe143be20f5ec1e66a3ac4ff8f0336eb08f5c76"/>
    <w:p>
      <w:pPr>
        <w:pStyle w:val="Heading2"/>
      </w:pPr>
      <w:r>
        <w:t xml:space="preserve">6. Decision, robustness, and alternative explanations</w:t>
      </w:r>
    </w:p>
    <w:p>
      <w:pPr>
        <w:pStyle w:val="FirstParagraph"/>
      </w:pPr>
      <w:r>
        <w:t xml:space="preserve">The diagnostic decision ranks filings after publication, takes equal-weighted</w:t>
      </w:r>
      <w:r>
        <w:t xml:space="preserve"> </w:t>
      </w:r>
      <w:r>
        <w:t xml:space="preserve">long and short terciles, and applies a stylized two-leg cost. This makes the</w:t>
      </w:r>
      <w:r>
        <w:t xml:space="preserve"> </w:t>
      </w:r>
      <w:r>
        <w:t xml:space="preserve">economic use visible, but it is not a complete implementable portfolio. Filings</w:t>
      </w:r>
      <w:r>
        <w:t xml:space="preserve"> </w:t>
      </w:r>
      <w:r>
        <w:t xml:space="preserve">arrive asynchronously, holding periods overlap, capital must be allocated</w:t>
      </w:r>
      <w:r>
        <w:t xml:space="preserve"> </w:t>
      </w:r>
      <w:r>
        <w:t xml:space="preserve">across concurrent positions, and market impact may be concentrated around</w:t>
      </w:r>
      <w:r>
        <w:t xml:space="preserve"> </w:t>
      </w:r>
      <w:r>
        <w:t xml:space="preserve">publication events.</w:t>
      </w:r>
    </w:p>
    <w:p>
      <w:pPr>
        <w:pStyle w:val="BodyText"/>
      </w:pPr>
      <w:r>
        <w:t xml:space="preserve">The strongest robustness check is structural rather than numerical: changing</w:t>
      </w:r>
      <w:r>
        <w:t xml:space="preserve"> </w:t>
      </w:r>
      <w:r>
        <w:t xml:space="preserve">only the target clock removes the announcement return and sharply reduces the</w:t>
      </w:r>
      <w:r>
        <w:t xml:space="preserve"> </w:t>
      </w:r>
      <w:r>
        <w:t xml:space="preserve">measured association. A fuller empirical project would additionally prespecify</w:t>
      </w:r>
      <w:r>
        <w:t xml:space="preserve"> </w:t>
      </w:r>
      <w:r>
        <w:t xml:space="preserve">subperiod, sector, alternative-horizon, and cost sensitivities; compare several</w:t>
      </w:r>
      <w:r>
        <w:t xml:space="preserve"> </w:t>
      </w:r>
      <w:r>
        <w:t xml:space="preserve">random seeds or resamples where model fitting is stochastic; and retain an</w:t>
      </w:r>
      <w:r>
        <w:t xml:space="preserve"> </w:t>
      </w:r>
      <w:r>
        <w:t xml:space="preserve">untouched final test period.</w:t>
      </w:r>
    </w:p>
    <w:p>
      <w:pPr>
        <w:pStyle w:val="BodyText"/>
      </w:pPr>
      <w:r>
        <w:t xml:space="preserve">Two alternative explanations remain. First, the richer proxy may simply encode</w:t>
      </w:r>
      <w:r>
        <w:t xml:space="preserve"> </w:t>
      </w:r>
      <w:r>
        <w:t xml:space="preserve">more of the planted vocabulary rather than context. Second, a small difference</w:t>
      </w:r>
      <w:r>
        <w:t xml:space="preserve"> </w:t>
      </w:r>
      <w:r>
        <w:t xml:space="preserve">in the final block can arise from sampling variation. Neither explanation is</w:t>
      </w:r>
      <w:r>
        <w:t xml:space="preserve"> </w:t>
      </w:r>
      <w:r>
        <w:t xml:space="preserve">resolved by the current experiment.</w:t>
      </w:r>
    </w:p>
    <w:bookmarkEnd w:id="34"/>
    <w:bookmarkStart w:id="35" w:name="limitations"/>
    <w:p>
      <w:pPr>
        <w:pStyle w:val="Heading2"/>
      </w:pPr>
      <w:r>
        <w:t xml:space="preserve">7. Limitations</w:t>
      </w:r>
    </w:p>
    <w:p>
      <w:pPr>
        <w:pStyle w:val="FirstParagraph"/>
      </w:pPr>
      <w:r>
        <w:t xml:space="preserve">The principal limitation is that this is a known-truth simulation. It validates</w:t>
      </w:r>
      <w:r>
        <w:t xml:space="preserve"> </w:t>
      </w:r>
      <w:r>
        <w:t xml:space="preserve">an experimental design but says nothing about the magnitude of tone-based</w:t>
      </w:r>
      <w:r>
        <w:t xml:space="preserve"> </w:t>
      </w:r>
      <w:r>
        <w:t xml:space="preserve">predictability in real markets. The committed result also uses a deterministic</w:t>
      </w:r>
      <w:r>
        <w:t xml:space="preserve"> </w:t>
      </w:r>
      <w:r>
        <w:t xml:space="preserve">stand-in rather than an executed transformer, so it cannot support a statement</w:t>
      </w:r>
      <w:r>
        <w:t xml:space="preserve"> </w:t>
      </w:r>
      <w:r>
        <w:t xml:space="preserve">about FinBERT’s incremental value. The cost model is stylized, the tercile rule</w:t>
      </w:r>
      <w:r>
        <w:t xml:space="preserve"> </w:t>
      </w:r>
      <w:r>
        <w:t xml:space="preserve">is only one policy, and the project lacks uncertainty intervals and a true</w:t>
      </w:r>
      <w:r>
        <w:t xml:space="preserve"> </w:t>
      </w:r>
      <w:r>
        <w:t xml:space="preserve">pre-result plan freeze.</w:t>
      </w:r>
    </w:p>
    <w:p>
      <w:pPr>
        <w:pStyle w:val="BodyText"/>
      </w:pPr>
      <w:r>
        <w:t xml:space="preserve">These limitations are not peripheral qualifications. They define the warranted</w:t>
      </w:r>
      <w:r>
        <w:t xml:space="preserve"> </w:t>
      </w:r>
      <w:r>
        <w:t xml:space="preserve">claim:</w:t>
      </w:r>
      <w:r>
        <w:t xml:space="preserve"> </w:t>
      </w:r>
      <w:r>
        <w:rPr>
          <w:b/>
          <w:bCs/>
        </w:rPr>
        <w:t xml:space="preserve">the example demonstrates how an availability error can dominate an</w:t>
      </w:r>
      <w:r>
        <w:rPr>
          <w:b/>
          <w:bCs/>
        </w:rPr>
        <w:t xml:space="preserve"> </w:t>
      </w:r>
      <w:r>
        <w:rPr>
          <w:b/>
          <w:bCs/>
        </w:rPr>
        <w:t xml:space="preserve">apparently sophisticated text comparison.</w:t>
      </w:r>
      <w:r>
        <w:t xml:space="preserve"> </w:t>
      </w:r>
      <w:r>
        <w:t xml:space="preserve">It does not demonstrate a trading</w:t>
      </w:r>
      <w:r>
        <w:t xml:space="preserve"> </w:t>
      </w:r>
      <w:r>
        <w:t xml:space="preserve">strategy.</w:t>
      </w:r>
    </w:p>
    <w:bookmarkEnd w:id="35"/>
    <w:bookmarkStart w:id="36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The experiment began with a model comparison but ended with a research-design</w:t>
      </w:r>
      <w:r>
        <w:t xml:space="preserve"> </w:t>
      </w:r>
      <w:r>
        <w:t xml:space="preserve">result. A richer text reader marginally outperformed a simple lexicon on the</w:t>
      </w:r>
      <w:r>
        <w:t xml:space="preserve"> </w:t>
      </w:r>
      <w:r>
        <w:t xml:space="preserve">declared later block, yet that difference was small relative to the inflation</w:t>
      </w:r>
      <w:r>
        <w:t xml:space="preserve"> </w:t>
      </w:r>
      <w:r>
        <w:t xml:space="preserve">created by using the wrong timestamp. The practical lesson is that better</w:t>
      </w:r>
      <w:r>
        <w:t xml:space="preserve"> </w:t>
      </w:r>
      <w:r>
        <w:t xml:space="preserve">language representation and better financial evidence are separate achievements.</w:t>
      </w:r>
      <w:r>
        <w:t xml:space="preserve"> </w:t>
      </w:r>
      <w:r>
        <w:t xml:space="preserve">The model reads the document; the research design determines whether its score</w:t>
      </w:r>
      <w:r>
        <w:t xml:space="preserve"> </w:t>
      </w:r>
      <w:r>
        <w:t xml:space="preserve">could have supported the claimed decision.</w:t>
      </w:r>
    </w:p>
    <w:bookmarkEnd w:id="36"/>
    <w:bookmarkStart w:id="37" w:name="reproducibility-and-disclosure"/>
    <w:p>
      <w:pPr>
        <w:pStyle w:val="Heading2"/>
      </w:pPr>
      <w:r>
        <w:t xml:space="preserve">Reproducibility and disclosure</w:t>
      </w:r>
    </w:p>
    <w:p>
      <w:pPr>
        <w:pStyle w:val="FirstParagraph"/>
      </w:pPr>
      <w:r>
        <w:rPr>
          <w:rStyle w:val="VerbatimChar"/>
        </w:rPr>
        <w:t xml:space="preserve">analysis.ipynb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_pipeline.py</w:t>
      </w:r>
      <w:r>
        <w:t xml:space="preserve"> </w:t>
      </w:r>
      <w:r>
        <w:t xml:space="preserve">generate the data, metrics, and figures used</w:t>
      </w:r>
      <w:r>
        <w:t xml:space="preserve"> </w:t>
      </w:r>
      <w:r>
        <w:t xml:space="preserve">here. The seed is</w:t>
      </w:r>
      <w:r>
        <w:t xml:space="preserve"> </w:t>
      </w:r>
      <w:r>
        <w:rPr>
          <w:rStyle w:val="VerbatimChar"/>
        </w:rPr>
        <w:t xml:space="preserve">20260718</w:t>
      </w:r>
      <w:r>
        <w:t xml:space="preserve">; core dependencies are NumPy and Matplotlib, with</w:t>
      </w:r>
      <w:r>
        <w:t xml:space="preserve"> </w:t>
      </w:r>
      <w:r>
        <w:t xml:space="preserve">Transformers and PyTorch optional. The executed artifact used the deterministic</w:t>
      </w:r>
      <w:r>
        <w:t xml:space="preserve"> </w:t>
      </w:r>
      <w:r>
        <w:t xml:space="preserve">fallback described above. No external or proprietary data are required.</w:t>
      </w:r>
    </w:p>
    <w:p>
      <w:pPr>
        <w:pStyle w:val="BodyText"/>
      </w:pPr>
      <w:r>
        <w:t xml:space="preserve">This paper is a course-authored worked example. Any AI assistance used by a</w:t>
      </w:r>
      <w:r>
        <w:t xml:space="preserve"> </w:t>
      </w:r>
      <w:r>
        <w:t xml:space="preserve">student must follow the course disclosure policy; students remain responsible</w:t>
      </w:r>
      <w:r>
        <w:t xml:space="preserve"> </w:t>
      </w:r>
      <w:r>
        <w:t xml:space="preserve">for verifying citations and writing their own analysis and conclusions.</w:t>
      </w:r>
    </w:p>
    <w:bookmarkEnd w:id="37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39" w:name="ref-araci_2019"/>
    <w:p>
      <w:pPr>
        <w:pStyle w:val="Bibliography"/>
      </w:pPr>
      <w:r>
        <w:t xml:space="preserve">Araci, Doğu. 2019.</w:t>
      </w:r>
      <w:r>
        <w:t xml:space="preserve"> </w:t>
      </w:r>
      <w:r>
        <w:t xml:space="preserve">“</w:t>
      </w:r>
      <w:r>
        <w:t xml:space="preserve">FinBERT</w:t>
      </w:r>
      <w:r>
        <w:t xml:space="preserve">: Financial Sentiment Analysis with Pre-Trained Language Models.”</w:t>
      </w:r>
      <w:r>
        <w:t xml:space="preserve"> </w:t>
      </w:r>
      <w:r>
        <w:rPr>
          <w:i/>
          <w:iCs/>
        </w:rPr>
        <w:t xml:space="preserve">arXiv Preprint arXiv:1908.10063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https://doi.org/10.48550/arXiv.1908.10063</w:t>
        </w:r>
      </w:hyperlink>
      <w:r>
        <w:t xml:space="preserve">.</w:t>
      </w:r>
    </w:p>
    <w:bookmarkEnd w:id="39"/>
    <w:bookmarkStart w:id="41" w:name="ref-cohen_malloy_nguyen_2020"/>
    <w:p>
      <w:pPr>
        <w:pStyle w:val="Bibliography"/>
      </w:pPr>
      <w:r>
        <w:t xml:space="preserve">Cohen, Lauren, Christopher Malloy, and Quoc Nguyen. 2020.</w:t>
      </w:r>
      <w:r>
        <w:t xml:space="preserve"> </w:t>
      </w:r>
      <w:r>
        <w:t xml:space="preserve">“Lazy Prices.”</w:t>
      </w:r>
      <w:r>
        <w:t xml:space="preserve"> </w:t>
      </w:r>
      <w:r>
        <w:rPr>
          <w:i/>
          <w:iCs/>
        </w:rPr>
        <w:t xml:space="preserve">The Journal of Finance</w:t>
      </w:r>
      <w:r>
        <w:t xml:space="preserve"> </w:t>
      </w:r>
      <w:r>
        <w:t xml:space="preserve">75 (3): 1371–1415.</w:t>
      </w:r>
      <w:r>
        <w:t xml:space="preserve"> </w:t>
      </w:r>
      <w:hyperlink r:id="rId40">
        <w:r>
          <w:rPr>
            <w:rStyle w:val="Hyperlink"/>
          </w:rPr>
          <w:t xml:space="preserve">https://doi.org/10.1111/jofi.12885</w:t>
        </w:r>
      </w:hyperlink>
      <w:r>
        <w:t xml:space="preserve">.</w:t>
      </w:r>
    </w:p>
    <w:bookmarkEnd w:id="41"/>
    <w:bookmarkStart w:id="43" w:name="ref-huang_wang_yang_2023"/>
    <w:p>
      <w:pPr>
        <w:pStyle w:val="Bibliography"/>
      </w:pPr>
      <w:r>
        <w:t xml:space="preserve">Huang, Allen H., Hui Wang, and Yi Yang. 2023.</w:t>
      </w:r>
      <w:r>
        <w:t xml:space="preserve"> </w:t>
      </w:r>
      <w:r>
        <w:t xml:space="preserve">“</w:t>
      </w:r>
      <w:r>
        <w:t xml:space="preserve">FinBERT</w:t>
      </w:r>
      <w:r>
        <w:t xml:space="preserve">: A Large Language Model for Extracting Information from Financial Text.”</w:t>
      </w:r>
      <w:r>
        <w:t xml:space="preserve"> </w:t>
      </w:r>
      <w:r>
        <w:rPr>
          <w:i/>
          <w:iCs/>
        </w:rPr>
        <w:t xml:space="preserve">Contemporary Accounting Research</w:t>
      </w:r>
      <w:r>
        <w:t xml:space="preserve"> </w:t>
      </w:r>
      <w:r>
        <w:t xml:space="preserve">40 (2): 806–41.</w:t>
      </w:r>
      <w:r>
        <w:t xml:space="preserve"> </w:t>
      </w:r>
      <w:hyperlink r:id="rId42">
        <w:r>
          <w:rPr>
            <w:rStyle w:val="Hyperlink"/>
          </w:rPr>
          <w:t xml:space="preserve">https://doi.org/10.1111/1911-3846.12832</w:t>
        </w:r>
      </w:hyperlink>
      <w:r>
        <w:t xml:space="preserve">.</w:t>
      </w:r>
    </w:p>
    <w:bookmarkEnd w:id="43"/>
    <w:bookmarkStart w:id="45" w:name="ref-jegadeesh_wu_2013"/>
    <w:p>
      <w:pPr>
        <w:pStyle w:val="Bibliography"/>
      </w:pPr>
      <w:r>
        <w:t xml:space="preserve">Jegadeesh, Narasimhan, and Di Wu. 2013.</w:t>
      </w:r>
      <w:r>
        <w:t xml:space="preserve"> </w:t>
      </w:r>
      <w:r>
        <w:t xml:space="preserve">“Word Power: A New Approach for Content Analysis.”</w:t>
      </w:r>
      <w:r>
        <w:t xml:space="preserve"> </w:t>
      </w:r>
      <w:r>
        <w:rPr>
          <w:i/>
          <w:iCs/>
        </w:rPr>
        <w:t xml:space="preserve">Journal of Financial Economics</w:t>
      </w:r>
      <w:r>
        <w:t xml:space="preserve"> </w:t>
      </w:r>
      <w:r>
        <w:t xml:space="preserve">110 (3): 712–29.</w:t>
      </w:r>
      <w:r>
        <w:t xml:space="preserve"> </w:t>
      </w:r>
      <w:hyperlink r:id="rId44">
        <w:r>
          <w:rPr>
            <w:rStyle w:val="Hyperlink"/>
          </w:rPr>
          <w:t xml:space="preserve">https://doi.org/10.1016/j.jfineco.2013.08.018</w:t>
        </w:r>
      </w:hyperlink>
      <w:r>
        <w:t xml:space="preserve">.</w:t>
      </w:r>
    </w:p>
    <w:bookmarkEnd w:id="45"/>
    <w:bookmarkStart w:id="47" w:name="ref-loughran_mcdonald_2011"/>
    <w:p>
      <w:pPr>
        <w:pStyle w:val="Bibliography"/>
      </w:pPr>
      <w:r>
        <w:t xml:space="preserve">Loughran, Tim, and Bill McDonald. 2011.</w:t>
      </w:r>
      <w:r>
        <w:t xml:space="preserve"> </w:t>
      </w:r>
      <w:r>
        <w:t xml:space="preserve">“When Is a Liability Not a Liability? Textual Analysis, Dictionaries, and 10-Ks.”</w:t>
      </w:r>
      <w:r>
        <w:t xml:space="preserve"> </w:t>
      </w:r>
      <w:r>
        <w:rPr>
          <w:i/>
          <w:iCs/>
        </w:rPr>
        <w:t xml:space="preserve">The Journal of Finance</w:t>
      </w:r>
      <w:r>
        <w:t xml:space="preserve"> </w:t>
      </w:r>
      <w:r>
        <w:t xml:space="preserve">66 (1): 35–65.</w:t>
      </w:r>
      <w:r>
        <w:t xml:space="preserve"> </w:t>
      </w:r>
      <w:hyperlink r:id="rId46">
        <w:r>
          <w:rPr>
            <w:rStyle w:val="Hyperlink"/>
          </w:rPr>
          <w:t xml:space="preserve">https://doi.org/10.1111/j.1540-6261.2010.01625.x</w:t>
        </w:r>
      </w:hyperlink>
      <w:r>
        <w:t xml:space="preserve">.</w:t>
      </w:r>
    </w:p>
    <w:bookmarkEnd w:id="47"/>
    <w:bookmarkStart w:id="49" w:name="ref-tetlock_2007"/>
    <w:p>
      <w:pPr>
        <w:pStyle w:val="Bibliography"/>
      </w:pPr>
      <w:r>
        <w:t xml:space="preserve">Tetlock, Paul C. 2007.</w:t>
      </w:r>
      <w:r>
        <w:t xml:space="preserve"> </w:t>
      </w:r>
      <w:r>
        <w:t xml:space="preserve">“Giving Content to Investor Sentiment: The Role of Media in the Stock Market.”</w:t>
      </w:r>
      <w:r>
        <w:t xml:space="preserve"> </w:t>
      </w:r>
      <w:r>
        <w:rPr>
          <w:i/>
          <w:iCs/>
        </w:rPr>
        <w:t xml:space="preserve">The Journal of Finance</w:t>
      </w:r>
      <w:r>
        <w:t xml:space="preserve"> </w:t>
      </w:r>
      <w:r>
        <w:t xml:space="preserve">62 (3): 1139–68.</w:t>
      </w:r>
      <w:r>
        <w:t xml:space="preserve"> </w:t>
      </w:r>
      <w:hyperlink r:id="rId48">
        <w:r>
          <w:rPr>
            <w:rStyle w:val="Hyperlink"/>
          </w:rPr>
          <w:t xml:space="preserve">https://doi.org/10.1111/j.1540-6261.2007.01232.x</w:t>
        </w:r>
      </w:hyperlink>
      <w:r>
        <w:t xml:space="preserve">.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44" Target="https://doi.org/10.1016/j.jfineco.2013.08.018" TargetMode="External" /><Relationship Type="http://schemas.openxmlformats.org/officeDocument/2006/relationships/hyperlink" Id="rId42" Target="https://doi.org/10.1111/1911-3846.12832" TargetMode="External" /><Relationship Type="http://schemas.openxmlformats.org/officeDocument/2006/relationships/hyperlink" Id="rId48" Target="https://doi.org/10.1111/j.1540-6261.2007.01232.x" TargetMode="External" /><Relationship Type="http://schemas.openxmlformats.org/officeDocument/2006/relationships/hyperlink" Id="rId46" Target="https://doi.org/10.1111/j.1540-6261.2010.01625.x" TargetMode="External" /><Relationship Type="http://schemas.openxmlformats.org/officeDocument/2006/relationships/hyperlink" Id="rId40" Target="https://doi.org/10.1111/jofi.12885" TargetMode="External" /><Relationship Type="http://schemas.openxmlformats.org/officeDocument/2006/relationships/hyperlink" Id="rId38" Target="https://doi.org/10.48550/arXiv.1908.1006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doi.org/10.1016/j.jfineco.2013.08.018" TargetMode="External" /><Relationship Type="http://schemas.openxmlformats.org/officeDocument/2006/relationships/hyperlink" Id="rId42" Target="https://doi.org/10.1111/1911-3846.12832" TargetMode="External" /><Relationship Type="http://schemas.openxmlformats.org/officeDocument/2006/relationships/hyperlink" Id="rId48" Target="https://doi.org/10.1111/j.1540-6261.2007.01232.x" TargetMode="External" /><Relationship Type="http://schemas.openxmlformats.org/officeDocument/2006/relationships/hyperlink" Id="rId46" Target="https://doi.org/10.1111/j.1540-6261.2010.01625.x" TargetMode="External" /><Relationship Type="http://schemas.openxmlformats.org/officeDocument/2006/relationships/hyperlink" Id="rId40" Target="https://doi.org/10.1111/jofi.12885" TargetMode="External" /><Relationship Type="http://schemas.openxmlformats.org/officeDocument/2006/relationships/hyperlink" Id="rId38" Target="https://doi.org/10.48550/arXiv.1908.1006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Timestamp Audit of Filing-Tone Signals</dc:title>
  <dc:creator>FIN 7057 worked example</dc:creator>
  <cp:keywords/>
  <dcterms:created xsi:type="dcterms:W3CDTF">2026-09-27T19:45:54Z</dcterms:created>
  <dcterms:modified xsi:type="dcterms:W3CDTF">2026-09-27T19:45:54Z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2026-09-27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A known-truth worked example of a finance research paper</vt:lpwstr>
  </property>
  <property fmtid="{D5CDD505-2E9C-101B-9397-08002B2CF9AE}" pid="12" name="toc-title">
    <vt:lpwstr>Table of contents</vt:lpwstr>
  </property>
</Properties>
</file>