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ptos Display" w:hAnsi="Aptos Display"/>
          <w:b/>
          <w:color w:val="1F374E"/>
          <w:sz w:val="54"/>
        </w:rPr>
        <w:t>GUTH-MAYNARD FORMALIZATION</w:t>
      </w:r>
    </w:p>
    <w:p>
      <w:pPr>
        <w:jc w:val="center"/>
      </w:pPr>
      <w:r>
        <w:rPr>
          <w:rFonts w:ascii="Aptos Display" w:hAnsi="Aptos Display"/>
          <w:color w:val="2C5F91"/>
          <w:sz w:val="38"/>
        </w:rPr>
        <w:t>Research Agenda and AI Execution Directives</w:t>
      </w:r>
    </w:p>
    <w:p>
      <w:pPr>
        <w:spacing w:before="160"/>
        <w:jc w:val="center"/>
      </w:pPr>
      <w:r>
        <w:rPr>
          <w:i/>
          <w:color w:val="5A5A5A"/>
          <w:sz w:val="22"/>
        </w:rPr>
        <w:t>Continuous development of the existing Riemann Zeta Lean 4 project and paper</w:t>
      </w:r>
    </w:p>
    <w:p>
      <w:pPr>
        <w:jc w:val="center"/>
      </w:pPr>
      <w:r>
        <w:rPr>
          <w:color w:val="29717A"/>
          <w:sz w:val="22"/>
        </w:rPr>
        <w:t>━━━━━━━━━━━━━━━━━━━━━━━━━━━━━━━━━━━━━━━━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DDEBF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color w:val="1F374E"/>
                <w:sz w:val="21"/>
              </w:rPr>
              <w:t>Core mission</w:t>
            </w:r>
          </w:p>
          <w:p>
            <w:pPr>
              <w:spacing w:after="0"/>
            </w:pPr>
            <w:r>
              <w:rPr>
                <w:sz w:val="19"/>
              </w:rPr>
              <w:t>Evolve the existing project into a reproducible, kernel-checked formalization program whose first major result is the Guth-Maynard zero-density deduction from explicit analytic hypotheses, followed by progressive removal of those hypotheses and, ultimately, a complete proof of the large-values estimate.</w:t>
            </w:r>
          </w:p>
        </w:tc>
      </w:tr>
    </w:tbl>
    <w:p>
      <w:pPr>
        <w:spacing w:before="360"/>
        <w:jc w:val="center"/>
      </w:pPr>
      <w:r>
        <w:rPr>
          <w:b/>
          <w:color w:val="1F374E"/>
        </w:rPr>
        <w:t>Canonical project</w:t>
      </w:r>
      <w:r>
        <w:br/>
        <w:t>https://github.com/smccolm/Lean/tree/main/Riemann%20Zeta</w:t>
      </w:r>
    </w:p>
    <w:p>
      <w:pPr>
        <w:jc w:val="center"/>
      </w:pPr>
      <w:r>
        <w:rPr>
          <w:color w:val="5A5A5A"/>
          <w:sz w:val="18"/>
        </w:rPr>
        <w:t>Directive date: 3 August 2026</w:t>
      </w:r>
    </w:p>
    <w:p>
      <w:pPr>
        <w:spacing w:before="560"/>
        <w:jc w:val="center"/>
      </w:pPr>
      <w:r>
        <w:rPr>
          <w:i/>
          <w:color w:val="5A5A5A"/>
          <w:sz w:val="18"/>
        </w:rPr>
        <w:t>This document is written as an operating directive for the next AI research and implementation agent.</w:t>
      </w:r>
    </w:p>
    <w:p>
      <w:r>
        <w:br w:type="page"/>
      </w:r>
    </w:p>
    <w:p>
      <w:pPr>
        <w:pStyle w:val="Heading1"/>
        <w:keepNext/>
      </w:pPr>
      <w:r>
        <w:t>Contents</w:t>
      </w:r>
    </w:p>
    <w:p>
      <w:pPr>
        <w:spacing w:after="60"/>
        <w:ind w:left="259"/>
      </w:pPr>
      <w:r>
        <w:rPr>
          <w:b/>
          <w:color w:val="1F374E"/>
          <w:sz w:val="20"/>
        </w:rPr>
        <w:t>1.  Operating directive</w:t>
      </w:r>
    </w:p>
    <w:p>
      <w:pPr>
        <w:spacing w:after="60"/>
        <w:ind w:left="259"/>
      </w:pPr>
      <w:r>
        <w:rPr>
          <w:sz w:val="20"/>
        </w:rPr>
        <w:t>2.  Canonical project and current baseline</w:t>
      </w:r>
    </w:p>
    <w:p>
      <w:pPr>
        <w:spacing w:after="60"/>
        <w:ind w:left="259"/>
      </w:pPr>
      <w:r>
        <w:rPr>
          <w:b/>
          <w:color w:val="1F374E"/>
          <w:sz w:val="20"/>
        </w:rPr>
        <w:t>3.  Goal hierarchy</w:t>
      </w:r>
    </w:p>
    <w:p>
      <w:pPr>
        <w:spacing w:after="60"/>
        <w:ind w:left="259"/>
      </w:pPr>
      <w:r>
        <w:rPr>
          <w:b/>
          <w:color w:val="1F374E"/>
          <w:sz w:val="20"/>
        </w:rPr>
        <w:t>4.  Immediate objectives</w:t>
      </w:r>
    </w:p>
    <w:p>
      <w:pPr>
        <w:spacing w:after="60"/>
        <w:ind w:left="259"/>
      </w:pPr>
      <w:r>
        <w:rPr>
          <w:b/>
          <w:color w:val="1F374E"/>
          <w:sz w:val="20"/>
        </w:rPr>
        <w:t>5.  Follow-up objectives</w:t>
      </w:r>
    </w:p>
    <w:p>
      <w:pPr>
        <w:spacing w:after="60"/>
        <w:ind w:left="259"/>
      </w:pPr>
      <w:r>
        <w:rPr>
          <w:b/>
          <w:color w:val="1F374E"/>
          <w:sz w:val="20"/>
        </w:rPr>
        <w:t>6.  Long-term objectives</w:t>
      </w:r>
    </w:p>
    <w:p>
      <w:pPr>
        <w:spacing w:after="60"/>
        <w:ind w:left="259"/>
      </w:pPr>
      <w:r>
        <w:rPr>
          <w:sz w:val="20"/>
        </w:rPr>
        <w:t>7.  Technical architecture</w:t>
      </w:r>
    </w:p>
    <w:p>
      <w:pPr>
        <w:spacing w:after="60"/>
        <w:ind w:left="259"/>
      </w:pPr>
      <w:r>
        <w:rPr>
          <w:sz w:val="20"/>
        </w:rPr>
        <w:t>8.  Iteration method</w:t>
      </w:r>
    </w:p>
    <w:p>
      <w:pPr>
        <w:spacing w:after="60"/>
        <w:ind w:left="259"/>
      </w:pPr>
      <w:r>
        <w:rPr>
          <w:sz w:val="20"/>
        </w:rPr>
        <w:t>9.  Proof and publication gates</w:t>
      </w:r>
    </w:p>
    <w:p>
      <w:pPr>
        <w:spacing w:after="60"/>
        <w:ind w:left="259"/>
      </w:pPr>
      <w:r>
        <w:rPr>
          <w:sz w:val="20"/>
        </w:rPr>
        <w:t>10.  Risks and response rules</w:t>
      </w:r>
    </w:p>
    <w:p>
      <w:pPr>
        <w:spacing w:after="60"/>
        <w:ind w:left="259"/>
      </w:pPr>
      <w:r>
        <w:rPr>
          <w:b/>
          <w:color w:val="1F374E"/>
          <w:sz w:val="20"/>
        </w:rPr>
        <w:t>11.  First execution sequence</w:t>
      </w:r>
    </w:p>
    <w:p>
      <w:pPr>
        <w:spacing w:after="60"/>
        <w:ind w:left="259"/>
      </w:pPr>
      <w:r>
        <w:rPr>
          <w:sz w:val="20"/>
        </w:rPr>
        <w:t>12.  Defensible success claims</w:t>
      </w:r>
    </w:p>
    <w:p>
      <w:pPr>
        <w:spacing w:after="60"/>
        <w:ind w:left="259"/>
      </w:pPr>
      <w:r>
        <w:rPr>
          <w:sz w:val="20"/>
        </w:rPr>
        <w:t>13.  Authoritative references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2CC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color w:val="1F374E"/>
                <w:sz w:val="21"/>
              </w:rPr>
              <w:t>Reading rule for the receiving AI</w:t>
            </w:r>
          </w:p>
          <w:p>
            <w:pPr>
              <w:spacing w:after="0"/>
            </w:pPr>
            <w:r>
              <w:rPr>
                <w:sz w:val="19"/>
              </w:rPr>
              <w:t>Treat the entire document as binding project direction. Where a later instruction conflicts with an earlier one, follow the later instruction and record the decision in the project paper or research log. Do not silently change the mathematical target.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Operating directive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2F0D9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color w:val="1F374E"/>
                <w:sz w:val="21"/>
              </w:rPr>
              <w:t>Primary directive</w:t>
            </w:r>
          </w:p>
          <w:p>
            <w:pPr>
              <w:spacing w:after="0"/>
            </w:pPr>
            <w:r>
              <w:rPr>
                <w:sz w:val="19"/>
              </w:rPr>
              <w:t>Work inside the existing Riemann Zeta project. Improve the Lean source, audit file, README, and paper together. The repository and manuscript are one continuously evolving mathematical product. Do not create a competing codebase, detached replacement paper, or parallel proof track that becomes the real source of truth.</w:t>
            </w:r>
          </w:p>
        </w:tc>
      </w:tr>
    </w:tbl>
    <w:p>
      <w:pPr>
        <w:pStyle w:val="Heading2"/>
        <w:keepNext/>
      </w:pPr>
      <w:r>
        <w:t>1.1 Your role</w:t>
      </w:r>
    </w:p>
    <w:p>
      <w:pPr>
        <w:pStyle w:val="ListBullet"/>
        <w:spacing w:after="50"/>
      </w:pPr>
      <w:r>
        <w:t>Act as a mathematical research, Lean implementation, verification, and technical-writing agent.</w:t>
      </w:r>
    </w:p>
    <w:p>
      <w:pPr>
        <w:pStyle w:val="ListBullet"/>
        <w:spacing w:after="50"/>
      </w:pPr>
      <w:r>
        <w:t>Convert each mathematical dependency into an explicit theorem, definition, or tracked hypothesis.</w:t>
      </w:r>
    </w:p>
    <w:p>
      <w:pPr>
        <w:pStyle w:val="ListBullet"/>
        <w:spacing w:after="50"/>
      </w:pPr>
      <w:r>
        <w:t>Prefer small kernel-checked vertical slices over broad unverified scaffolding.</w:t>
      </w:r>
    </w:p>
    <w:p>
      <w:pPr>
        <w:pStyle w:val="ListBullet"/>
        <w:spacing w:after="50"/>
      </w:pPr>
      <w:r>
        <w:t>Keep claims in the paper no stronger than the compiled Lean declarations and their audited dependencies.</w:t>
      </w:r>
    </w:p>
    <w:p>
      <w:pPr>
        <w:pStyle w:val="ListBullet"/>
        <w:spacing w:after="50"/>
      </w:pPr>
      <w:r>
        <w:t>Record obstacles honestly. A precise missing lemma is progress; an unmarked assumption is not.</w:t>
      </w:r>
    </w:p>
    <w:p>
      <w:pPr>
        <w:pStyle w:val="Heading2"/>
        <w:keepNext/>
      </w:pPr>
      <w:r>
        <w:t>1.2 Non-negotiable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8280"/>
      </w:tblGrid>
      <w:tr>
        <w:trPr>
          <w:tblHeader w:val="true"/>
        </w:trPr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Rule</w:t>
            </w:r>
          </w:p>
        </w:tc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Directive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374E"/>
                <w:sz w:val="17"/>
              </w:rPr>
              <w:t>Canonical continuity</w:t>
            </w:r>
          </w:p>
        </w:tc>
        <w:tc>
          <w:tcPr>
            <w:tcW w:type="dxa" w:w="82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The existing project is the only canonical workspace. Extend and reorganize it in place while preserving working declarations or providing documented migrations.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374E"/>
                <w:sz w:val="17"/>
              </w:rPr>
              <w:t>Kernel evidence</w:t>
            </w:r>
          </w:p>
        </w:tc>
        <w:tc>
          <w:tcPr>
            <w:tcW w:type="dxa" w:w="82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 theorem counts as proved only when the clean project builds and its axiom audit contains no sorryAx dependency.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374E"/>
                <w:sz w:val="17"/>
              </w:rPr>
              <w:t>Explicit assumptions</w:t>
            </w:r>
          </w:p>
        </w:tc>
        <w:tc>
          <w:tcPr>
            <w:tcW w:type="dxa" w:w="82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Do not bury major analytic results inside definitions, typeclasses, opaque helper theorems, or a single hypothesis equivalent to the desired conclusion.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374E"/>
                <w:sz w:val="17"/>
              </w:rPr>
              <w:t>Exact quantifiers</w:t>
            </w:r>
          </w:p>
        </w:tc>
        <w:tc>
          <w:tcPr>
            <w:tcW w:type="dxa" w:w="82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Replace every informal T^(o(1)), big-O, and implicit-constant statement with a quantified epsilon form or a clearly defined asymptotic relation.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374E"/>
                <w:sz w:val="17"/>
              </w:rPr>
              <w:t>Source fidelity</w:t>
            </w:r>
          </w:p>
        </w:tc>
        <w:tc>
          <w:tcPr>
            <w:tcW w:type="dxa" w:w="82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Match the hypotheses, ranges, counting conventions, and multiplicities used in Guth-Maynard. Document every intentional reformulation and prove equivalence where needed.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374E"/>
                <w:sz w:val="17"/>
              </w:rPr>
              <w:t>Code-paper synchronization</w:t>
            </w:r>
          </w:p>
        </w:tc>
        <w:tc>
          <w:tcPr>
            <w:tcW w:type="dxa" w:w="82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Every public mathematical claim must map to a named Lean declaration. Update the theorem table, dependency statement, limitations, and future work in the paper in the same iteration.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374E"/>
                <w:sz w:val="17"/>
              </w:rPr>
              <w:t>No novelty inflation</w:t>
            </w:r>
          </w:p>
        </w:tc>
        <w:tc>
          <w:tcPr>
            <w:tcW w:type="dxa" w:w="82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Distinguish new formalization, local packaging of Mathlib results, conditional theorems, and new mathematics.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374E"/>
                <w:sz w:val="17"/>
              </w:rPr>
              <w:t>Preserve reproducibility</w:t>
            </w:r>
          </w:p>
        </w:tc>
        <w:tc>
          <w:tcPr>
            <w:tcW w:type="dxa" w:w="82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Pin the Lean toolchain and Mathlib revision, keep CI deterministic, and retain one-command build and audit instructions.</w:t>
            </w:r>
          </w:p>
        </w:tc>
      </w:tr>
    </w:tbl>
    <w:p>
      <w:pPr>
        <w:pStyle w:val="Heading1"/>
        <w:keepNext/>
      </w:pPr>
      <w:r>
        <w:t>2. Canonical project and current baseline</w:t>
      </w:r>
    </w:p>
    <w:p>
      <w:r>
        <w:rPr>
          <w:b/>
        </w:rPr>
        <w:t xml:space="preserve">Baseline date: </w:t>
      </w:r>
      <w:r>
        <w:t>3 August 2026. Reverify this state before making changes because the project is being continuously revised.</w:t>
      </w:r>
    </w:p>
    <w:p>
      <w:pPr>
        <w:pStyle w:val="ListBullet"/>
        <w:spacing w:after="50"/>
      </w:pPr>
      <w:r>
        <w:t>The repository currently reports a Lean 4 package pinned to Lean v4.30.0-rc2 and a fixed Mathlib revision.</w:t>
      </w:r>
    </w:p>
    <w:p>
      <w:pPr>
        <w:pStyle w:val="ListBullet"/>
        <w:spacing w:after="50"/>
      </w:pPr>
      <w:r>
        <w:t>The README and paper report 21 audited core declarations with no sorryAx dependencies.</w:t>
      </w:r>
    </w:p>
    <w:p>
      <w:pPr>
        <w:pStyle w:val="ListBullet"/>
        <w:spacing w:after="50"/>
      </w:pPr>
      <w:r>
        <w:t>The code includes positive-index finite Dirichlet polynomials, conjugation identities, threshold and zero symmetries, cross-norm products, completed-zeta reflection wrappers, a complex-valued Hardy-type normalization, boundary nonvanishing, and an Audit module.</w:t>
      </w:r>
    </w:p>
    <w:p>
      <w:pPr>
        <w:pStyle w:val="ListBullet"/>
        <w:spacing w:after="50"/>
      </w:pPr>
      <w:r>
        <w:t>The paper explicitly states that the project does not yet prove Guth-Maynard analytic measure bounds or zero-density counting theorems.</w:t>
      </w:r>
    </w:p>
    <w:p>
      <w:pPr>
        <w:pStyle w:val="ListBullet"/>
        <w:spacing w:after="50"/>
      </w:pPr>
      <w:r>
        <w:t>The existing finite Dirichlet-polynomial work is directly reusable. The Hardy normalization, completed-zeta orbit, and cross-norm material are valid supporting work but are not the main path to the zero-density target.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2CC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color w:val="1F374E"/>
                <w:sz w:val="21"/>
              </w:rPr>
              <w:t>Baseline assessment</w:t>
            </w:r>
          </w:p>
          <w:p>
            <w:pPr>
              <w:spacing w:after="0"/>
            </w:pPr>
            <w:r>
              <w:rPr>
                <w:sz w:val="19"/>
              </w:rPr>
              <w:t>The project is relevant and now has a credible verified seed library. It is not yet close to the Guth-Maynard proof. The next work must shift from symmetry and elementary finite-sum identities toward exact large-values statements, zero counting with multiplicity, zero detection, separation, mean values, smoothing, and exponent arithmetic.</w:t>
            </w:r>
          </w:p>
        </w:tc>
      </w:tr>
    </w:tbl>
    <w:p>
      <w:pPr>
        <w:pStyle w:val="Heading2"/>
        <w:keepNext/>
      </w:pPr>
      <w:r>
        <w:t>2.1 Preserve, adapt, and deprioritize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Disposition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Current material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Instruction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374E"/>
                <w:sz w:val="17"/>
              </w:rPr>
              <w:t>Preserve and build on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FiniteDirichletPolynomial; Audit; exact toolchain metadata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Use these as the initial interface and verification base.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374E"/>
                <w:sz w:val="17"/>
              </w:rPr>
              <w:t>Adapt to exact target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General finite-set polynomial definitions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Add interval-indexed Guth-Maynard forms and prove equivalence to the reusable general definition.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374E"/>
                <w:sz w:val="17"/>
              </w:rPr>
              <w:t>Retain but deprioritize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HardyZ; CompletedZetaSymmetry; CrossNormProduct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Maintain correctness. Extend only when a zero-counting or zero-detection dependency requires it.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374E"/>
                <w:sz w:val="17"/>
              </w:rPr>
              <w:t>Add as new work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Zero counting; separated sets; asymptotic interfaces; zero detection; mean-value and large-values layers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These modules form the main research path.</w:t>
            </w:r>
          </w:p>
        </w:tc>
      </w:tr>
    </w:tbl>
    <w:p>
      <w:pPr>
        <w:pStyle w:val="Heading1"/>
        <w:keepNext/>
      </w:pPr>
      <w:r>
        <w:t>3. Goal hierarchy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DDEBF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color w:val="1F374E"/>
                <w:sz w:val="21"/>
              </w:rPr>
              <w:t>Primary research outcome</w:t>
            </w:r>
          </w:p>
          <w:p>
            <w:pPr>
              <w:spacing w:after="0"/>
            </w:pPr>
            <w:r>
              <w:rPr>
                <w:sz w:val="19"/>
              </w:rPr>
              <w:t>Produce a kernel-checked derivation of the Guth-Maynard zero-density exponent from a precisely stated large-values theorem and separately stated classical analytic inputs. The Lean proof must contain the real Section 13 transfer argument rather than assume the transfer as a black box.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Goal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Required result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Completion meaning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374E"/>
                <w:sz w:val="17"/>
              </w:rPr>
              <w:t>Goal A: Formal statement layer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Formalize the exact large-values and zero-density statements with explicit epsilon quantifiers, parameter ranges, separated finite sets, coefficient bounds, and zero-count conventions.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Foundational, not by itself a major completion.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374E"/>
                <w:sz w:val="17"/>
              </w:rPr>
              <w:t>Goal B: Conditional zero-density transfer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Assume the Guth-Maynard large-values estimate and individually named classical auxiliary results. Prove the zero-detection, separation, powering, case split, and exponent calculation leading to the stated density exponent.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First major target.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374E"/>
                <w:sz w:val="17"/>
              </w:rPr>
              <w:t>Goal C: Discharge auxiliary hypotheses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Formalize the local zero count, Type II bound, Dirichlet-polynomial mean-value theorem, smoothing, truncation, and any other classical input until the only major hypothesis is the Guth-Maynard large-values estimate.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Stronger major target.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374E"/>
                <w:sz w:val="17"/>
              </w:rPr>
              <w:t>Goal D: Full large-values theorem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Formalize the proof of Guth-Maynard Theorem 1.1, including its matrix, singular-value, Fourier, Poisson, affine-transformation, cancellation, and additive-energy machinery.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Complete main objective.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374E"/>
                <w:sz w:val="17"/>
              </w:rPr>
              <w:t>Goal E: Reusable analytic-number-theory library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Generalize stable infrastructure and contribute suitable results upstream to Mathlib when their APIs and proof quality are mature.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Long-run ecosystem result.</w:t>
            </w:r>
          </w:p>
        </w:tc>
      </w:tr>
    </w:tbl>
    <w:p>
      <w:r>
        <w:rPr>
          <w:b/>
        </w:rPr>
        <w:t xml:space="preserve">Priority order: </w:t>
      </w:r>
      <w:r>
        <w:t>A, then B, then C, then D. Goal E proceeds opportunistically when project components become stable and generally useful.</w:t>
      </w:r>
    </w:p>
    <w:p>
      <w:pPr>
        <w:pStyle w:val="Heading1"/>
        <w:keepNext/>
      </w:pPr>
      <w:r>
        <w:t>4. Immediate objectives</w:t>
      </w:r>
    </w:p>
    <w:p>
      <w:r>
        <w:rPr>
          <w:b/>
        </w:rPr>
        <w:t xml:space="preserve">Purpose: </w:t>
      </w:r>
      <w:r>
        <w:t>Create a precise, buildable statement and infrastructure layer that makes the first major theorem possible without destabilizing the existing library.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ID and objective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Required action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Exit evidence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374E"/>
                <w:sz w:val="17"/>
              </w:rPr>
              <w:t>I-01 Baseline verification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Run a clean build and audit. Confirm all current declarations, toolchain pins, CI commands, and manuscript claims. Record any drift before adding new mathematics.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Clean build log; clean Audit output; updated paper metadata if required.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374E"/>
                <w:sz w:val="17"/>
              </w:rPr>
              <w:t>I-02 Research dependency map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Translate Guth-Maynard Theorem 1.1 and Section 13.1 into a dependency graph. Separate Mathlib-provided facts, classical inputs to formalize, Guth-Maynard assumptions, and elementary Lean obligations.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 checked dependency table in the paper or a project research-status file.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374E"/>
                <w:sz w:val="17"/>
              </w:rPr>
              <w:t>I-03 Explicit asymptotic language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Define the project convention for bounds of the form T^(o(1)). Prefer: for every epsilon &gt; 0, there exist C and T0 such that the bound holds for all T &gt;= T0. Track allowed parameter dependence.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Reusable definitions and elementary lemmas for epsilon-power bounds.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374E"/>
                <w:sz w:val="17"/>
              </w:rPr>
              <w:t>I-04 Exact Dirichlet-polynomial interface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Add the interval-indexed polynomial used by Guth-Maynard, coefficient bound |b n| &lt;= 1, powers of polynomials, and equivalence between n^(i t) and exp(i t log n) for positive n.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Compiled definitions and bridge lemmas to the existing positive-index polynomial.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374E"/>
                <w:sz w:val="17"/>
              </w:rPr>
              <w:t>I-05 Separated finite sets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Define delta-separated finite sets or indexed families, prove finiteness/cardinality tools, translation invariance, subset inheritance, and extraction-ready lemmas.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 stable API supporting 1-separated large-value points.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374E"/>
                <w:sz w:val="17"/>
              </w:rPr>
              <w:t>I-06 Zero-count statement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Define the intended zero-count function with multiplicity and exact rectangle conventions. If full construction is blocked, introduce a narrow provisional interface and list every missing proof obligation.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 theorem-ready zero-count API whose assumptions are visible.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374E"/>
                <w:sz w:val="17"/>
              </w:rPr>
              <w:t>I-07 Formal theorem statements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State the epsilon-form Guth-Maynard large-values estimate, the intermediate density exponent 15(1-sigma)/(3+5 sigma), and the combined 30(1-sigma)/13 estimate. Do not claim proofs at this stage.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Lean declarations compile; paper states their proof status accurately.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CE4D6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color w:val="1F374E"/>
                <w:sz w:val="21"/>
              </w:rPr>
              <w:t>Immediate completion gate</w:t>
            </w:r>
          </w:p>
          <w:p>
            <w:pPr>
              <w:spacing w:after="0"/>
            </w:pPr>
            <w:r>
              <w:rPr>
                <w:sz w:val="19"/>
              </w:rPr>
              <w:t>Do not begin the full Section 13 transfer proof until the exact theorem interfaces compile, all asymptotic quantifiers are explicit, the large-value point model is stable, and the zero-count convention is fixed.</w:t>
            </w:r>
          </w:p>
        </w:tc>
      </w:tr>
    </w:tbl>
    <w:p>
      <w:pPr>
        <w:pStyle w:val="Heading1"/>
        <w:keepNext/>
      </w:pPr>
      <w:r>
        <w:t>5. Follow-up objectives</w:t>
      </w:r>
    </w:p>
    <w:p>
      <w:r>
        <w:rPr>
          <w:b/>
        </w:rPr>
        <w:t xml:space="preserve">Purpose: </w:t>
      </w:r>
      <w:r>
        <w:t>Formalize the nontrivial zero-density deduction while keeping every unproved analytic input isolated and named.</w:t>
      </w:r>
    </w:p>
    <w:p>
      <w:pPr>
        <w:pStyle w:val="ListNumber"/>
        <w:spacing w:after="60"/>
      </w:pPr>
      <w:r>
        <w:rPr>
          <w:b/>
          <w:color w:val="1F374E"/>
        </w:rPr>
        <w:t xml:space="preserve">F-01 Dyadic zero reduction: </w:t>
      </w:r>
      <w:r>
        <w:t>Reduce the global count to counts in imaginary-height slabs such as [T, 2T], including the finite geometric summation needed to recover the full range.</w:t>
      </w:r>
    </w:p>
    <w:p>
      <w:pPr>
        <w:pStyle w:val="ListNumber"/>
        <w:spacing w:after="60"/>
      </w:pPr>
      <w:r>
        <w:rPr>
          <w:b/>
          <w:color w:val="1F374E"/>
        </w:rPr>
        <w:t xml:space="preserve">F-02 Zero detector coefficients: </w:t>
      </w:r>
      <w:r>
        <w:t>Formalize the truncated Mobius-based coefficients and the weighted Dirichlet polynomial used in Section 13.1. State all support, magnitude, and vanishing properties required later.</w:t>
      </w:r>
    </w:p>
    <w:p>
      <w:pPr>
        <w:pStyle w:val="ListNumber"/>
        <w:spacing w:after="60"/>
      </w:pPr>
      <w:r>
        <w:rPr>
          <w:b/>
          <w:color w:val="1F374E"/>
        </w:rPr>
        <w:t xml:space="preserve">F-03 Type I and Type II zeros: </w:t>
      </w:r>
      <w:r>
        <w:t>Define the classification exactly. Introduce the Type II bound as a named hypothesis first, then remove it in a later objective.</w:t>
      </w:r>
    </w:p>
    <w:p>
      <w:pPr>
        <w:pStyle w:val="ListNumber"/>
        <w:spacing w:after="60"/>
      </w:pPr>
      <w:r>
        <w:rPr>
          <w:b/>
          <w:color w:val="1F374E"/>
        </w:rPr>
        <w:t xml:space="preserve">F-04 Remove beta dependence: </w:t>
      </w:r>
      <w:r>
        <w:t>Formalize the smooth cutoff, Fourier representation, rapid-decay truncation, and passage from D(beta + i gamma) to a large value on the fixed line Re(s) = sigma.</w:t>
      </w:r>
    </w:p>
    <w:p>
      <w:pPr>
        <w:pStyle w:val="ListNumber"/>
        <w:spacing w:after="60"/>
      </w:pPr>
      <w:r>
        <w:rPr>
          <w:b/>
          <w:color w:val="1F374E"/>
        </w:rPr>
        <w:t xml:space="preserve">F-05 Extract separated ordinates: </w:t>
      </w:r>
      <w:r>
        <w:t>Use the local zero-count input to select a 1-separated set whose cardinality controls the number of relevant zeros. Track multiplicity and unit-interval losses explicitly.</w:t>
      </w:r>
    </w:p>
    <w:p>
      <w:pPr>
        <w:pStyle w:val="ListNumber"/>
        <w:spacing w:after="60"/>
      </w:pPr>
      <w:r>
        <w:rPr>
          <w:b/>
          <w:color w:val="1F374E"/>
        </w:rPr>
        <w:t xml:space="preserve">F-06 Normalize coefficients: </w:t>
      </w:r>
      <w:r>
        <w:t>Define the normalized coefficients and prove their pointwise bound so that the Guth-Maynard theorem applies to the resulting polynomial.</w:t>
      </w:r>
    </w:p>
    <w:p>
      <w:pPr>
        <w:pStyle w:val="ListNumber"/>
        <w:spacing w:after="60"/>
      </w:pPr>
      <w:r>
        <w:rPr>
          <w:b/>
          <w:color w:val="1F374E"/>
        </w:rPr>
        <w:t xml:space="preserve">F-07 Polynomial powers: </w:t>
      </w:r>
      <w:r>
        <w:t>Formalize powers of the Dirichlet polynomial, their lengths, coefficient bounds after normalization, and the relation between a large base value and a large powered value.</w:t>
      </w:r>
    </w:p>
    <w:p>
      <w:pPr>
        <w:pStyle w:val="ListNumber"/>
        <w:spacing w:after="60"/>
      </w:pPr>
      <w:r>
        <w:rPr>
          <w:b/>
          <w:color w:val="1F374E"/>
        </w:rPr>
        <w:t xml:space="preserve">F-08 Choose the integer k: </w:t>
      </w:r>
      <w:r>
        <w:t>Prove the existence of a bounded positive integer satisfying the inequalities corresponding to equation (13.1), with exact sigma and N ranges.</w:t>
      </w:r>
    </w:p>
    <w:p>
      <w:pPr>
        <w:pStyle w:val="ListNumber"/>
        <w:spacing w:after="60"/>
      </w:pPr>
      <w:r>
        <w:rPr>
          <w:b/>
          <w:color w:val="1F374E"/>
        </w:rPr>
        <w:t xml:space="preserve">F-09 Large-values case: </w:t>
      </w:r>
      <w:r>
        <w:t>Apply the formal large-values hypothesis to the powered polynomial and prove the three exponent bounds.</w:t>
      </w:r>
    </w:p>
    <w:p>
      <w:pPr>
        <w:pStyle w:val="ListNumber"/>
        <w:spacing w:after="60"/>
      </w:pPr>
      <w:r>
        <w:rPr>
          <w:b/>
          <w:color w:val="1F374E"/>
        </w:rPr>
        <w:t xml:space="preserve">F-10 Mean-value case: </w:t>
      </w:r>
      <w:r>
        <w:t>Apply the formal mean-value hypothesis when N^k exceeds the threshold and verify the final rational exponent inequality.</w:t>
      </w:r>
    </w:p>
    <w:p>
      <w:pPr>
        <w:pStyle w:val="ListNumber"/>
        <w:spacing w:after="60"/>
      </w:pPr>
      <w:r>
        <w:rPr>
          <w:b/>
          <w:color w:val="1F374E"/>
        </w:rPr>
        <w:t xml:space="preserve">F-11 Conditional transfer theorem: </w:t>
      </w:r>
      <w:r>
        <w:t>Assemble F-01 through F-10 into the first major theorem: the zero-density exponent 15(1-sigma)/(3+5 sigma) from explicit hypotheses.</w:t>
      </w:r>
    </w:p>
    <w:p>
      <w:pPr>
        <w:pStyle w:val="ListNumber"/>
        <w:spacing w:after="60"/>
      </w:pPr>
      <w:r>
        <w:rPr>
          <w:b/>
          <w:color w:val="1F374E"/>
        </w:rPr>
        <w:t xml:space="preserve">F-12 Combined exponent: </w:t>
      </w:r>
      <w:r>
        <w:t>Combine the result with a separately formalized or assumed Ingham bound for sigma &lt;= 7/10 to derive 30(1-sigma)/13.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2F0D9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color w:val="1F374E"/>
                <w:sz w:val="21"/>
              </w:rPr>
              <w:t>First major definition of success</w:t>
            </w:r>
          </w:p>
          <w:p>
            <w:pPr>
              <w:spacing w:after="0"/>
            </w:pPr>
            <w:r>
              <w:rPr>
                <w:sz w:val="19"/>
              </w:rPr>
              <w:t>A compiled theorem proves the Section 13 zero-density transfer with the Guth-Maynard estimate, Type II bound, local zero count, and mean-value theorem supplied as separate hypotheses. The proof itself performs the zero detection, smoothing, separated-set extraction, powering, case split, and exponent arithmetic.</w:t>
            </w:r>
          </w:p>
        </w:tc>
      </w:tr>
    </w:tbl>
    <w:p>
      <w:pPr>
        <w:pStyle w:val="Heading1"/>
        <w:keepNext/>
      </w:pPr>
      <w:r>
        <w:t>6. Long-term objectives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Objective</w:t>
            </w:r>
          </w:p>
        </w:tc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Required outcome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374E"/>
                <w:sz w:val="17"/>
              </w:rPr>
              <w:t>L-01 Remove the local zero-count hypothesis</w:t>
            </w:r>
          </w:p>
        </w:tc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Develop zeta zero counting with multiplicity in compact rectangles and prove the unit-height O(log T) estimate used for separated extraction.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374E"/>
                <w:sz w:val="17"/>
              </w:rPr>
              <w:t>L-02 Remove the Type II hypothesis</w:t>
            </w:r>
          </w:p>
        </w:tc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Formalize the classical zero-detection lemma controlling Type II zeros, including the supporting estimates it requires.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374E"/>
                <w:sz w:val="17"/>
              </w:rPr>
              <w:t>L-03 Remove the mean-value hypothesis</w:t>
            </w:r>
          </w:p>
        </w:tc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Formalize the required discrete or continuous mean-value theorem for Dirichlet polynomials in the exact powered-polynomial form used by the transfer proof.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374E"/>
                <w:sz w:val="17"/>
              </w:rPr>
              <w:t>L-04 Complete smoothing infrastructure</w:t>
            </w:r>
          </w:p>
        </w:tc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Replace any provisional Fourier-decay or truncation assumptions with kernel-checked analysis built on Mathlib.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374E"/>
                <w:sz w:val="17"/>
              </w:rPr>
              <w:t>L-05 Formalize Guth-Maynard reductions</w:t>
            </w:r>
          </w:p>
        </w:tc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Formalize the reductions in Sections 3 and 4, including matrices, singular values, operator norms, trace bounds, and their relation to large values.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374E"/>
                <w:sz w:val="17"/>
              </w:rPr>
              <w:t>L-06 Formalize the analytic core</w:t>
            </w:r>
          </w:p>
        </w:tc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Develop the Poisson summation, Fourier integral, cancellation, affine-transformation, and low-energy estimates from Sections 5 through 10.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374E"/>
                <w:sz w:val="17"/>
              </w:rPr>
              <w:t>L-07 Formalize additive-energy bounds</w:t>
            </w:r>
          </w:p>
        </w:tc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Formalize Section 11, including approximate additive energy, discrete moments, gcd splitting, and the resulting energy proposition.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374E"/>
                <w:sz w:val="17"/>
              </w:rPr>
              <w:t>L-08 Assemble Theorem 1.1</w:t>
            </w:r>
          </w:p>
        </w:tc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Prove the large-values estimate in explicit epsilon form and verify that the formal statement matches the published theorem.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374E"/>
                <w:sz w:val="17"/>
              </w:rPr>
              <w:t>L-09 Remove the final major hypothesis</w:t>
            </w:r>
          </w:p>
        </w:tc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Re-run the zero-density transfer with the proved large-values theorem to obtain a fully internal kernel-checked result.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374E"/>
                <w:sz w:val="17"/>
              </w:rPr>
              <w:t>L-10 Generalize stable components</w:t>
            </w:r>
          </w:p>
        </w:tc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Refactor reusable results for upstream contribution and possible later applications to Dirichlet L-functions or other large-values problems.</w:t>
            </w:r>
          </w:p>
        </w:tc>
      </w:tr>
    </w:tbl>
    <w:p>
      <w:pPr>
        <w:pStyle w:val="Heading1"/>
        <w:keepNext/>
      </w:pPr>
      <w:r>
        <w:t>7. Technical architecture</w:t>
      </w:r>
    </w:p>
    <w:p>
      <w:r>
        <w:rPr>
          <w:b/>
        </w:rPr>
        <w:t xml:space="preserve">Architecture rule: </w:t>
      </w:r>
      <w:r>
        <w:t>Extend the existing namespace and project layout. Do not rewrite working modules merely to match this suggested structure. Add modules when their mathematical responsibility becomes real.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rPr>
                <w:rFonts w:ascii="Cascadia Mono" w:hAnsi="Cascadia Mono" w:eastAsia="Cascadia Mono"/>
                <w:sz w:val="15"/>
              </w:rPr>
              <w:t>9. Zero Density, Large Values and Prime Transfer/71 Guth-Maynard, 2026/</w:t>
            </w:r>
            <w:r>
              <w:br/>
            </w:r>
            <w:r>
              <w:rPr>
                <w:rFonts w:ascii="Cascadia Mono" w:hAnsi="Cascadia Mono" w:eastAsia="Cascadia Mono"/>
                <w:sz w:val="15"/>
              </w:rPr>
              <w:t xml:space="preserve">  FiniteDirichletPolynomial.lean        # existing reusable foundation</w:t>
            </w:r>
            <w:r>
              <w:br/>
            </w:r>
            <w:r>
              <w:rPr>
                <w:rFonts w:ascii="Cascadia Mono" w:hAnsi="Cascadia Mono" w:eastAsia="Cascadia Mono"/>
                <w:sz w:val="15"/>
              </w:rPr>
              <w:t xml:space="preserve">  CrossNormProduct.lean                 # existing, peripheral to main path</w:t>
            </w:r>
            <w:r>
              <w:br/>
            </w:r>
            <w:r>
              <w:rPr>
                <w:rFonts w:ascii="Cascadia Mono" w:hAnsi="Cascadia Mono" w:eastAsia="Cascadia Mono"/>
                <w:sz w:val="15"/>
              </w:rPr>
              <w:t xml:space="preserve">  CompletedZetaSymmetry.lean            # existing, preserve</w:t>
            </w:r>
            <w:r>
              <w:br/>
            </w:r>
            <w:r>
              <w:rPr>
                <w:rFonts w:ascii="Cascadia Mono" w:hAnsi="Cascadia Mono" w:eastAsia="Cascadia Mono"/>
                <w:sz w:val="15"/>
              </w:rPr>
              <w:t xml:space="preserve">  HardyZ.lean                           # existing, preserve</w:t>
            </w:r>
            <w:r>
              <w:br/>
            </w:r>
            <w:r>
              <w:rPr>
                <w:rFonts w:ascii="Cascadia Mono" w:hAnsi="Cascadia Mono" w:eastAsia="Cascadia Mono"/>
                <w:sz w:val="15"/>
              </w:rPr>
              <w:t xml:space="preserve">  Nonvanishing.lean                     # existing, preserve</w:t>
            </w:r>
            <w:r>
              <w:br/>
            </w:r>
            <w:r>
              <w:rPr>
                <w:rFonts w:ascii="Cascadia Mono" w:hAnsi="Cascadia Mono" w:eastAsia="Cascadia Mono"/>
                <w:sz w:val="15"/>
              </w:rPr>
              <w:t xml:space="preserve">  Audit.lean                            # existing, expand continuously</w:t>
            </w:r>
            <w:r>
              <w:br/>
            </w:r>
            <w:r>
              <w:rPr>
                <w:rFonts w:ascii="Cascadia Mono" w:hAnsi="Cascadia Mono" w:eastAsia="Cascadia Mono"/>
                <w:sz w:val="15"/>
              </w:rPr>
            </w:r>
            <w:r>
              <w:br/>
            </w:r>
            <w:r>
              <w:rPr>
                <w:rFonts w:ascii="Cascadia Mono" w:hAnsi="Cascadia Mono" w:eastAsia="Cascadia Mono"/>
                <w:sz w:val="15"/>
              </w:rPr>
              <w:t xml:space="preserve">  GuthMaynard/</w:t>
            </w:r>
            <w:r>
              <w:br/>
            </w:r>
            <w:r>
              <w:rPr>
                <w:rFonts w:ascii="Cascadia Mono" w:hAnsi="Cascadia Mono" w:eastAsia="Cascadia Mono"/>
                <w:sz w:val="15"/>
              </w:rPr>
              <w:t xml:space="preserve">    Asymptotic.lean                     # explicit epsilon-power bounds</w:t>
            </w:r>
            <w:r>
              <w:br/>
            </w:r>
            <w:r>
              <w:rPr>
                <w:rFonts w:ascii="Cascadia Mono" w:hAnsi="Cascadia Mono" w:eastAsia="Cascadia Mono"/>
                <w:sz w:val="15"/>
              </w:rPr>
              <w:t xml:space="preserve">    Separated.lean                      # separated finite sets and cardinality</w:t>
            </w:r>
            <w:r>
              <w:br/>
            </w:r>
            <w:r>
              <w:rPr>
                <w:rFonts w:ascii="Cascadia Mono" w:hAnsi="Cascadia Mono" w:eastAsia="Cascadia Mono"/>
                <w:sz w:val="15"/>
              </w:rPr>
              <w:t xml:space="preserve">    DirichletPolynomial.lean            # exact interval-indexed GM interface</w:t>
            </w:r>
            <w:r>
              <w:br/>
            </w:r>
            <w:r>
              <w:rPr>
                <w:rFonts w:ascii="Cascadia Mono" w:hAnsi="Cascadia Mono" w:eastAsia="Cascadia Mono"/>
                <w:sz w:val="15"/>
              </w:rPr>
              <w:t xml:space="preserve">    Statements.lean                     # Theorem 1.1 and density statements</w:t>
            </w:r>
            <w:r>
              <w:br/>
            </w:r>
            <w:r>
              <w:rPr>
                <w:rFonts w:ascii="Cascadia Mono" w:hAnsi="Cascadia Mono" w:eastAsia="Cascadia Mono"/>
                <w:sz w:val="15"/>
              </w:rPr>
              <w:t xml:space="preserve">    ZeroCount.lean                      # zeros with multiplicity and rectangles</w:t>
            </w:r>
            <w:r>
              <w:br/>
            </w:r>
            <w:r>
              <w:rPr>
                <w:rFonts w:ascii="Cascadia Mono" w:hAnsi="Cascadia Mono" w:eastAsia="Cascadia Mono"/>
                <w:sz w:val="15"/>
              </w:rPr>
              <w:t xml:space="preserve">    ZeroDetector.lean                   # detector coefficients; Type I / II</w:t>
            </w:r>
            <w:r>
              <w:br/>
            </w:r>
            <w:r>
              <w:rPr>
                <w:rFonts w:ascii="Cascadia Mono" w:hAnsi="Cascadia Mono" w:eastAsia="Cascadia Mono"/>
                <w:sz w:val="15"/>
              </w:rPr>
              <w:t xml:space="preserve">    FourierReduction.lean               # remove real-part dependence</w:t>
            </w:r>
            <w:r>
              <w:br/>
            </w:r>
            <w:r>
              <w:rPr>
                <w:rFonts w:ascii="Cascadia Mono" w:hAnsi="Cascadia Mono" w:eastAsia="Cascadia Mono"/>
                <w:sz w:val="15"/>
              </w:rPr>
              <w:t xml:space="preserve">    Powering.lean                       # polynomial powers and coefficient bounds</w:t>
            </w:r>
            <w:r>
              <w:br/>
            </w:r>
            <w:r>
              <w:rPr>
                <w:rFonts w:ascii="Cascadia Mono" w:hAnsi="Cascadia Mono" w:eastAsia="Cascadia Mono"/>
                <w:sz w:val="15"/>
              </w:rPr>
              <w:t xml:space="preserve">    ExponentArithmetic.lean             # k choice and rational inequalities</w:t>
            </w:r>
            <w:r>
              <w:br/>
            </w:r>
            <w:r>
              <w:rPr>
                <w:rFonts w:ascii="Cascadia Mono" w:hAnsi="Cascadia Mono" w:eastAsia="Cascadia Mono"/>
                <w:sz w:val="15"/>
              </w:rPr>
              <w:t xml:space="preserve">    ZeroDensityTransfer.lean            # conditional Section 13 theorem</w:t>
            </w:r>
            <w:r>
              <w:br/>
            </w:r>
            <w:r>
              <w:rPr>
                <w:rFonts w:ascii="Cascadia Mono" w:hAnsi="Cascadia Mono" w:eastAsia="Cascadia Mono"/>
                <w:sz w:val="15"/>
              </w:rPr>
            </w:r>
            <w:r>
              <w:br/>
            </w:r>
            <w:r>
              <w:rPr>
                <w:rFonts w:ascii="Cascadia Mono" w:hAnsi="Cascadia Mono" w:eastAsia="Cascadia Mono"/>
                <w:sz w:val="15"/>
              </w:rPr>
              <w:t xml:space="preserve">    LargeValues/</w:t>
            </w:r>
            <w:r>
              <w:br/>
            </w:r>
            <w:r>
              <w:rPr>
                <w:rFonts w:ascii="Cascadia Mono" w:hAnsi="Cascadia Mono" w:eastAsia="Cascadia Mono"/>
                <w:sz w:val="15"/>
              </w:rPr>
              <w:t xml:space="preserve">      MatrixReduction.lean</w:t>
            </w:r>
            <w:r>
              <w:br/>
            </w:r>
            <w:r>
              <w:rPr>
                <w:rFonts w:ascii="Cascadia Mono" w:hAnsi="Cascadia Mono" w:eastAsia="Cascadia Mono"/>
                <w:sz w:val="15"/>
              </w:rPr>
              <w:t xml:space="preserve">      SingularValues.lean</w:t>
            </w:r>
            <w:r>
              <w:br/>
            </w:r>
            <w:r>
              <w:rPr>
                <w:rFonts w:ascii="Cascadia Mono" w:hAnsi="Cascadia Mono" w:eastAsia="Cascadia Mono"/>
                <w:sz w:val="15"/>
              </w:rPr>
              <w:t xml:space="preserve">      Poisson.lean</w:t>
            </w:r>
            <w:r>
              <w:br/>
            </w:r>
            <w:r>
              <w:rPr>
                <w:rFonts w:ascii="Cascadia Mono" w:hAnsi="Cascadia Mono" w:eastAsia="Cascadia Mono"/>
                <w:sz w:val="15"/>
              </w:rPr>
              <w:t xml:space="preserve">      AffineSums.lean</w:t>
            </w:r>
            <w:r>
              <w:br/>
            </w:r>
            <w:r>
              <w:rPr>
                <w:rFonts w:ascii="Cascadia Mono" w:hAnsi="Cascadia Mono" w:eastAsia="Cascadia Mono"/>
                <w:sz w:val="15"/>
              </w:rPr>
              <w:t xml:space="preserve">      Cancellation.lean</w:t>
            </w:r>
            <w:r>
              <w:br/>
            </w:r>
            <w:r>
              <w:rPr>
                <w:rFonts w:ascii="Cascadia Mono" w:hAnsi="Cascadia Mono" w:eastAsia="Cascadia Mono"/>
                <w:sz w:val="15"/>
              </w:rPr>
              <w:t xml:space="preserve">      AdditiveEnergy.lean</w:t>
            </w:r>
            <w:r>
              <w:br/>
            </w:r>
            <w:r>
              <w:rPr>
                <w:rFonts w:ascii="Cascadia Mono" w:hAnsi="Cascadia Mono" w:eastAsia="Cascadia Mono"/>
                <w:sz w:val="15"/>
              </w:rPr>
              <w:t xml:space="preserve">      Assembly.lean</w:t>
            </w:r>
          </w:p>
        </w:tc>
      </w:tr>
    </w:tbl>
    <w:p>
      <w:pPr>
        <w:pStyle w:val="Heading2"/>
        <w:keepNext/>
      </w:pPr>
      <w:r>
        <w:t>7.1 Target interfaces</w:t>
      </w:r>
    </w:p>
    <w:p>
      <w:r>
        <w:rPr>
          <w:b/>
        </w:rPr>
        <w:t xml:space="preserve">Use these as design sketches, not as immutable signatures. </w:t>
      </w:r>
      <w:r>
        <w:t>Adapt names and types to Mathlib conventions, but preserve the mathematical separation of responsibilities.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rPr>
                <w:rFonts w:ascii="Cascadia Mono" w:hAnsi="Cascadia Mono" w:eastAsia="Cascadia Mono"/>
                <w:sz w:val="15"/>
              </w:rPr>
              <w:t>def EpsilonPowerBound</w:t>
            </w:r>
            <w:r>
              <w:br/>
            </w:r>
            <w:r>
              <w:rPr>
                <w:rFonts w:ascii="Cascadia Mono" w:hAnsi="Cascadia Mono" w:eastAsia="Cascadia Mono"/>
                <w:sz w:val="15"/>
              </w:rPr>
              <w:t xml:space="preserve">    (lhs rhs : Real -&gt; Real) : Prop :=</w:t>
            </w:r>
            <w:r>
              <w:br/>
            </w:r>
            <w:r>
              <w:rPr>
                <w:rFonts w:ascii="Cascadia Mono" w:hAnsi="Cascadia Mono" w:eastAsia="Cascadia Mono"/>
                <w:sz w:val="15"/>
              </w:rPr>
              <w:t xml:space="preserve">  forall epsilon &gt; 0, exists C &gt; 0, exists T0,</w:t>
            </w:r>
            <w:r>
              <w:br/>
            </w:r>
            <w:r>
              <w:rPr>
                <w:rFonts w:ascii="Cascadia Mono" w:hAnsi="Cascadia Mono" w:eastAsia="Cascadia Mono"/>
                <w:sz w:val="15"/>
              </w:rPr>
              <w:t xml:space="preserve">    forall T &gt;= T0, lhs T &lt;= C * T ^ epsilon * rhs T</w:t>
            </w:r>
            <w:r>
              <w:br/>
            </w:r>
            <w:r>
              <w:rPr>
                <w:rFonts w:ascii="Cascadia Mono" w:hAnsi="Cascadia Mono" w:eastAsia="Cascadia Mono"/>
                <w:sz w:val="15"/>
              </w:rPr>
            </w:r>
            <w:r>
              <w:br/>
            </w:r>
            <w:r>
              <w:rPr>
                <w:rFonts w:ascii="Cascadia Mono" w:hAnsi="Cascadia Mono" w:eastAsia="Cascadia Mono"/>
                <w:sz w:val="15"/>
              </w:rPr>
              <w:t>structure LargeValueData where</w:t>
            </w:r>
            <w:r>
              <w:br/>
            </w:r>
            <w:r>
              <w:rPr>
                <w:rFonts w:ascii="Cascadia Mono" w:hAnsi="Cascadia Mono" w:eastAsia="Cascadia Mono"/>
                <w:sz w:val="15"/>
              </w:rPr>
              <w:t xml:space="preserve">  N T V : Real</w:t>
            </w:r>
            <w:r>
              <w:br/>
            </w:r>
            <w:r>
              <w:rPr>
                <w:rFonts w:ascii="Cascadia Mono" w:hAnsi="Cascadia Mono" w:eastAsia="Cascadia Mono"/>
                <w:sz w:val="15"/>
              </w:rPr>
              <w:t xml:space="preserve">  points : Finset Real</w:t>
            </w:r>
            <w:r>
              <w:br/>
            </w:r>
            <w:r>
              <w:rPr>
                <w:rFonts w:ascii="Cascadia Mono" w:hAnsi="Cascadia Mono" w:eastAsia="Cascadia Mono"/>
                <w:sz w:val="15"/>
              </w:rPr>
              <w:t xml:space="preserve">  coeff : Nat -&gt; Complex</w:t>
            </w:r>
            <w:r>
              <w:br/>
            </w:r>
            <w:r>
              <w:rPr>
                <w:rFonts w:ascii="Cascadia Mono" w:hAnsi="Cascadia Mono" w:eastAsia="Cascadia Mono"/>
                <w:sz w:val="15"/>
              </w:rPr>
              <w:t xml:space="preserve">  coeff_bounded : forall n, norm (coeff n) &lt;= 1</w:t>
            </w:r>
            <w:r>
              <w:br/>
            </w:r>
            <w:r>
              <w:rPr>
                <w:rFonts w:ascii="Cascadia Mono" w:hAnsi="Cascadia Mono" w:eastAsia="Cascadia Mono"/>
                <w:sz w:val="15"/>
              </w:rPr>
              <w:t xml:space="preserve">  separated : Pairwise fun x y =&gt; 1 &lt;= abs (x - y)</w:t>
            </w:r>
            <w:r>
              <w:br/>
            </w:r>
            <w:r>
              <w:rPr>
                <w:rFonts w:ascii="Cascadia Mono" w:hAnsi="Cascadia Mono" w:eastAsia="Cascadia Mono"/>
                <w:sz w:val="15"/>
              </w:rPr>
              <w:t xml:space="preserve">  points_in_range : forall t in points, t in Set.Icc 0 T</w:t>
            </w:r>
            <w:r>
              <w:br/>
            </w:r>
            <w:r>
              <w:rPr>
                <w:rFonts w:ascii="Cascadia Mono" w:hAnsi="Cascadia Mono" w:eastAsia="Cascadia Mono"/>
                <w:sz w:val="15"/>
              </w:rPr>
              <w:t xml:space="preserve">  large_at_points : forall t in points, V &lt;= norm (gmDirichletPoly coeff N t)</w:t>
            </w:r>
            <w:r>
              <w:br/>
            </w:r>
            <w:r>
              <w:rPr>
                <w:rFonts w:ascii="Cascadia Mono" w:hAnsi="Cascadia Mono" w:eastAsia="Cascadia Mono"/>
                <w:sz w:val="15"/>
              </w:rPr>
            </w:r>
            <w:r>
              <w:br/>
            </w:r>
            <w:r>
              <w:rPr>
                <w:rFonts w:ascii="Cascadia Mono" w:hAnsi="Cascadia Mono" w:eastAsia="Cascadia Mono"/>
                <w:sz w:val="15"/>
              </w:rPr>
              <w:t>def GuthMaynardLargeValues : Prop :=</w:t>
            </w:r>
            <w:r>
              <w:br/>
            </w:r>
            <w:r>
              <w:rPr>
                <w:rFonts w:ascii="Cascadia Mono" w:hAnsi="Cascadia Mono" w:eastAsia="Cascadia Mono"/>
                <w:sz w:val="15"/>
              </w:rPr>
              <w:t xml:space="preserve">  forall data, ValidGMRange data -&gt;</w:t>
            </w:r>
            <w:r>
              <w:br/>
            </w:r>
            <w:r>
              <w:rPr>
                <w:rFonts w:ascii="Cascadia Mono" w:hAnsi="Cascadia Mono" w:eastAsia="Cascadia Mono"/>
                <w:sz w:val="15"/>
              </w:rPr>
              <w:t xml:space="preserve">    EpsilonPowerCardinalityBound data.points</w:t>
            </w:r>
            <w:r>
              <w:br/>
            </w:r>
            <w:r>
              <w:rPr>
                <w:rFonts w:ascii="Cascadia Mono" w:hAnsi="Cascadia Mono" w:eastAsia="Cascadia Mono"/>
                <w:sz w:val="15"/>
              </w:rPr>
              <w:t xml:space="preserve">      (data.N^2 * data.V^(-2)</w:t>
            </w:r>
            <w:r>
              <w:br/>
            </w:r>
            <w:r>
              <w:rPr>
                <w:rFonts w:ascii="Cascadia Mono" w:hAnsi="Cascadia Mono" w:eastAsia="Cascadia Mono"/>
                <w:sz w:val="15"/>
              </w:rPr>
              <w:t xml:space="preserve">       + data.N^(18/5) * data.V^(-4)</w:t>
            </w:r>
            <w:r>
              <w:br/>
            </w:r>
            <w:r>
              <w:rPr>
                <w:rFonts w:ascii="Cascadia Mono" w:hAnsi="Cascadia Mono" w:eastAsia="Cascadia Mono"/>
                <w:sz w:val="15"/>
              </w:rPr>
              <w:t xml:space="preserve">       + data.T * data.N^(12/5) * data.V^(-4))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rPr>
                <w:rFonts w:ascii="Cascadia Mono" w:hAnsi="Cascadia Mono" w:eastAsia="Cascadia Mono"/>
                <w:sz w:val="15"/>
              </w:rPr>
              <w:t>theorem zeroDensity_of_guthMaynard</w:t>
            </w:r>
            <w:r>
              <w:br/>
            </w:r>
            <w:r>
              <w:rPr>
                <w:rFonts w:ascii="Cascadia Mono" w:hAnsi="Cascadia Mono" w:eastAsia="Cascadia Mono"/>
                <w:sz w:val="15"/>
              </w:rPr>
              <w:t xml:space="preserve">    (hGM : GuthMaynardLargeValues)</w:t>
            </w:r>
            <w:r>
              <w:br/>
            </w:r>
            <w:r>
              <w:rPr>
                <w:rFonts w:ascii="Cascadia Mono" w:hAnsi="Cascadia Mono" w:eastAsia="Cascadia Mono"/>
                <w:sz w:val="15"/>
              </w:rPr>
              <w:t xml:space="preserve">    (hTypeII : TypeIIZeroBound)</w:t>
            </w:r>
            <w:r>
              <w:br/>
            </w:r>
            <w:r>
              <w:rPr>
                <w:rFonts w:ascii="Cascadia Mono" w:hAnsi="Cascadia Mono" w:eastAsia="Cascadia Mono"/>
                <w:sz w:val="15"/>
              </w:rPr>
              <w:t xml:space="preserve">    (hLocalZeros : LocalZetaZeroCountBound)</w:t>
            </w:r>
            <w:r>
              <w:br/>
            </w:r>
            <w:r>
              <w:rPr>
                <w:rFonts w:ascii="Cascadia Mono" w:hAnsi="Cascadia Mono" w:eastAsia="Cascadia Mono"/>
                <w:sz w:val="15"/>
              </w:rPr>
              <w:t xml:space="preserve">    (hMeanValue : PoweredDirichletMeanValueBound) :</w:t>
            </w:r>
            <w:r>
              <w:br/>
            </w:r>
            <w:r>
              <w:rPr>
                <w:rFonts w:ascii="Cascadia Mono" w:hAnsi="Cascadia Mono" w:eastAsia="Cascadia Mono"/>
                <w:sz w:val="15"/>
              </w:rPr>
              <w:t xml:space="preserve">    ZeroDensityBound</w:t>
            </w:r>
            <w:r>
              <w:br/>
            </w:r>
            <w:r>
              <w:rPr>
                <w:rFonts w:ascii="Cascadia Mono" w:hAnsi="Cascadia Mono" w:eastAsia="Cascadia Mono"/>
                <w:sz w:val="15"/>
              </w:rPr>
              <w:t xml:space="preserve">      (fun sigma =&gt; 15 * (1 - sigma) / (3 + 5 * sigma)) := by</w:t>
            </w:r>
            <w:r>
              <w:br/>
            </w:r>
            <w:r>
              <w:rPr>
                <w:rFonts w:ascii="Cascadia Mono" w:hAnsi="Cascadia Mono" w:eastAsia="Cascadia Mono"/>
                <w:sz w:val="15"/>
              </w:rPr>
              <w:t xml:space="preserve">  -- The proof must implement the Section 13 transfer.</w:t>
            </w:r>
            <w:r>
              <w:br/>
            </w:r>
            <w:r>
              <w:rPr>
                <w:rFonts w:ascii="Cascadia Mono" w:hAnsi="Cascadia Mono" w:eastAsia="Cascadia Mono"/>
                <w:sz w:val="15"/>
              </w:rPr>
              <w:t xml:space="preserve">  -- It must not call an assumed theorem equivalent to this conclusion.</w:t>
            </w:r>
            <w:r>
              <w:br/>
            </w:r>
            <w:r>
              <w:rPr>
                <w:rFonts w:ascii="Cascadia Mono" w:hAnsi="Cascadia Mono" w:eastAsia="Cascadia Mono"/>
                <w:sz w:val="15"/>
              </w:rPr>
              <w:t xml:space="preserve">  ...</w:t>
            </w:r>
          </w:p>
        </w:tc>
      </w:tr>
    </w:tbl>
    <w:p>
      <w:pPr>
        <w:pStyle w:val="Heading1"/>
        <w:keepNext/>
      </w:pPr>
      <w:r>
        <w:t>8. Iteration method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DDEBF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color w:val="1F374E"/>
                <w:sz w:val="21"/>
              </w:rPr>
              <w:t>Development model</w:t>
            </w:r>
          </w:p>
          <w:p>
            <w:pPr>
              <w:spacing w:after="0"/>
            </w:pPr>
            <w:r>
              <w:rPr>
                <w:sz w:val="19"/>
              </w:rPr>
              <w:t>Treat mathematical formalization as a sequence of short, testable research increments. Each increment must change the canonical code and the canonical paper together, leave the project buildable, and create a smaller, better-defined next problem.</w:t>
            </w:r>
          </w:p>
        </w:tc>
      </w:tr>
    </w:tbl>
    <w:p>
      <w:pPr>
        <w:spacing w:after="60"/>
      </w:pPr>
      <w:r>
        <w:rPr>
          <w:b/>
          <w:color w:val="1F374E"/>
        </w:rPr>
        <w:t>1. Select one proof obligation</w:t>
      </w:r>
      <w:r>
        <w:t>: Choose the smallest dependency that advances the current objective and has a clear theorem statement.</w:t>
      </w:r>
    </w:p>
    <w:p>
      <w:pPr>
        <w:spacing w:after="60"/>
      </w:pPr>
      <w:r>
        <w:rPr>
          <w:b/>
          <w:color w:val="1F374E"/>
        </w:rPr>
        <w:t>2. Confirm the mathematics</w:t>
      </w:r>
      <w:r>
        <w:t>: Locate the exact source statement, rewrite all implicit conditions, and check edge cases before coding.</w:t>
      </w:r>
    </w:p>
    <w:p>
      <w:pPr>
        <w:spacing w:after="60"/>
      </w:pPr>
      <w:r>
        <w:rPr>
          <w:b/>
          <w:color w:val="1F374E"/>
        </w:rPr>
        <w:t>3. Inspect Mathlib first</w:t>
      </w:r>
      <w:r>
        <w:t>: Search current Mathlib source and documentation. Reuse existing theorems where their semantics match.</w:t>
      </w:r>
    </w:p>
    <w:p>
      <w:pPr>
        <w:spacing w:after="60"/>
      </w:pPr>
      <w:r>
        <w:rPr>
          <w:b/>
          <w:color w:val="1F374E"/>
        </w:rPr>
        <w:t>4. Implement a thin vertical slice</w:t>
      </w:r>
      <w:r>
        <w:t>: Add the definition, minimal lemmas, target theorem, tests or examples, and audit entry needed for one coherent result.</w:t>
      </w:r>
    </w:p>
    <w:p>
      <w:pPr>
        <w:spacing w:after="60"/>
      </w:pPr>
      <w:r>
        <w:rPr>
          <w:b/>
          <w:color w:val="1F374E"/>
        </w:rPr>
        <w:t>5. Compile continuously</w:t>
      </w:r>
      <w:r>
        <w:t>: Run the relevant file after small changes, then run the full build and audit before completion.</w:t>
      </w:r>
    </w:p>
    <w:p>
      <w:pPr>
        <w:spacing w:after="60"/>
      </w:pPr>
      <w:r>
        <w:rPr>
          <w:b/>
          <w:color w:val="1F374E"/>
        </w:rPr>
        <w:t>6. Review assumptions</w:t>
      </w:r>
      <w:r>
        <w:t>: Use #print axioms and inspect theorem signatures. Reject hidden circularity and assumptions that already contain the desired result.</w:t>
      </w:r>
    </w:p>
    <w:p>
      <w:pPr>
        <w:spacing w:after="60"/>
      </w:pPr>
      <w:r>
        <w:rPr>
          <w:b/>
          <w:color w:val="1F374E"/>
        </w:rPr>
        <w:t>7. Update the paper</w:t>
      </w:r>
      <w:r>
        <w:t>: Add or revise the theorem statement, proof status, dependency description, limitations, and reproducibility metadata.</w:t>
      </w:r>
    </w:p>
    <w:p>
      <w:pPr>
        <w:spacing w:after="60"/>
      </w:pPr>
      <w:r>
        <w:rPr>
          <w:b/>
          <w:color w:val="1F374E"/>
        </w:rPr>
        <w:t>8. Record the next obstruction</w:t>
      </w:r>
      <w:r>
        <w:t>: Turn the next missing lemma or library gap into a named backlog item with acceptance criteria.</w:t>
      </w:r>
    </w:p>
    <w:p>
      <w:pPr>
        <w:pStyle w:val="Heading2"/>
        <w:keepNext/>
      </w:pPr>
      <w:r>
        <w:t>8.1 Mandatory output from every completed iteration</w:t>
      </w:r>
    </w:p>
    <w:p>
      <w:pPr>
        <w:pStyle w:val="ListBullet"/>
        <w:spacing w:after="50"/>
      </w:pPr>
      <w:r>
        <w:t>Compiling Lean source in the canonical project.</w:t>
      </w:r>
    </w:p>
    <w:p>
      <w:pPr>
        <w:pStyle w:val="ListBullet"/>
        <w:spacing w:after="50"/>
      </w:pPr>
      <w:r>
        <w:t>Updated Audit declarations and axiom output.</w:t>
      </w:r>
    </w:p>
    <w:p>
      <w:pPr>
        <w:pStyle w:val="ListBullet"/>
        <w:spacing w:after="50"/>
      </w:pPr>
      <w:r>
        <w:t>Updated paper text that exactly matches the formal result.</w:t>
      </w:r>
    </w:p>
    <w:p>
      <w:pPr>
        <w:pStyle w:val="ListBullet"/>
        <w:spacing w:after="50"/>
      </w:pPr>
      <w:r>
        <w:t>A dependency note stating what is proved, imported from Mathlib, or still assumed.</w:t>
      </w:r>
    </w:p>
    <w:p>
      <w:pPr>
        <w:pStyle w:val="ListBullet"/>
        <w:spacing w:after="50"/>
      </w:pPr>
      <w:r>
        <w:t>A clean build command and reproducible result.</w:t>
      </w:r>
    </w:p>
    <w:p>
      <w:pPr>
        <w:pStyle w:val="ListBullet"/>
        <w:spacing w:after="50"/>
      </w:pPr>
      <w:r>
        <w:t>A next-step item stated as a concrete theorem or implementation obligation.</w:t>
      </w:r>
    </w:p>
    <w:p>
      <w:pPr>
        <w:pStyle w:val="Heading1"/>
        <w:keepNext/>
      </w:pPr>
      <w:r>
        <w:t>9. Proof and publication gates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Gate</w:t>
            </w:r>
          </w:p>
        </w:tc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Pass condition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374E"/>
                <w:sz w:val="17"/>
              </w:rPr>
              <w:t>G1 Mathematical statement</w:t>
            </w:r>
          </w:p>
        </w:tc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All domains, ranges, multiplicities, separations, constants, and parameter dependencies are explicit.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374E"/>
                <w:sz w:val="17"/>
              </w:rPr>
              <w:t>G2 Source correspondence</w:t>
            </w:r>
          </w:p>
        </w:tc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The paper source location is recorded and the formal statement is shown equivalent to, or clearly stronger/weaker than, the source statement.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374E"/>
                <w:sz w:val="17"/>
              </w:rPr>
              <w:t>G3 Build</w:t>
            </w:r>
          </w:p>
        </w:tc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 clean checkout completes lake build under the pinned toolchain.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374E"/>
                <w:sz w:val="17"/>
              </w:rPr>
              <w:t>G4 Kernel audit</w:t>
            </w:r>
          </w:p>
        </w:tc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The theorem has no sorryAx dependency. Standard Lean axioms may be reported transparently.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374E"/>
                <w:sz w:val="17"/>
              </w:rPr>
              <w:t>G5 Assumption audit</w:t>
            </w:r>
          </w:p>
        </w:tc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Every major hypothesis is individually named and narrower than the desired conclusion.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374E"/>
                <w:sz w:val="17"/>
              </w:rPr>
              <w:t>G6 Paper mapping</w:t>
            </w:r>
          </w:p>
        </w:tc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The manuscript theorem table names the exact Lean declaration and proof status.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374E"/>
                <w:sz w:val="17"/>
              </w:rPr>
              <w:t>G7 Regression</w:t>
            </w:r>
          </w:p>
        </w:tc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Existing audited declarations remain valid, or documented replacements and migration notes are supplied.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374E"/>
                <w:sz w:val="17"/>
              </w:rPr>
              <w:t>G8 Claim control</w:t>
            </w:r>
          </w:p>
        </w:tc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Public wording distinguishes formal statement, conditional proof, complete proof, and mathematical novelty.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CE4D6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color w:val="1F374E"/>
                <w:sz w:val="21"/>
              </w:rPr>
              <w:t>Stop condition</w:t>
            </w:r>
          </w:p>
          <w:p>
            <w:pPr>
              <w:spacing w:after="0"/>
            </w:pPr>
            <w:r>
              <w:rPr>
                <w:sz w:val="19"/>
              </w:rPr>
              <w:t>Do not describe an objective as complete when only its proposition has been encoded, when a proof contains sorry, when CI is unverified, or when a hypothesis is equivalent to the intended result.</w:t>
            </w:r>
          </w:p>
        </w:tc>
      </w:tr>
    </w:tbl>
    <w:p>
      <w:pPr>
        <w:pStyle w:val="Heading1"/>
        <w:keepNext/>
      </w:pPr>
      <w:r>
        <w:t>10. Risks and response rules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Risk</w:t>
            </w:r>
          </w:p>
        </w:tc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Required response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374E"/>
                <w:sz w:val="17"/>
              </w:rPr>
              <w:t>Zero counting with multiplicity is missing or awkward</w:t>
            </w:r>
          </w:p>
        </w:tc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Build a narrow local API using analytic vanishing order and compactness. Keep any provisional count interface visibly conditional. Do not silently count distinct zeros when the source counts multiplicity.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374E"/>
                <w:sz w:val="17"/>
              </w:rPr>
              <w:t>T^(o(1)) creates quantifier ambiguity</w:t>
            </w:r>
          </w:p>
        </w:tc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Adopt one explicit epsilon-power definition early. State constant dependencies in the type or theorem documentation.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374E"/>
                <w:sz w:val="17"/>
              </w:rPr>
              <w:t>Fourier smoothing requires unavailable lemmas</w:t>
            </w:r>
          </w:p>
        </w:tc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Split the proof into general smooth-cutoff facts and the specific Section 13 corollary. Add narrowly stated temporary hypotheses only when the missing Mathlib work is too large for the current increment.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374E"/>
                <w:sz w:val="17"/>
              </w:rPr>
              <w:t>Polynomial powers change coefficient ranges</w:t>
            </w:r>
          </w:p>
        </w:tc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Formalize convolution coefficients and exact support before using the large-values theorem. Prove the normalized coefficient bound required by the selected theorem statement.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374E"/>
                <w:sz w:val="17"/>
              </w:rPr>
              <w:t>The local zero-count theorem is deep</w:t>
            </w:r>
          </w:p>
        </w:tc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Keep it as a named hypothesis for Goal B. Schedule its removal under Goal C rather than blocking the transfer proof.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374E"/>
                <w:sz w:val="17"/>
              </w:rPr>
              <w:t>Full Theorem 1.1 is too broad for early work</w:t>
            </w:r>
          </w:p>
        </w:tc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Do not start with the entire matrix-to-energy proof. Complete the formal statement layer and conditional transfer first.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374E"/>
                <w:sz w:val="17"/>
              </w:rPr>
              <w:t>Existing side topics absorb effort</w:t>
            </w:r>
          </w:p>
        </w:tc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Preserve Hardy and symmetry results but do not extend them unless they satisfy a documented dependency of the main zero-density path.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374E"/>
                <w:sz w:val="17"/>
              </w:rPr>
              <w:t>AI invents theorem names or misreads Mathlib semantics</w:t>
            </w:r>
          </w:p>
        </w:tc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Inspect source, compile minimal examples, and record exact imported declaration names. Never rely on an uncompiled guess.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374E"/>
                <w:sz w:val="17"/>
              </w:rPr>
              <w:t>Paper outruns the code</w:t>
            </w:r>
          </w:p>
        </w:tc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Make paper revision part of the same completion gate as the Lean theorem.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374E"/>
                <w:sz w:val="17"/>
              </w:rPr>
              <w:t>A mathematical gap is found</w:t>
            </w:r>
          </w:p>
        </w:tc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Stop the affected proof, state the gap precisely, test possible repairs, and revise the claim. Do not conceal the issue with stronger assumptions without documenting them.</w:t>
            </w:r>
          </w:p>
        </w:tc>
      </w:tr>
    </w:tbl>
    <w:p>
      <w:pPr>
        <w:pStyle w:val="Heading1"/>
        <w:keepNext/>
      </w:pPr>
      <w:r>
        <w:t>11. First execution sequence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2F0D9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color w:val="1F374E"/>
                <w:sz w:val="21"/>
              </w:rPr>
              <w:t>Start here</w:t>
            </w:r>
          </w:p>
          <w:p>
            <w:pPr>
              <w:spacing w:after="0"/>
            </w:pPr>
            <w:r>
              <w:rPr>
                <w:sz w:val="19"/>
              </w:rPr>
              <w:t>The receiving AI must complete these actions in order unless the current repository already contains a verified equivalent. When an item already exists, audit it against this directive rather than duplicating it.</w:t>
            </w:r>
          </w:p>
        </w:tc>
      </w:tr>
    </w:tbl>
    <w:p>
      <w:pPr>
        <w:spacing w:after="60"/>
        <w:ind w:left="115" w:hanging="115"/>
      </w:pPr>
      <w:r>
        <w:rPr>
          <w:b/>
          <w:color w:val="1F374E"/>
        </w:rPr>
        <w:t xml:space="preserve">1. </w:t>
      </w:r>
      <w:r>
        <w:t>Read every current Lean module, the README, Audit file, project configuration, CI workflow, and the complete paper.</w:t>
      </w:r>
    </w:p>
    <w:p>
      <w:pPr>
        <w:spacing w:after="60"/>
        <w:ind w:left="115" w:hanging="115"/>
      </w:pPr>
      <w:r>
        <w:rPr>
          <w:b/>
          <w:color w:val="1F374E"/>
        </w:rPr>
        <w:t xml:space="preserve">2. </w:t>
      </w:r>
      <w:r>
        <w:t>Run lake build and lake env lean "9. Zero Density, Large Values and Prime Transfer/71 Guth-Maynard, 2026/Audit.lean" from a clean environment. Save the exact result in the working notes.</w:t>
      </w:r>
    </w:p>
    <w:p>
      <w:pPr>
        <w:spacing w:after="60"/>
        <w:ind w:left="115" w:hanging="115"/>
      </w:pPr>
      <w:r>
        <w:rPr>
          <w:b/>
          <w:color w:val="1F374E"/>
        </w:rPr>
        <w:t xml:space="preserve">3. </w:t>
      </w:r>
      <w:r>
        <w:t>Create or update a research-status section that maps every current declaration to one of: reusable foundation, peripheral preserved result, new target dependency, or future work.</w:t>
      </w:r>
    </w:p>
    <w:p>
      <w:pPr>
        <w:spacing w:after="60"/>
        <w:ind w:left="115" w:hanging="115"/>
      </w:pPr>
      <w:r>
        <w:rPr>
          <w:b/>
          <w:color w:val="1F374E"/>
        </w:rPr>
        <w:t xml:space="preserve">4. </w:t>
      </w:r>
      <w:r>
        <w:t>Read Guth-Maynard Theorem 1.1 and Section 13.1 line by line. Produce a dependency graph for the zero-density proof.</w:t>
      </w:r>
    </w:p>
    <w:p>
      <w:pPr>
        <w:spacing w:after="60"/>
        <w:ind w:left="115" w:hanging="115"/>
      </w:pPr>
      <w:r>
        <w:rPr>
          <w:b/>
          <w:color w:val="1F374E"/>
        </w:rPr>
        <w:t xml:space="preserve">5. </w:t>
      </w:r>
      <w:r>
        <w:t>Implement the explicit epsilon-power asymptotic convention and prove elementary closure lemmas needed for sums, products, and exponent comparisons.</w:t>
      </w:r>
    </w:p>
    <w:p>
      <w:pPr>
        <w:spacing w:after="60"/>
        <w:ind w:left="115" w:hanging="115"/>
      </w:pPr>
      <w:r>
        <w:rPr>
          <w:b/>
          <w:color w:val="1F374E"/>
        </w:rPr>
        <w:t xml:space="preserve">6. </w:t>
      </w:r>
      <w:r>
        <w:t>Implement separated finite sets and the exact interval-indexed Dirichlet polynomial used by the large-values theorem. Prove bridges to the existing finite positive-index polynomial.</w:t>
      </w:r>
    </w:p>
    <w:p>
      <w:pPr>
        <w:spacing w:after="60"/>
        <w:ind w:left="115" w:hanging="115"/>
      </w:pPr>
      <w:r>
        <w:rPr>
          <w:b/>
          <w:color w:val="1F374E"/>
        </w:rPr>
        <w:t xml:space="preserve">7. </w:t>
      </w:r>
      <w:r>
        <w:t>Add exact theorem statements for the large-values estimate and both zero-density exponents. Mark their proof status accurately in the paper.</w:t>
      </w:r>
    </w:p>
    <w:p>
      <w:pPr>
        <w:spacing w:after="60"/>
        <w:ind w:left="115" w:hanging="115"/>
      </w:pPr>
      <w:r>
        <w:rPr>
          <w:b/>
          <w:color w:val="1F374E"/>
        </w:rPr>
        <w:t xml:space="preserve">8. </w:t>
      </w:r>
      <w:r>
        <w:t>Define the zero-count interface with multiplicity. Identify which parts are immediately constructible from Mathlib and which require new analytic infrastructure.</w:t>
      </w:r>
    </w:p>
    <w:p>
      <w:pPr>
        <w:spacing w:after="60"/>
        <w:ind w:left="115" w:hanging="115"/>
      </w:pPr>
      <w:r>
        <w:rPr>
          <w:b/>
          <w:color w:val="1F374E"/>
        </w:rPr>
        <w:t xml:space="preserve">9. </w:t>
      </w:r>
      <w:r>
        <w:t>Formalize the elementary exponent arithmetic in Section 13.1, including the k-selection lemma and the final rational inequality, before attempting the analytic reductions.</w:t>
      </w:r>
    </w:p>
    <w:p>
      <w:pPr>
        <w:spacing w:after="60"/>
        <w:ind w:left="115" w:hanging="115"/>
      </w:pPr>
      <w:r>
        <w:rPr>
          <w:b/>
          <w:color w:val="1F374E"/>
        </w:rPr>
        <w:t xml:space="preserve">10. </w:t>
      </w:r>
      <w:r>
        <w:t>Begin the conditional transfer proof with separate hypotheses for the large-values theorem, Type II bound, local zero count, and mean-value theorem.</w:t>
      </w:r>
    </w:p>
    <w:p>
      <w:pPr>
        <w:pStyle w:val="Heading2"/>
        <w:keepNext/>
      </w:pPr>
      <w:r>
        <w:t>11.1 Initial deliverable package</w:t>
      </w:r>
    </w:p>
    <w:p>
      <w:pPr>
        <w:pStyle w:val="ListBullet"/>
        <w:spacing w:after="50"/>
      </w:pPr>
      <w:r>
        <w:t>New compiling GuthMaynard statement and infrastructure modules.</w:t>
      </w:r>
    </w:p>
    <w:p>
      <w:pPr>
        <w:pStyle w:val="ListBullet"/>
        <w:spacing w:after="50"/>
      </w:pPr>
      <w:r>
        <w:t>Expanded Audit file covering every new public declaration.</w:t>
      </w:r>
    </w:p>
    <w:p>
      <w:pPr>
        <w:pStyle w:val="ListBullet"/>
        <w:spacing w:after="50"/>
      </w:pPr>
      <w:r>
        <w:t>Updated README build and module map.</w:t>
      </w:r>
    </w:p>
    <w:p>
      <w:pPr>
        <w:pStyle w:val="ListBullet"/>
        <w:spacing w:after="50"/>
      </w:pPr>
      <w:r>
        <w:t>Updated paper with research objective, exact theorem statements, proof status, dependency table, and limitations.</w:t>
      </w:r>
    </w:p>
    <w:p>
      <w:pPr>
        <w:pStyle w:val="ListBullet"/>
        <w:spacing w:after="50"/>
      </w:pPr>
      <w:r>
        <w:t>A backlog ordered by the Goal A to Goal D hierarchy.</w:t>
      </w:r>
    </w:p>
    <w:p>
      <w:pPr>
        <w:pStyle w:val="Heading1"/>
        <w:keepNext/>
      </w:pPr>
      <w:r>
        <w:t>12. Defensible success claims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Permitted claim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374E"/>
                <w:sz w:val="17"/>
              </w:rPr>
              <w:t>After Goal A</w:t>
            </w:r>
          </w:p>
        </w:tc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 machine-checked formal statement package for the Guth-Maynard large-values and zero-density results, with explicit quantifiers and reusable Lean infrastructure.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374E"/>
                <w:sz w:val="17"/>
              </w:rPr>
              <w:t>After Goal B</w:t>
            </w:r>
          </w:p>
        </w:tc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 kernel-checked formalization of the Guth-Maynard zero-density transfer argument from explicit large-values and classical analytic hypotheses.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374E"/>
                <w:sz w:val="17"/>
              </w:rPr>
              <w:t>After Goal C</w:t>
            </w:r>
          </w:p>
        </w:tc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 kernel-checked derivation of the Guth-Maynard zero-density estimate assuming only the Guth-Maynard large-values theorem.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F374E"/>
                <w:sz w:val="17"/>
              </w:rPr>
              <w:t>After Goal D</w:t>
            </w:r>
          </w:p>
        </w:tc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7"/>
              </w:rPr>
              <w:t>A complete kernel-checked proof of the Guth-Maynard large-values estimate and its zero-density consequence.</w:t>
            </w:r>
          </w:p>
        </w:tc>
      </w:tr>
    </w:tbl>
    <w:p>
      <w:r>
        <w:rPr>
          <w:b/>
        </w:rPr>
        <w:t xml:space="preserve">Do not use the Goal D claim before Theorem 1.1 is proved inside the project. </w:t>
      </w:r>
      <w:r>
        <w:t>A theorem conditional on GuthMaynardLargeValues remains a conditional theorem even when every downstream step is kernel checked.</w:t>
      </w:r>
    </w:p>
    <w:p>
      <w:pPr>
        <w:pStyle w:val="Heading1"/>
        <w:keepNext/>
      </w:pPr>
      <w:r>
        <w:t>13. Authoritative references</w:t>
      </w:r>
    </w:p>
    <w:p>
      <w:pPr>
        <w:spacing w:after="100"/>
      </w:pPr>
      <w:r>
        <w:rPr>
          <w:b/>
        </w:rPr>
        <w:t xml:space="preserve">Canonical project: </w:t>
      </w:r>
      <w:hyperlink r:id="rId11">
        <w:r>
          <w:rPr>
            <w:color w:val="0563C1"/>
            <w:u w:val="single"/>
          </w:rPr>
          <w:t>https://github.com/smccolm/Lean/tree/main/Riemann%20Zeta</w:t>
        </w:r>
      </w:hyperlink>
    </w:p>
    <w:p>
      <w:pPr>
        <w:spacing w:after="100"/>
      </w:pPr>
      <w:r>
        <w:rPr>
          <w:b/>
        </w:rPr>
        <w:t xml:space="preserve">Canonical project paper: </w:t>
      </w:r>
      <w:hyperlink r:id="rId12">
        <w:r>
          <w:rPr>
            <w:color w:val="0563C1"/>
            <w:u w:val="single"/>
          </w:rPr>
          <w:t>https://github.com/smccolm/Lean/blob/main/Riemann%20Zeta/Paper_Riemann_Zeta.md</w:t>
        </w:r>
      </w:hyperlink>
    </w:p>
    <w:p>
      <w:pPr>
        <w:spacing w:after="100"/>
      </w:pPr>
      <w:r>
        <w:rPr>
          <w:b/>
        </w:rPr>
        <w:t xml:space="preserve">Guth and Maynard, arXiv v2, revised 7 April 2026: </w:t>
      </w:r>
      <w:hyperlink r:id="rId13">
        <w:r>
          <w:rPr>
            <w:color w:val="0563C1"/>
            <w:u w:val="single"/>
          </w:rPr>
          <w:t>https://arxiv.org/html/2405.20552v2</w:t>
        </w:r>
      </w:hyperlink>
    </w:p>
    <w:p>
      <w:pPr>
        <w:spacing w:after="100"/>
      </w:pPr>
      <w:r>
        <w:rPr>
          <w:b/>
        </w:rPr>
        <w:t xml:space="preserve">Guth and Maynard, Annals of Mathematics 203(2), 2026: </w:t>
      </w:r>
      <w:hyperlink r:id="rId14">
        <w:r>
          <w:rPr>
            <w:color w:val="0563C1"/>
            <w:u w:val="single"/>
          </w:rPr>
          <w:t>https://annals.math.princeton.edu/2026/203-2/p06</w:t>
        </w:r>
      </w:hyperlink>
    </w:p>
    <w:p>
      <w:pPr>
        <w:spacing w:after="100"/>
      </w:pPr>
      <w:r>
        <w:rPr>
          <w:b/>
        </w:rPr>
        <w:t xml:space="preserve">Mathlib Riemann zeta documentation: </w:t>
      </w:r>
      <w:hyperlink r:id="rId15">
        <w:r>
          <w:rPr>
            <w:color w:val="0563C1"/>
            <w:u w:val="single"/>
          </w:rPr>
          <w:t>https://leanprover-community.github.io/mathlib4_docs/Mathlib/NumberTheory/LSeries/RiemannZeta.html</w:t>
        </w:r>
      </w:hyperlink>
    </w:p>
    <w:p>
      <w:pPr>
        <w:spacing w:after="100"/>
      </w:pPr>
      <w:r>
        <w:rPr>
          <w:b/>
        </w:rPr>
        <w:t xml:space="preserve">Loeffler and Stoll, Formalizing zeta and L-functions in Lean: </w:t>
      </w:r>
      <w:hyperlink r:id="rId16">
        <w:r>
          <w:rPr>
            <w:color w:val="0563C1"/>
            <w:u w:val="single"/>
          </w:rPr>
          <w:t>https://arxiv.org/abs/2503.00959</w:t>
        </w:r>
      </w:hyperlink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DDEBF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color w:val="1F374E"/>
                <w:sz w:val="21"/>
              </w:rPr>
              <w:t>Final instruction to the receiving AI</w:t>
            </w:r>
          </w:p>
          <w:p>
            <w:pPr>
              <w:spacing w:after="0"/>
            </w:pPr>
            <w:r>
              <w:rPr>
                <w:sz w:val="19"/>
              </w:rPr>
              <w:t>Optimize for one verified mathematical advance at a time. Keep the project buildable, assumptions visible, paper synchronized, and the Goal B conditional zero-density transfer as the first major destination. Every iteration must leave a clearer theorem boundary and a stronger canonical project than it found.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5A5A"/>
        <w:sz w:val="15"/>
      </w:rPr>
      <w:t>GUTH-MAYNARD FORMALIZATION  |  AI EXECUTION DIRECTIVES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9" w:lineRule="auto"/>
    </w:pPr>
    <w:rPr>
      <w:rFonts w:ascii="Aptos" w:hAnsi="Aptos" w:eastAsia="Aptos"/>
      <w:color w:val="26262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374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C5F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29717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F374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 w:eastAsia="Aptos Display"/>
      <w:i/>
      <w:iCs/>
      <w:color w:val="5A5A5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irective">
    <w:name w:val="Directive"/>
    <w:pPr>
      <w:spacing w:after="80"/>
    </w:pPr>
    <w:rPr>
      <w:rFonts w:ascii="Aptos" w:hAnsi="Aptos" w:eastAsia="Aptos"/>
      <w:b/>
      <w:color w:val="1F374E"/>
      <w:sz w:val="20"/>
    </w:rPr>
  </w:style>
  <w:style w:type="paragraph" w:customStyle="1" w:styleId="CodeBlock">
    <w:name w:val="Code Block"/>
    <w:pPr>
      <w:spacing w:before="60" w:after="100" w:line="240" w:lineRule="auto"/>
      <w:ind w:left="259" w:right="259"/>
    </w:pPr>
    <w:rPr>
      <w:rFonts w:ascii="Cascadia Mono" w:hAnsi="Cascadia Mono" w:eastAsia="Cascadia Mono"/>
      <w:sz w:val="16"/>
    </w:rPr>
  </w:style>
  <w:style w:type="paragraph" w:customStyle="1" w:styleId="Small">
    <w:name w:val="Small"/>
    <w:pPr>
      <w:spacing w:after="40"/>
    </w:pPr>
    <w:rPr>
      <w:rFonts w:ascii="Aptos" w:hAnsi="Aptos" w:eastAsia="Aptos"/>
      <w:color w:val="5A5A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smccolm/Lean/tree/main/Riemann%20Zeta" TargetMode="External"/><Relationship Id="rId12" Type="http://schemas.openxmlformats.org/officeDocument/2006/relationships/hyperlink" Target="https://github.com/smccolm/Lean/blob/main/Riemann%20Zeta/Paper_Riemann_Zeta.md" TargetMode="External"/><Relationship Id="rId13" Type="http://schemas.openxmlformats.org/officeDocument/2006/relationships/hyperlink" Target="https://arxiv.org/html/2405.20552v2" TargetMode="External"/><Relationship Id="rId14" Type="http://schemas.openxmlformats.org/officeDocument/2006/relationships/hyperlink" Target="https://annals.math.princeton.edu/2026/203-2/p06" TargetMode="External"/><Relationship Id="rId15" Type="http://schemas.openxmlformats.org/officeDocument/2006/relationships/hyperlink" Target="https://leanprover-community.github.io/mathlib4_docs/Mathlib/NumberTheory/LSeries/RiemannZeta.html" TargetMode="External"/><Relationship Id="rId16" Type="http://schemas.openxmlformats.org/officeDocument/2006/relationships/hyperlink" Target="https://arxiv.org/abs/2503.0095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Guth-Maynard Formalization Research Agenda and AI Execution Directives</dc:title>
  <dc:subject>Continuous Lean 4 development of the existing Riemann Zeta project toward zero-density and large-values proofs</dc:subject>
  <dc:creator>python-docx</dc:creator>
  <cp:keywords>Lean 4, Mathlib, Riemann zeta, Guth-Maynard, Dirichlet polynomials, zero density, formalization</cp:keywords>
  <dc:description>Prepared as an AI handoff directive.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