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INFERENCE (63, 71, 73, 74)</w:t>
      </w:r>
    </w:p>
    <w:p>
      <w:pPr>
        <w:jc w:val="center"/>
      </w:pPr>
      <w:r>
        <w:rPr>
          <w:b/>
          <w:color w:val="2F5597"/>
          <w:sz w:val="42"/>
        </w:rPr>
        <w:t>Novelty-First Research Agenda</w:t>
      </w:r>
    </w:p>
    <w:p>
      <w:pPr>
        <w:pStyle w:val="SubtitleCustom"/>
        <w:jc w:val="center"/>
      </w:pPr>
      <w:r>
        <w:t>A research program for the interaction of nodes 63, 71, 73, and 74</w:t>
        <w:br/>
        <w:t>Rewritten from first principles under the Exploratory novelty standard</w:t>
      </w:r>
    </w:p>
    <w:p>
      <w:pPr>
        <w:spacing w:before="500"/>
        <w:jc w:val="center"/>
      </w:pPr>
      <w:r>
        <w:rPr>
          <w:b/>
          <w:color w:val="2F5597"/>
          <w:sz w:val="26"/>
        </w:rPr>
        <w:t>Status: EXPLORATORY</w:t>
      </w:r>
      <w:r>
        <w:br/>
        <w:t>Research snapshot: 8 September 2026</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50" w:type="dxa"/>
              <w:bottom w:w="130" w:type="dxa"/>
              <w:end w:w="150" w:type="dxa"/>
            </w:tcMar>
          </w:tcPr>
          <w:p>
            <w:pPr>
              <w:pStyle w:val="CalloutText"/>
            </w:pPr>
            <w:r>
              <w:rPr>
                <w:b/>
                <w:color w:val="17365D"/>
              </w:rPr>
              <w:t>Governing objective</w:t>
            </w:r>
            <w:r>
              <w:br/>
              <w:t>The purpose of INFERENCE is not to automate already-known consequence propagation. Its only mathematical-research success condition is to produce a natural theorem whose mathematical content appears absent from the historical and current literature, is not a routine consequence of existing theory, requires a substantive non-routine mathematical step, and matters independently of its Lean implementation.</w:t>
            </w:r>
          </w:p>
        </w:tc>
      </w:tr>
    </w:tbl>
    <w:p>
      <w:pPr>
        <w:spacing w:after="0"/>
      </w:pPr>
    </w:p>
    <w:p>
      <w:pPr>
        <w:pStyle w:val="SmallNote"/>
        <w:jc w:val="center"/>
      </w:pPr>
      <w:r>
        <w:t>This document deliberately makes no claim that such a theorem has already been identified.</w:t>
      </w:r>
    </w:p>
    <w:p>
      <w:r>
        <w:br w:type="page"/>
      </w:r>
    </w:p>
    <w:p>
      <w:pPr>
        <w:pStyle w:val="Heading1"/>
      </w:pPr>
      <w:r>
        <w:t>1. Executive decision</w:t>
      </w:r>
    </w:p>
    <w:p>
      <w:r>
        <w:t>The September 6 agenda is replaced, not amended. The old conception treated formal integration and consequence generation as the central research activity. That is no longer adequate. Node 63, the Analytic Number Theory Exponent Database (ANTEDB), already records theorems and relationships among analytic-number-theory exponents, executes many of those relationships computationally, maintains a dependency graph, includes Guth-Maynard relations, and is itself developing Lean infrastructure. Gafni-Tao already packages explicit zero-density-to-exceptional-set transfers. Tao 2026 already consumes the Guth-Maynard/Gafni-Tao chain in a concrete arithmetic-anatomy argument. Therefore the novelty cannot reside in merely connecting these papers.</w:t>
      </w:r>
    </w:p>
    <w:tbl>
      <w:tblPr>
        <w:tblW w:type="auto" w:w="0"/>
        <w:jc w:val="center"/>
        <w:tblLayout w:type="autofit"/>
        <w:tblLook w:firstColumn="1" w:firstRow="1" w:lastColumn="0" w:lastRow="0" w:noHBand="0" w:noVBand="1" w:val="04A0"/>
      </w:tblPr>
      <w:tblGrid>
        <w:gridCol w:w="9878"/>
      </w:tblGrid>
      <w:tr>
        <w:tc>
          <w:tcPr>
            <w:tcW w:type="dxa" w:w="9878"/>
            <w:shd w:fill="D9EAF7"/>
            <w:tcMar>
              <w:top w:w="130" w:type="dxa"/>
              <w:start w:w="150" w:type="dxa"/>
              <w:bottom w:w="130" w:type="dxa"/>
              <w:end w:w="150" w:type="dxa"/>
            </w:tcMar>
          </w:tcPr>
          <w:p>
            <w:pPr>
              <w:pStyle w:val="CalloutText"/>
            </w:pPr>
            <w:r>
              <w:rPr>
                <w:b/>
                <w:color w:val="17365D"/>
              </w:rPr>
              <w:t>New definition of INFERENCE</w:t>
            </w:r>
            <w:r>
              <w:br/>
              <w:t>INFERENCE is a candidate-discovery and novelty-triage investigation over a formally exact cross-node corpus. Its research target is a missing non-routine mathematical edge, not another path through already-known edges.</w:t>
            </w:r>
          </w:p>
        </w:tc>
      </w:tr>
    </w:tbl>
    <w:p>
      <w:pPr>
        <w:spacing w:after="0"/>
      </w:pPr>
    </w:p>
    <w:p>
      <w:r>
        <w:t>The project remains in EXPLORATORY status until one exact candidate theorem survives every novelty gate in this agenda. Formalization effort is permitted early when it is cheap and adversarial, but a large proof campaign is forbidden until a candidate is promoted to RESEARCH TARGET.</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4939"/>
        <w:gridCol w:w="4939"/>
      </w:tblGrid>
      <w:tr>
        <w:trPr>
          <w:tblHeader w:val="true"/>
        </w:trPr>
        <w:tc>
          <w:tcPr>
            <w:tcW w:type="dxa" w:w="3024"/>
            <w:shd w:fill="17365D"/>
            <w:tcMar>
              <w:top w:w="90" w:type="dxa"/>
              <w:start w:w="100" w:type="dxa"/>
              <w:bottom w:w="90" w:type="dxa"/>
              <w:end w:w="100" w:type="dxa"/>
            </w:tcMar>
          </w:tcPr>
          <w:p>
            <w:pPr>
              <w:jc w:val="left"/>
            </w:pPr>
            <w:r>
              <w:rPr>
                <w:b/>
                <w:color w:val="FFFFFF"/>
                <w:sz w:val="18"/>
              </w:rPr>
              <w:t>Question</w:t>
            </w:r>
          </w:p>
        </w:tc>
        <w:tc>
          <w:tcPr>
            <w:tcW w:type="dxa" w:w="6336"/>
            <w:shd w:fill="17365D"/>
            <w:tcMar>
              <w:top w:w="90" w:type="dxa"/>
              <w:start w:w="100" w:type="dxa"/>
              <w:bottom w:w="90" w:type="dxa"/>
              <w:end w:w="100" w:type="dxa"/>
            </w:tcMar>
          </w:tcPr>
          <w:p>
            <w:pPr>
              <w:jc w:val="left"/>
            </w:pPr>
            <w:r>
              <w:rPr>
                <w:b/>
                <w:color w:val="FFFFFF"/>
                <w:sz w:val="18"/>
              </w:rPr>
              <w:t>Answer under this agenda</w:t>
            </w:r>
          </w:p>
        </w:tc>
      </w:tr>
      <w:tr>
        <w:tc>
          <w:tcPr>
            <w:tcW w:type="dxa" w:w="3024"/>
            <w:tcMar>
              <w:top w:w="90" w:type="dxa"/>
              <w:start w:w="100" w:type="dxa"/>
              <w:bottom w:w="90" w:type="dxa"/>
              <w:end w:w="100" w:type="dxa"/>
            </w:tcMar>
            <w:vAlign w:val="top"/>
          </w:tcPr>
          <w:p>
            <w:pPr>
              <w:spacing w:after="0"/>
            </w:pPr>
            <w:r>
              <w:rPr>
                <w:sz w:val="17"/>
              </w:rPr>
              <w:t>Is building a dependency graph novel?</w:t>
            </w:r>
          </w:p>
        </w:tc>
        <w:tc>
          <w:tcPr>
            <w:tcW w:type="dxa" w:w="6336"/>
            <w:tcMar>
              <w:top w:w="90" w:type="dxa"/>
              <w:start w:w="100" w:type="dxa"/>
              <w:bottom w:w="90" w:type="dxa"/>
              <w:end w:w="100" w:type="dxa"/>
            </w:tcMar>
            <w:vAlign w:val="top"/>
          </w:tcPr>
          <w:p>
            <w:pPr>
              <w:spacing w:after="0"/>
            </w:pPr>
            <w:r>
              <w:rPr>
                <w:sz w:val="17"/>
              </w:rPr>
              <w:t>No. ANTEDB already does this.</w:t>
            </w:r>
          </w:p>
        </w:tc>
      </w:tr>
      <w:tr>
        <w:tc>
          <w:tcPr>
            <w:tcW w:type="dxa" w:w="3024"/>
            <w:tcMar>
              <w:top w:w="90" w:type="dxa"/>
              <w:start w:w="100" w:type="dxa"/>
              <w:bottom w:w="90" w:type="dxa"/>
              <w:end w:w="100" w:type="dxa"/>
            </w:tcMar>
            <w:vAlign w:val="top"/>
          </w:tcPr>
          <w:p>
            <w:pPr>
              <w:spacing w:after="0"/>
            </w:pPr>
            <w:r>
              <w:rPr>
                <w:sz w:val="17"/>
              </w:rPr>
              <w:t>Is propagating Guth-Maynard exponents through known transfers novel?</w:t>
            </w:r>
          </w:p>
        </w:tc>
        <w:tc>
          <w:tcPr>
            <w:tcW w:type="dxa" w:w="6336"/>
            <w:tcMar>
              <w:top w:w="90" w:type="dxa"/>
              <w:start w:w="100" w:type="dxa"/>
              <w:bottom w:w="90" w:type="dxa"/>
              <w:end w:w="100" w:type="dxa"/>
            </w:tcMar>
            <w:vAlign w:val="top"/>
          </w:tcPr>
          <w:p>
            <w:pPr>
              <w:spacing w:after="0"/>
            </w:pPr>
            <w:r>
              <w:rPr>
                <w:sz w:val="17"/>
              </w:rPr>
              <w:t>No, unless the transfer itself is mathematically new and non-routine.</w:t>
            </w:r>
          </w:p>
        </w:tc>
      </w:tr>
      <w:tr>
        <w:tc>
          <w:tcPr>
            <w:tcW w:type="dxa" w:w="3024"/>
            <w:tcMar>
              <w:top w:w="90" w:type="dxa"/>
              <w:start w:w="100" w:type="dxa"/>
              <w:bottom w:w="90" w:type="dxa"/>
              <w:end w:w="100" w:type="dxa"/>
            </w:tcMar>
            <w:vAlign w:val="top"/>
          </w:tcPr>
          <w:p>
            <w:pPr>
              <w:spacing w:after="0"/>
            </w:pPr>
            <w:r>
              <w:rPr>
                <w:sz w:val="17"/>
              </w:rPr>
              <w:t>Is re-proving an unstated corollary in Lean a mathematical discovery?</w:t>
            </w:r>
          </w:p>
        </w:tc>
        <w:tc>
          <w:tcPr>
            <w:tcW w:type="dxa" w:w="6336"/>
            <w:tcMar>
              <w:top w:w="90" w:type="dxa"/>
              <w:start w:w="100" w:type="dxa"/>
              <w:bottom w:w="90" w:type="dxa"/>
              <w:end w:w="100" w:type="dxa"/>
            </w:tcMar>
            <w:vAlign w:val="top"/>
          </w:tcPr>
          <w:p>
            <w:pPr>
              <w:spacing w:after="0"/>
            </w:pPr>
            <w:r>
              <w:rPr>
                <w:sz w:val="17"/>
              </w:rPr>
              <w:t>No.</w:t>
            </w:r>
          </w:p>
        </w:tc>
      </w:tr>
      <w:tr>
        <w:tc>
          <w:tcPr>
            <w:tcW w:type="dxa" w:w="3024"/>
            <w:tcMar>
              <w:top w:w="90" w:type="dxa"/>
              <w:start w:w="100" w:type="dxa"/>
              <w:bottom w:w="90" w:type="dxa"/>
              <w:end w:w="100" w:type="dxa"/>
            </w:tcMar>
            <w:vAlign w:val="top"/>
          </w:tcPr>
          <w:p>
            <w:pPr>
              <w:spacing w:after="0"/>
            </w:pPr>
            <w:r>
              <w:rPr>
                <w:sz w:val="17"/>
              </w:rPr>
              <w:t>Can recombining known methods still yield new mathematics?</w:t>
            </w:r>
          </w:p>
        </w:tc>
        <w:tc>
          <w:tcPr>
            <w:tcW w:type="dxa" w:w="6336"/>
            <w:tcMar>
              <w:top w:w="90" w:type="dxa"/>
              <w:start w:w="100" w:type="dxa"/>
              <w:bottom w:w="90" w:type="dxa"/>
              <w:end w:w="100" w:type="dxa"/>
            </w:tcMar>
            <w:vAlign w:val="top"/>
          </w:tcPr>
          <w:p>
            <w:pPr>
              <w:spacing w:after="0"/>
            </w:pPr>
            <w:r>
              <w:rPr>
                <w:sz w:val="17"/>
              </w:rPr>
              <w:t>Yes, but only when the resulting theorem is not routine from the prior theory and a substantive step remains.</w:t>
            </w:r>
          </w:p>
        </w:tc>
      </w:tr>
      <w:tr>
        <w:tc>
          <w:tcPr>
            <w:tcW w:type="dxa" w:w="3024"/>
            <w:tcMar>
              <w:top w:w="90" w:type="dxa"/>
              <w:start w:w="100" w:type="dxa"/>
              <w:bottom w:w="90" w:type="dxa"/>
              <w:end w:w="100" w:type="dxa"/>
            </w:tcMar>
            <w:vAlign w:val="top"/>
          </w:tcPr>
          <w:p>
            <w:pPr>
              <w:spacing w:after="0"/>
            </w:pPr>
            <w:r>
              <w:rPr>
                <w:sz w:val="17"/>
              </w:rPr>
              <w:t>What is the desired output?</w:t>
            </w:r>
          </w:p>
        </w:tc>
        <w:tc>
          <w:tcPr>
            <w:tcW w:type="dxa" w:w="6336"/>
            <w:tcMar>
              <w:top w:w="90" w:type="dxa"/>
              <w:start w:w="100" w:type="dxa"/>
              <w:bottom w:w="90" w:type="dxa"/>
              <w:end w:w="100" w:type="dxa"/>
            </w:tcMar>
            <w:vAlign w:val="top"/>
          </w:tcPr>
          <w:p>
            <w:pPr>
              <w:spacing w:after="0"/>
            </w:pPr>
            <w:r>
              <w:rPr>
                <w:sz w:val="17"/>
              </w:rPr>
              <w:t>One exact theorem or obstruction that survives counterexample search, known-closure testing, literature search, stronger-theorem testing, and the specialist/routine test.</w:t>
            </w:r>
          </w:p>
        </w:tc>
      </w:tr>
    </w:tbl>
    <w:p>
      <w:pPr>
        <w:spacing w:after="20"/>
      </w:pPr>
    </w:p>
    <w:p>
      <w:pPr>
        <w:pStyle w:val="Heading1"/>
      </w:pPr>
      <w:r>
        <w:t>2. Governing novelty standard</w:t>
      </w:r>
    </w:p>
    <w:p>
      <w:r>
        <w:t>This investigation is governed by Exploratory - Novelty and Research Standards.md. The medium of expression is irrelevant. Smoke signals, a conventional paper proof, executable code, and a kernel-checked Lean proof are different representations of the same mathematical content.</w:t>
      </w:r>
    </w:p>
    <w:p>
      <w:pPr>
        <w:pStyle w:val="Equation"/>
        <w:jc w:val="center"/>
      </w:pPr>
      <w:r>
        <w:t>Worthwhile research target = theorem novelty + non-routine proof + mathematical significance</w:t>
      </w:r>
    </w:p>
    <w:p>
      <w:r>
        <w:t>A candidate is rejected as a mathematical research target if any of the following is true:</w:t>
      </w:r>
    </w:p>
    <w:p>
      <w:pPr>
        <w:pStyle w:val="ListBullet"/>
        <w:spacing w:after="50"/>
      </w:pPr>
      <w:r>
        <w:t>The exact theorem or an equivalent theorem already appears in historical or current literature.</w:t>
      </w:r>
    </w:p>
    <w:p>
      <w:pPr>
        <w:pStyle w:val="ListBullet"/>
        <w:spacing w:after="50"/>
      </w:pPr>
      <w:r>
        <w:t>A stronger known theorem implies it by routine specialization, substitution, decomposition, optimization, or standard case analysis.</w:t>
      </w:r>
    </w:p>
    <w:p>
      <w:pPr>
        <w:pStyle w:val="ListBullet"/>
        <w:spacing w:after="50"/>
      </w:pPr>
      <w:r>
        <w:t>It is merely a transitive consequence of already-known edges in ANTEDB or in the published node chain.</w:t>
      </w:r>
    </w:p>
    <w:p>
      <w:pPr>
        <w:pStyle w:val="ListBullet"/>
        <w:spacing w:after="50"/>
      </w:pPr>
      <w:r>
        <w:t>The only first-of-kind feature is its Lean formalization, executable implementation, notation, or packaging.</w:t>
      </w:r>
    </w:p>
    <w:p>
      <w:pPr>
        <w:pStyle w:val="ListBullet"/>
        <w:spacing w:after="50"/>
      </w:pPr>
      <w:r>
        <w:t>Its statement is artificially constructed to be unprecedented but lacks independent mathematical interest.</w:t>
      </w:r>
    </w:p>
    <w:p>
      <w:r>
        <w:t>A candidate can use old machinery extensively. The standard is not that every lemma be new. The requirement is that the theorem itself be absent from the known record and that at least one substantive step not already be dictated mechanically by existing theory.</w:t>
      </w: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50" w:type="dxa"/>
              <w:bottom w:w="130" w:type="dxa"/>
              <w:end w:w="150" w:type="dxa"/>
            </w:tcMar>
          </w:tcPr>
          <w:p>
            <w:pPr>
              <w:pStyle w:val="CalloutText"/>
            </w:pPr>
            <w:r>
              <w:rPr>
                <w:b/>
                <w:color w:val="17365D"/>
              </w:rPr>
              <w:t>Hard rule</w:t>
            </w:r>
            <w:r>
              <w:br/>
              <w:t>No candidate is promoted because a search engine did not find its exact wording. The question is whether mathematics already knows the result, including under another formulation or as a routine output of stronger theory.</w:t>
            </w:r>
          </w:p>
        </w:tc>
      </w:tr>
    </w:tbl>
    <w:p>
      <w:pPr>
        <w:spacing w:after="0"/>
      </w:pPr>
    </w:p>
    <w:p>
      <w:pPr>
        <w:pStyle w:val="Heading1"/>
      </w:pPr>
      <w:r>
        <w:t>3. The four-node corpus and its present role</w:t>
      </w:r>
    </w:p>
    <w:p>
      <w:r>
        <w:t>The node numbers are repository map coordinates, not claims of dependency order. The formal build history is 71 -&gt; 74 -&gt; 73, with node 63 scheduled as a later local formalization. For novelty control, however, node 63 must be consulted from the beginning because the live ANTEDB is the strongest obvious prior-art and known-closure engine for this corridor.</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293"/>
        <w:gridCol w:w="3293"/>
        <w:gridCol w:w="3293"/>
      </w:tblGrid>
      <w:tr>
        <w:trPr>
          <w:tblHeader w:val="true"/>
        </w:trPr>
        <w:tc>
          <w:tcPr>
            <w:tcW w:type="dxa" w:w="1800"/>
            <w:shd w:fill="17365D"/>
            <w:tcMar>
              <w:top w:w="90" w:type="dxa"/>
              <w:start w:w="100" w:type="dxa"/>
              <w:bottom w:w="90" w:type="dxa"/>
              <w:end w:w="100" w:type="dxa"/>
            </w:tcMar>
          </w:tcPr>
          <w:p>
            <w:pPr>
              <w:jc w:val="left"/>
            </w:pPr>
            <w:r>
              <w:rPr>
                <w:b/>
                <w:color w:val="FFFFFF"/>
                <w:sz w:val="18"/>
              </w:rPr>
              <w:t>Node</w:t>
            </w:r>
          </w:p>
        </w:tc>
        <w:tc>
          <w:tcPr>
            <w:tcW w:type="dxa" w:w="3456"/>
            <w:shd w:fill="17365D"/>
            <w:tcMar>
              <w:top w:w="90" w:type="dxa"/>
              <w:start w:w="100" w:type="dxa"/>
              <w:bottom w:w="90" w:type="dxa"/>
              <w:end w:w="100" w:type="dxa"/>
            </w:tcMar>
          </w:tcPr>
          <w:p>
            <w:pPr>
              <w:jc w:val="left"/>
            </w:pPr>
            <w:r>
              <w:rPr>
                <w:b/>
                <w:color w:val="FFFFFF"/>
                <w:sz w:val="18"/>
              </w:rPr>
              <w:t>Source / role</w:t>
            </w:r>
          </w:p>
        </w:tc>
        <w:tc>
          <w:tcPr>
            <w:tcW w:type="dxa" w:w="4824"/>
            <w:shd w:fill="17365D"/>
            <w:tcMar>
              <w:top w:w="90" w:type="dxa"/>
              <w:start w:w="100" w:type="dxa"/>
              <w:bottom w:w="90" w:type="dxa"/>
              <w:end w:w="100" w:type="dxa"/>
            </w:tcMar>
          </w:tcPr>
          <w:p>
            <w:pPr>
              <w:jc w:val="left"/>
            </w:pPr>
            <w:r>
              <w:rPr>
                <w:b/>
                <w:color w:val="FFFFFF"/>
                <w:sz w:val="18"/>
              </w:rPr>
              <w:t>Current research significance</w:t>
            </w:r>
          </w:p>
        </w:tc>
      </w:tr>
      <w:tr>
        <w:tc>
          <w:tcPr>
            <w:tcW w:type="dxa" w:w="1800"/>
            <w:tcMar>
              <w:top w:w="90" w:type="dxa"/>
              <w:start w:w="100" w:type="dxa"/>
              <w:bottom w:w="90" w:type="dxa"/>
              <w:end w:w="100" w:type="dxa"/>
            </w:tcMar>
            <w:vAlign w:val="top"/>
          </w:tcPr>
          <w:p>
            <w:pPr>
              <w:spacing w:after="0"/>
            </w:pPr>
            <w:r>
              <w:rPr>
                <w:sz w:val="17"/>
              </w:rPr>
              <w:t>63 - Tao-Trudgian-Yang, 2025</w:t>
            </w:r>
          </w:p>
        </w:tc>
        <w:tc>
          <w:tcPr>
            <w:tcW w:type="dxa" w:w="3456"/>
            <w:tcMar>
              <w:top w:w="90" w:type="dxa"/>
              <w:start w:w="100" w:type="dxa"/>
              <w:bottom w:w="90" w:type="dxa"/>
              <w:end w:w="100" w:type="dxa"/>
            </w:tcMar>
            <w:vAlign w:val="top"/>
          </w:tcPr>
          <w:p>
            <w:pPr>
              <w:spacing w:after="0"/>
            </w:pPr>
            <w:r>
              <w:rPr>
                <w:sz w:val="17"/>
              </w:rPr>
              <w:t>“New exponent pairs, zero density estimates, and zero additive energy estimates: a systematic approach”; ANTEDB.</w:t>
            </w:r>
          </w:p>
        </w:tc>
        <w:tc>
          <w:tcPr>
            <w:tcW w:type="dxa" w:w="4824"/>
            <w:tcMar>
              <w:top w:w="90" w:type="dxa"/>
              <w:start w:w="100" w:type="dxa"/>
              <w:bottom w:w="90" w:type="dxa"/>
              <w:end w:w="100" w:type="dxa"/>
            </w:tcMar>
            <w:vAlign w:val="top"/>
          </w:tcPr>
          <w:p>
            <w:pPr>
              <w:spacing w:after="0"/>
            </w:pPr>
            <w:r>
              <w:rPr>
                <w:sz w:val="17"/>
              </w:rPr>
              <w:t>Defines the baseline known consequence graph. It records exponent relationships, dependency trees, optimization routines, Guth-Maynard large-value relations, zero-density results, and prime-distribution exponents. It is hostile prior art for any “we connected the exponents” claim.</w:t>
            </w:r>
          </w:p>
        </w:tc>
      </w:tr>
      <w:tr>
        <w:tc>
          <w:tcPr>
            <w:tcW w:type="dxa" w:w="1800"/>
            <w:tcMar>
              <w:top w:w="90" w:type="dxa"/>
              <w:start w:w="100" w:type="dxa"/>
              <w:bottom w:w="90" w:type="dxa"/>
              <w:end w:w="100" w:type="dxa"/>
            </w:tcMar>
            <w:vAlign w:val="top"/>
          </w:tcPr>
          <w:p>
            <w:pPr>
              <w:spacing w:after="0"/>
            </w:pPr>
            <w:r>
              <w:rPr>
                <w:sz w:val="17"/>
              </w:rPr>
              <w:t>71 - Guth-Maynard</w:t>
            </w:r>
          </w:p>
        </w:tc>
        <w:tc>
          <w:tcPr>
            <w:tcW w:type="dxa" w:w="3456"/>
            <w:tcMar>
              <w:top w:w="90" w:type="dxa"/>
              <w:start w:w="100" w:type="dxa"/>
              <w:bottom w:w="90" w:type="dxa"/>
              <w:end w:w="100" w:type="dxa"/>
            </w:tcMar>
            <w:vAlign w:val="top"/>
          </w:tcPr>
          <w:p>
            <w:pPr>
              <w:spacing w:after="0"/>
            </w:pPr>
            <w:r>
              <w:rPr>
                <w:sz w:val="17"/>
              </w:rPr>
              <w:t>“New large value estimates for Dirichlet polynomials”; completed frozen Lean foundation in this repository.</w:t>
            </w:r>
          </w:p>
        </w:tc>
        <w:tc>
          <w:tcPr>
            <w:tcW w:type="dxa" w:w="4824"/>
            <w:tcMar>
              <w:top w:w="90" w:type="dxa"/>
              <w:start w:w="100" w:type="dxa"/>
              <w:bottom w:w="90" w:type="dxa"/>
              <w:end w:w="100" w:type="dxa"/>
            </w:tcMar>
            <w:vAlign w:val="top"/>
          </w:tcPr>
          <w:p>
            <w:pPr>
              <w:spacing w:after="0"/>
            </w:pPr>
            <w:r>
              <w:rPr>
                <w:sz w:val="17"/>
              </w:rPr>
              <w:t>Supplies deep large-value, additive-energy, zero-density, and intermediate structural information. Novel inference should consider whether information inside the proof is lost when only the final zero-density exponent is exported.</w:t>
            </w:r>
          </w:p>
        </w:tc>
      </w:tr>
      <w:tr>
        <w:tc>
          <w:tcPr>
            <w:tcW w:type="dxa" w:w="1800"/>
            <w:tcMar>
              <w:top w:w="90" w:type="dxa"/>
              <w:start w:w="100" w:type="dxa"/>
              <w:bottom w:w="90" w:type="dxa"/>
              <w:end w:w="100" w:type="dxa"/>
            </w:tcMar>
            <w:vAlign w:val="top"/>
          </w:tcPr>
          <w:p>
            <w:pPr>
              <w:spacing w:after="0"/>
            </w:pPr>
            <w:r>
              <w:rPr>
                <w:sz w:val="17"/>
              </w:rPr>
              <w:t>74 - Gafni-Tao</w:t>
            </w:r>
          </w:p>
        </w:tc>
        <w:tc>
          <w:tcPr>
            <w:tcW w:type="dxa" w:w="3456"/>
            <w:tcMar>
              <w:top w:w="90" w:type="dxa"/>
              <w:start w:w="100" w:type="dxa"/>
              <w:bottom w:w="90" w:type="dxa"/>
              <w:end w:w="100" w:type="dxa"/>
            </w:tcMar>
            <w:vAlign w:val="top"/>
          </w:tcPr>
          <w:p>
            <w:pPr>
              <w:spacing w:after="0"/>
            </w:pPr>
            <w:r>
              <w:rPr>
                <w:sz w:val="17"/>
              </w:rPr>
              <w:t>“On the number of exceptional intervals to the prime number theorem in short intervals”; completed isolated Lean release.</w:t>
            </w:r>
          </w:p>
        </w:tc>
        <w:tc>
          <w:tcPr>
            <w:tcW w:type="dxa" w:w="4824"/>
            <w:tcMar>
              <w:top w:w="90" w:type="dxa"/>
              <w:start w:w="100" w:type="dxa"/>
              <w:bottom w:w="90" w:type="dxa"/>
              <w:end w:w="100" w:type="dxa"/>
            </w:tcMar>
            <w:vAlign w:val="top"/>
          </w:tcPr>
          <w:p>
            <w:pPr>
              <w:spacing w:after="0"/>
            </w:pPr>
            <w:r>
              <w:rPr>
                <w:sz w:val="17"/>
              </w:rPr>
              <w:t>Provides explicit transfers from ordinary and additive-energy zero-density information to exceptional-set exponents, including the Guth-Maynard 17/30 all-interval and 2/15 almost-all thresholds.</w:t>
            </w:r>
          </w:p>
        </w:tc>
      </w:tr>
      <w:tr>
        <w:tc>
          <w:tcPr>
            <w:tcW w:type="dxa" w:w="1800"/>
            <w:tcMar>
              <w:top w:w="90" w:type="dxa"/>
              <w:start w:w="100" w:type="dxa"/>
              <w:bottom w:w="90" w:type="dxa"/>
              <w:end w:w="100" w:type="dxa"/>
            </w:tcMar>
            <w:vAlign w:val="top"/>
          </w:tcPr>
          <w:p>
            <w:pPr>
              <w:spacing w:after="0"/>
            </w:pPr>
            <w:r>
              <w:rPr>
                <w:sz w:val="17"/>
              </w:rPr>
              <w:t>73 - Tao, 2026</w:t>
            </w:r>
          </w:p>
        </w:tc>
        <w:tc>
          <w:tcPr>
            <w:tcW w:type="dxa" w:w="3456"/>
            <w:tcMar>
              <w:top w:w="90" w:type="dxa"/>
              <w:start w:w="100" w:type="dxa"/>
              <w:bottom w:w="90" w:type="dxa"/>
              <w:end w:w="100" w:type="dxa"/>
            </w:tcMar>
            <w:vAlign w:val="top"/>
          </w:tcPr>
          <w:p>
            <w:pPr>
              <w:spacing w:after="0"/>
            </w:pPr>
            <w:r>
              <w:rPr>
                <w:sz w:val="17"/>
              </w:rPr>
              <w:t>“Products of consecutive integers with unusual anatomy”; active Lean formalization.</w:t>
            </w:r>
          </w:p>
        </w:tc>
        <w:tc>
          <w:tcPr>
            <w:tcW w:type="dxa" w:w="4824"/>
            <w:tcMar>
              <w:top w:w="90" w:type="dxa"/>
              <w:start w:w="100" w:type="dxa"/>
              <w:bottom w:w="90" w:type="dxa"/>
              <w:end w:w="100" w:type="dxa"/>
            </w:tcMar>
            <w:vAlign w:val="top"/>
          </w:tcPr>
          <w:p>
            <w:pPr>
              <w:spacing w:after="0"/>
            </w:pPr>
            <w:r>
              <w:rPr>
                <w:sz w:val="17"/>
              </w:rPr>
              <w:t>Uses the 71/74 chain in Proposition 2.3(iii) and then feeds prime-free interval information into arithmetic-anatomy and factorial-equation arguments. This is the most concrete place where analytic distribution information meets a different combinatorial/arithmetic object.</w:t>
            </w:r>
          </w:p>
        </w:tc>
      </w:tr>
    </w:tbl>
    <w:p>
      <w:pPr>
        <w:spacing w:after="20"/>
      </w:pPr>
    </w:p>
    <w:p>
      <w:r>
        <w:t>As of this research snapshot, node 73 has kernel-checked Proposition 2.3(i),(iii) milestones and the exact Tao-facing quantitative bridge over the frozen node 74 closure, but does not claim Tao Theorems 1.7-1.10. The live ANTEDB blueprint already contains Guth-Maynard large-value and zero-density relations and is an ongoing executable database. These facts materially constrain what INFERENCE may count as original research.</w:t>
      </w:r>
    </w:p>
    <w:p>
      <w:pPr>
        <w:pStyle w:val="Heading1"/>
      </w:pPr>
      <w:r>
        <w:t>4. Results that are presumptively disqualified</w:t>
      </w:r>
    </w:p>
    <w:p>
      <w:r>
        <w:t>The following outputs may be useful verification, documentation, or formalization work, but they receive no mathematical-novelty credit without an additional non-routine theorem.</w:t>
      </w:r>
    </w:p>
    <w:p>
      <w:pPr>
        <w:pStyle w:val="ListBullet"/>
        <w:spacing w:after="50"/>
      </w:pPr>
      <w:r>
        <w:rPr>
          <w:b/>
        </w:rPr>
        <w:t xml:space="preserve">Known-graph closure. </w:t>
      </w:r>
      <w:r>
        <w:t>Any theorem obtained solely by traversing already-recorded ANTEDB implications.</w:t>
      </w:r>
    </w:p>
    <w:p>
      <w:pPr>
        <w:pStyle w:val="ListBullet"/>
        <w:spacing w:after="50"/>
      </w:pPr>
      <w:r>
        <w:rPr>
          <w:b/>
        </w:rPr>
        <w:t xml:space="preserve">Parameter substitution. </w:t>
      </w:r>
      <w:r>
        <w:t>Plugging a new zero-density exponent into an existing Gafni-Tao transfer formula.</w:t>
      </w:r>
    </w:p>
    <w:p>
      <w:pPr>
        <w:pStyle w:val="ListBullet"/>
        <w:spacing w:after="50"/>
      </w:pPr>
      <w:r>
        <w:rPr>
          <w:b/>
        </w:rPr>
        <w:t xml:space="preserve">Routine optimization. </w:t>
      </w:r>
      <w:r>
        <w:t>Taking an infimum, supremum, linear program, or piecewise minimum already prescribed by the literature and reporting a previously unprinted numerical point.</w:t>
      </w:r>
    </w:p>
    <w:p>
      <w:pPr>
        <w:pStyle w:val="ListBullet"/>
        <w:spacing w:after="50"/>
      </w:pPr>
      <w:r>
        <w:rPr>
          <w:b/>
        </w:rPr>
        <w:t xml:space="preserve">Formal-only novelty. </w:t>
      </w:r>
      <w:r>
        <w:t>The first Lean proof of a theorem that is already known or follows routinely from known theory.</w:t>
      </w:r>
    </w:p>
    <w:p>
      <w:pPr>
        <w:pStyle w:val="ListBullet"/>
        <w:spacing w:after="50"/>
      </w:pPr>
      <w:r>
        <w:rPr>
          <w:b/>
        </w:rPr>
        <w:t xml:space="preserve">Simple source chaining. </w:t>
      </w:r>
      <w:r>
        <w:t>A result of the form “71 plus 74 plus a stated lemma of 73 implies C” when no new compatibility argument is needed.</w:t>
      </w:r>
    </w:p>
    <w:p>
      <w:pPr>
        <w:pStyle w:val="ListBullet"/>
        <w:spacing w:after="50"/>
      </w:pPr>
      <w:r>
        <w:rPr>
          <w:b/>
        </w:rPr>
        <w:t xml:space="preserve">Database duplication. </w:t>
      </w:r>
      <w:r>
        <w:t>Rebuilding ANTEDB dependency search inside the local repository and calling the machinery itself a mathematical contribution.</w:t>
      </w:r>
    </w:p>
    <w:p>
      <w:pPr>
        <w:pStyle w:val="ListBullet"/>
        <w:spacing w:after="50"/>
      </w:pPr>
      <w:r>
        <w:rPr>
          <w:b/>
        </w:rPr>
        <w:t xml:space="preserve">Unstated corollaries. </w:t>
      </w:r>
      <w:r>
        <w:t>Claims that are absent verbatim from papers but follow immediately from a complete source theorem or classification.</w:t>
      </w:r>
    </w:p>
    <w:p>
      <w:pPr>
        <w:pStyle w:val="Equation"/>
        <w:jc w:val="center"/>
      </w:pPr>
      <w:r>
        <w:t>Pure transitive closure of known edges is presumed non-novel.</w:t>
      </w:r>
    </w:p>
    <w:p>
      <w:pPr>
        <w:pStyle w:val="Heading1"/>
      </w:pPr>
      <w:r>
        <w:t>5. Research hypothesis: novelty is most likely in missing edges</w:t>
      </w:r>
    </w:p>
    <w:p>
      <w:r>
        <w:t>The central working hypothesis is not that the four nodes contain a hidden theorem obtainable by more diligent bookkeeping. It is that their exact interfaces may expose a mathematically natural relation that is not represented by the existing exponent-transfer graph and is not routine from the source proofs.</w:t>
      </w:r>
    </w:p>
    <w:p>
      <w:pPr>
        <w:pStyle w:val="Equation"/>
        <w:jc w:val="center"/>
      </w:pPr>
      <w:r>
        <w:t>Known nodes + known edges  -&gt;  known closure</w:t>
      </w:r>
    </w:p>
    <w:p>
      <w:pPr>
        <w:pStyle w:val="Equation"/>
        <w:jc w:val="center"/>
      </w:pPr>
      <w:r>
        <w:t>Potential research value  -&gt;  a missing edge whose proof requires new mathematics</w:t>
      </w:r>
    </w:p>
    <w:p>
      <w:r>
        <w:t>The most promising locations are interfaces where one node discards structure before passing information to the next. A scalar exponent can be sufficient for a published application while being too coarse to capture all arithmetic consequences of the stronger source theorem.</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293"/>
        <w:gridCol w:w="3293"/>
        <w:gridCol w:w="3293"/>
      </w:tblGrid>
      <w:tr>
        <w:trPr>
          <w:tblHeader w:val="true"/>
        </w:trPr>
        <w:tc>
          <w:tcPr>
            <w:tcW w:type="dxa" w:w="1728"/>
            <w:shd w:fill="17365D"/>
            <w:tcMar>
              <w:top w:w="90" w:type="dxa"/>
              <w:start w:w="100" w:type="dxa"/>
              <w:bottom w:w="90" w:type="dxa"/>
              <w:end w:w="100" w:type="dxa"/>
            </w:tcMar>
          </w:tcPr>
          <w:p>
            <w:pPr>
              <w:jc w:val="left"/>
            </w:pPr>
            <w:r>
              <w:rPr>
                <w:b/>
                <w:color w:val="FFFFFF"/>
                <w:sz w:val="18"/>
              </w:rPr>
              <w:t>Interface</w:t>
            </w:r>
          </w:p>
        </w:tc>
        <w:tc>
          <w:tcPr>
            <w:tcW w:type="dxa" w:w="3672"/>
            <w:shd w:fill="17365D"/>
            <w:tcMar>
              <w:top w:w="90" w:type="dxa"/>
              <w:start w:w="100" w:type="dxa"/>
              <w:bottom w:w="90" w:type="dxa"/>
              <w:end w:w="100" w:type="dxa"/>
            </w:tcMar>
          </w:tcPr>
          <w:p>
            <w:pPr>
              <w:jc w:val="left"/>
            </w:pPr>
            <w:r>
              <w:rPr>
                <w:b/>
                <w:color w:val="FFFFFF"/>
                <w:sz w:val="18"/>
              </w:rPr>
              <w:t>Information currently passed</w:t>
            </w:r>
          </w:p>
        </w:tc>
        <w:tc>
          <w:tcPr>
            <w:tcW w:type="dxa" w:w="4680"/>
            <w:shd w:fill="17365D"/>
            <w:tcMar>
              <w:top w:w="90" w:type="dxa"/>
              <w:start w:w="100" w:type="dxa"/>
              <w:bottom w:w="90" w:type="dxa"/>
              <w:end w:w="100" w:type="dxa"/>
            </w:tcMar>
          </w:tcPr>
          <w:p>
            <w:pPr>
              <w:jc w:val="left"/>
            </w:pPr>
            <w:r>
              <w:rPr>
                <w:b/>
                <w:color w:val="FFFFFF"/>
                <w:sz w:val="18"/>
              </w:rPr>
              <w:t>Question for INFERENCE</w:t>
            </w:r>
          </w:p>
        </w:tc>
      </w:tr>
      <w:tr>
        <w:tc>
          <w:tcPr>
            <w:tcW w:type="dxa" w:w="1728"/>
            <w:tcMar>
              <w:top w:w="90" w:type="dxa"/>
              <w:start w:w="100" w:type="dxa"/>
              <w:bottom w:w="90" w:type="dxa"/>
              <w:end w:w="100" w:type="dxa"/>
            </w:tcMar>
            <w:vAlign w:val="top"/>
          </w:tcPr>
          <w:p>
            <w:pPr>
              <w:spacing w:after="0"/>
            </w:pPr>
            <w:r>
              <w:rPr>
                <w:sz w:val="17"/>
              </w:rPr>
              <w:t>71 -&gt; 74</w:t>
            </w:r>
          </w:p>
        </w:tc>
        <w:tc>
          <w:tcPr>
            <w:tcW w:type="dxa" w:w="3672"/>
            <w:tcMar>
              <w:top w:w="90" w:type="dxa"/>
              <w:start w:w="100" w:type="dxa"/>
              <w:bottom w:w="90" w:type="dxa"/>
              <w:end w:w="100" w:type="dxa"/>
            </w:tcMar>
            <w:vAlign w:val="top"/>
          </w:tcPr>
          <w:p>
            <w:pPr>
              <w:spacing w:after="0"/>
            </w:pPr>
            <w:r>
              <w:rPr>
                <w:sz w:val="17"/>
              </w:rPr>
              <w:t>Zero-density envelopes A(σ), additive-energy envelopes A*(σ), and published consequences.</w:t>
            </w:r>
          </w:p>
        </w:tc>
        <w:tc>
          <w:tcPr>
            <w:tcW w:type="dxa" w:w="4680"/>
            <w:tcMar>
              <w:top w:w="90" w:type="dxa"/>
              <w:start w:w="100" w:type="dxa"/>
              <w:bottom w:w="90" w:type="dxa"/>
              <w:end w:w="100" w:type="dxa"/>
            </w:tcMar>
            <w:vAlign w:val="top"/>
          </w:tcPr>
          <w:p>
            <w:pPr>
              <w:spacing w:after="0"/>
            </w:pPr>
            <w:r>
              <w:rPr>
                <w:sz w:val="17"/>
              </w:rPr>
              <w:t>Does the detailed Guth-Maynard large-value/energy structure contain usable information that the exponent envelopes erase?</w:t>
            </w:r>
          </w:p>
        </w:tc>
      </w:tr>
      <w:tr>
        <w:tc>
          <w:tcPr>
            <w:tcW w:type="dxa" w:w="1728"/>
            <w:tcMar>
              <w:top w:w="90" w:type="dxa"/>
              <w:start w:w="100" w:type="dxa"/>
              <w:bottom w:w="90" w:type="dxa"/>
              <w:end w:w="100" w:type="dxa"/>
            </w:tcMar>
            <w:vAlign w:val="top"/>
          </w:tcPr>
          <w:p>
            <w:pPr>
              <w:spacing w:after="0"/>
            </w:pPr>
            <w:r>
              <w:rPr>
                <w:sz w:val="17"/>
              </w:rPr>
              <w:t>74 -&gt; 73</w:t>
            </w:r>
          </w:p>
        </w:tc>
        <w:tc>
          <w:tcPr>
            <w:tcW w:type="dxa" w:w="3672"/>
            <w:tcMar>
              <w:top w:w="90" w:type="dxa"/>
              <w:start w:w="100" w:type="dxa"/>
              <w:bottom w:w="90" w:type="dxa"/>
              <w:end w:w="100" w:type="dxa"/>
            </w:tcMar>
            <w:vAlign w:val="top"/>
          </w:tcPr>
          <w:p>
            <w:pPr>
              <w:spacing w:after="0"/>
            </w:pPr>
            <w:r>
              <w:rPr>
                <w:sz w:val="17"/>
              </w:rPr>
              <w:t>Exceptional-set bounds for short-interval prime number theorem failure and concrete almost-all thresholds.</w:t>
            </w:r>
          </w:p>
        </w:tc>
        <w:tc>
          <w:tcPr>
            <w:tcW w:type="dxa" w:w="4680"/>
            <w:tcMar>
              <w:top w:w="90" w:type="dxa"/>
              <w:start w:w="100" w:type="dxa"/>
              <w:bottom w:w="90" w:type="dxa"/>
              <w:end w:w="100" w:type="dxa"/>
            </w:tcMar>
            <w:vAlign w:val="top"/>
          </w:tcPr>
          <w:p>
            <w:pPr>
              <w:spacing w:after="0"/>
            </w:pPr>
            <w:r>
              <w:rPr>
                <w:sz w:val="17"/>
              </w:rPr>
              <w:t>Does Tao’s arithmetic-anatomy consumer need only exceptional-set cardinality, or can geometry, moments, clustering, or scale dependence produce a stronger theorem?</w:t>
            </w:r>
          </w:p>
        </w:tc>
      </w:tr>
      <w:tr>
        <w:tc>
          <w:tcPr>
            <w:tcW w:type="dxa" w:w="1728"/>
            <w:tcMar>
              <w:top w:w="90" w:type="dxa"/>
              <w:start w:w="100" w:type="dxa"/>
              <w:bottom w:w="90" w:type="dxa"/>
              <w:end w:w="100" w:type="dxa"/>
            </w:tcMar>
            <w:vAlign w:val="top"/>
          </w:tcPr>
          <w:p>
            <w:pPr>
              <w:spacing w:after="0"/>
            </w:pPr>
            <w:r>
              <w:rPr>
                <w:sz w:val="17"/>
              </w:rPr>
              <w:t>71 -&gt; 73 direct</w:t>
            </w:r>
          </w:p>
        </w:tc>
        <w:tc>
          <w:tcPr>
            <w:tcW w:type="dxa" w:w="3672"/>
            <w:tcMar>
              <w:top w:w="90" w:type="dxa"/>
              <w:start w:w="100" w:type="dxa"/>
              <w:bottom w:w="90" w:type="dxa"/>
              <w:end w:w="100" w:type="dxa"/>
            </w:tcMar>
            <w:vAlign w:val="top"/>
          </w:tcPr>
          <w:p>
            <w:pPr>
              <w:spacing w:after="0"/>
            </w:pPr>
            <w:r>
              <w:rPr>
                <w:sz w:val="17"/>
              </w:rPr>
              <w:t>Currently mediated mainly through 74 in the formal chain.</w:t>
            </w:r>
          </w:p>
        </w:tc>
        <w:tc>
          <w:tcPr>
            <w:tcW w:type="dxa" w:w="4680"/>
            <w:tcMar>
              <w:top w:w="90" w:type="dxa"/>
              <w:start w:w="100" w:type="dxa"/>
              <w:bottom w:w="90" w:type="dxa"/>
              <w:end w:w="100" w:type="dxa"/>
            </w:tcMar>
            <w:vAlign w:val="top"/>
          </w:tcPr>
          <w:p>
            <w:pPr>
              <w:spacing w:after="0"/>
            </w:pPr>
            <w:r>
              <w:rPr>
                <w:sz w:val="17"/>
              </w:rPr>
              <w:t>Can a direct argument exploit large-value or energy structure that is invisible after the zero-density-to-exceptional-set compression?</w:t>
            </w:r>
          </w:p>
        </w:tc>
      </w:tr>
      <w:tr>
        <w:tc>
          <w:tcPr>
            <w:tcW w:type="dxa" w:w="1728"/>
            <w:tcMar>
              <w:top w:w="90" w:type="dxa"/>
              <w:start w:w="100" w:type="dxa"/>
              <w:bottom w:w="90" w:type="dxa"/>
              <w:end w:w="100" w:type="dxa"/>
            </w:tcMar>
            <w:vAlign w:val="top"/>
          </w:tcPr>
          <w:p>
            <w:pPr>
              <w:spacing w:after="0"/>
            </w:pPr>
            <w:r>
              <w:rPr>
                <w:sz w:val="17"/>
              </w:rPr>
              <w:t>73 -&gt; 63 / analytic side</w:t>
            </w:r>
          </w:p>
        </w:tc>
        <w:tc>
          <w:tcPr>
            <w:tcW w:type="dxa" w:w="3672"/>
            <w:tcMar>
              <w:top w:w="90" w:type="dxa"/>
              <w:start w:w="100" w:type="dxa"/>
              <w:bottom w:w="90" w:type="dxa"/>
              <w:end w:w="100" w:type="dxa"/>
            </w:tcMar>
            <w:vAlign w:val="top"/>
          </w:tcPr>
          <w:p>
            <w:pPr>
              <w:spacing w:after="0"/>
            </w:pPr>
            <w:r>
              <w:rPr>
                <w:sz w:val="17"/>
              </w:rPr>
              <w:t>No standard reverse transfer is part of the current program.</w:t>
            </w:r>
          </w:p>
        </w:tc>
        <w:tc>
          <w:tcPr>
            <w:tcW w:type="dxa" w:w="4680"/>
            <w:tcMar>
              <w:top w:w="90" w:type="dxa"/>
              <w:start w:w="100" w:type="dxa"/>
              <w:bottom w:w="90" w:type="dxa"/>
              <w:end w:w="100" w:type="dxa"/>
            </w:tcMar>
            <w:vAlign w:val="top"/>
          </w:tcPr>
          <w:p>
            <w:pPr>
              <w:spacing w:after="0"/>
            </w:pPr>
            <w:r>
              <w:rPr>
                <w:sz w:val="17"/>
              </w:rPr>
              <w:t>Can arithmetic-anatomy constraints force analytic-distribution consequences, or prove an obstruction to such a reverse edge?</w:t>
            </w:r>
          </w:p>
        </w:tc>
      </w:tr>
    </w:tbl>
    <w:p>
      <w:pPr>
        <w:spacing w:after="20"/>
      </w:pPr>
    </w:p>
    <w:p>
      <w:pPr>
        <w:pStyle w:val="Heading1"/>
      </w:pPr>
      <w:r>
        <w:t>6. Primary research questions</w:t>
      </w:r>
    </w:p>
    <w:p>
      <w:r>
        <w:t>These are research questions, not conjectures. Each must be sharpened to an exact falsifiable statement before significant Lean work.</w:t>
      </w:r>
    </w:p>
    <w:p>
      <w:pPr>
        <w:pStyle w:val="Heading2"/>
      </w:pPr>
      <w:r>
        <w:t>RQ1 - Information-loss audit at 71 -&gt; 74</w:t>
      </w:r>
    </w:p>
    <w:p>
      <w:r>
        <w:t>Identify every place where the node 74 proof replaces richer node 71 information by a scalar exponent or worst-case envelope. Determine whether retaining the discarded structure yields a natural theorem about exceptional intervals that is not equivalent to evaluating the published Gafni-Tao formula.</w:t>
      </w:r>
    </w:p>
    <w:p>
      <w:pPr>
        <w:pStyle w:val="Heading2"/>
      </w:pPr>
      <w:r>
        <w:t>RQ2 - Information-loss audit at 74 -&gt; 73</w:t>
      </w:r>
    </w:p>
    <w:p>
      <w:r>
        <w:t>Identify every place in Tao Proposition 2.3(iii) and its downstream consumers where exceptional intervals are used only through a measure/cardinality bound. Test whether a stronger property already proved or provable in node 74 changes the arithmetic-anatomy conclusion in a non-routine way.</w:t>
      </w:r>
    </w:p>
    <w:p>
      <w:pPr>
        <w:pStyle w:val="Heading2"/>
      </w:pPr>
      <w:r>
        <w:t>RQ3 - Direct 71 -&gt; 73 bridge</w:t>
      </w:r>
    </w:p>
    <w:p>
      <w:r>
        <w:t>Ask whether Tao’s bad/very-bad/type-F3 interval structures can be controlled directly by large-value or additive-energy input, bypassing the generic exceptional-set exponent. A useful result must not merely rederive the node 74 transfer under renamed variables.</w:t>
      </w:r>
    </w:p>
    <w:p>
      <w:pPr>
        <w:pStyle w:val="Heading2"/>
      </w:pPr>
      <w:r>
        <w:t>RQ4 - Energy-sensitive anatomy</w:t>
      </w:r>
    </w:p>
    <w:p>
      <w:r>
        <w:t>Test whether additive-energy information about zeta zeros can stratify arithmetic-anatomy exceptional sets by multiplicity, clustering, prime-power structure, or another natural statistic that Tao’s current theorem does not quantify.</w:t>
      </w:r>
    </w:p>
    <w:p>
      <w:pPr>
        <w:pStyle w:val="Heading2"/>
      </w:pPr>
      <w:r>
        <w:t>RQ5 - Variable-scale and heterogeneous-interval transfer</w:t>
      </w:r>
    </w:p>
    <w:p>
      <w:r>
        <w:t>The fixed power scale H = x^θ is optimized well by exponent databases. Search for a natural theorem in a genuinely variable or coupled scale regime that the scalar θ formalism does not already capture. The current node 73 variable-length bridge must be treated as prior work, not novelty evidence.</w:t>
      </w:r>
    </w:p>
    <w:p>
      <w:pPr>
        <w:pStyle w:val="Heading2"/>
      </w:pPr>
      <w:r>
        <w:t>RQ6 - Reverse inference</w:t>
      </w:r>
    </w:p>
    <w:p>
      <w:r>
        <w:t>Investigate whether abundance or scarcity of a Tao arithmetic-anatomy class forces a statement about prime-free intervals, exceptional sets, or analytic exponents. Reverse implications are attractive because the published chain is primarily one-way, but any candidate must survive a search for standard sieve or probabilistic converses.</w:t>
      </w:r>
    </w:p>
    <w:p>
      <w:pPr>
        <w:pStyle w:val="Heading2"/>
      </w:pPr>
      <w:r>
        <w:t>RQ7 - Sharp obstruction theorem</w:t>
      </w:r>
    </w:p>
    <w:p>
      <w:r>
        <w:t>Instead of improving a positive bound, ask whether one can prove that no theorem of a specified form follows from the current exponent data alone. Such an obstruction is worthwhile only if it is mathematical rather than a trivial linear-program infeasibility certificate already encoded by ANTEDB.</w:t>
      </w:r>
    </w:p>
    <w:p>
      <w:pPr>
        <w:pStyle w:val="Heading2"/>
      </w:pPr>
      <w:r>
        <w:t>RQ8 - Newly opened regime</w:t>
      </w:r>
    </w:p>
    <w:p>
      <w:r>
        <w:t>Search historical near-miss arguments whose hypotheses were not met before Guth-Maynard/Gafni-Tao. If the modern bounds merely satisfy an old numerical hypothesis, the consequence is routine and rejected. If the new overlap creates a regime where old arguments do not compose and a new compatibility argument is required, it becomes a serious candidate.</w:t>
      </w:r>
    </w:p>
    <w:p>
      <w:pPr>
        <w:pStyle w:val="Heading1"/>
      </w:pPr>
      <w:r>
        <w:t>7. Candidate theorem families worth testing</w:t>
      </w:r>
    </w:p>
    <w:p>
      <w:r>
        <w:t>The following families are intentionally stated one level below conjecture. Their purpose is to focus candidate generation on places where a non-routine theorem could exist. A generated statement must still pass the novelty kill zone.</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293"/>
        <w:gridCol w:w="3293"/>
        <w:gridCol w:w="3293"/>
      </w:tblGrid>
      <w:tr>
        <w:trPr>
          <w:tblHeader w:val="true"/>
        </w:trPr>
        <w:tc>
          <w:tcPr>
            <w:tcW w:type="dxa" w:w="2232"/>
            <w:shd w:fill="17365D"/>
            <w:tcMar>
              <w:top w:w="90" w:type="dxa"/>
              <w:start w:w="100" w:type="dxa"/>
              <w:bottom w:w="90" w:type="dxa"/>
              <w:end w:w="100" w:type="dxa"/>
            </w:tcMar>
          </w:tcPr>
          <w:p>
            <w:pPr>
              <w:jc w:val="left"/>
            </w:pPr>
            <w:r>
              <w:rPr>
                <w:b/>
                <w:color w:val="FFFFFF"/>
                <w:sz w:val="18"/>
              </w:rPr>
              <w:t>Family</w:t>
            </w:r>
          </w:p>
        </w:tc>
        <w:tc>
          <w:tcPr>
            <w:tcW w:type="dxa" w:w="4392"/>
            <w:shd w:fill="17365D"/>
            <w:tcMar>
              <w:top w:w="90" w:type="dxa"/>
              <w:start w:w="100" w:type="dxa"/>
              <w:bottom w:w="90" w:type="dxa"/>
              <w:end w:w="100" w:type="dxa"/>
            </w:tcMar>
          </w:tcPr>
          <w:p>
            <w:pPr>
              <w:jc w:val="left"/>
            </w:pPr>
            <w:r>
              <w:rPr>
                <w:b/>
                <w:color w:val="FFFFFF"/>
                <w:sz w:val="18"/>
              </w:rPr>
              <w:t>Prototype question</w:t>
            </w:r>
          </w:p>
        </w:tc>
        <w:tc>
          <w:tcPr>
            <w:tcW w:type="dxa" w:w="3312"/>
            <w:shd w:fill="17365D"/>
            <w:tcMar>
              <w:top w:w="90" w:type="dxa"/>
              <w:start w:w="100" w:type="dxa"/>
              <w:bottom w:w="90" w:type="dxa"/>
              <w:end w:w="100" w:type="dxa"/>
            </w:tcMar>
          </w:tcPr>
          <w:p>
            <w:pPr>
              <w:jc w:val="left"/>
            </w:pPr>
            <w:r>
              <w:rPr>
                <w:b/>
                <w:color w:val="FFFFFF"/>
                <w:sz w:val="18"/>
              </w:rPr>
              <w:t>Novelty danger</w:t>
            </w:r>
          </w:p>
        </w:tc>
      </w:tr>
      <w:tr>
        <w:tc>
          <w:tcPr>
            <w:tcW w:type="dxa" w:w="2232"/>
            <w:tcMar>
              <w:top w:w="90" w:type="dxa"/>
              <w:start w:w="100" w:type="dxa"/>
              <w:bottom w:w="90" w:type="dxa"/>
              <w:end w:w="100" w:type="dxa"/>
            </w:tcMar>
            <w:vAlign w:val="top"/>
          </w:tcPr>
          <w:p>
            <w:pPr>
              <w:spacing w:after="0"/>
            </w:pPr>
            <w:r>
              <w:rPr>
                <w:sz w:val="17"/>
              </w:rPr>
              <w:t>F1. Structure-retaining transfer</w:t>
            </w:r>
          </w:p>
        </w:tc>
        <w:tc>
          <w:tcPr>
            <w:tcW w:type="dxa" w:w="4392"/>
            <w:tcMar>
              <w:top w:w="90" w:type="dxa"/>
              <w:start w:w="100" w:type="dxa"/>
              <w:bottom w:w="90" w:type="dxa"/>
              <w:end w:w="100" w:type="dxa"/>
            </w:tcMar>
            <w:vAlign w:val="top"/>
          </w:tcPr>
          <w:p>
            <w:pPr>
              <w:spacing w:after="0"/>
            </w:pPr>
            <w:r>
              <w:rPr>
                <w:sz w:val="17"/>
              </w:rPr>
              <w:t>Can a stronger 71-level large-value or energy statistic imply an exceptional-interval statement not determined by A(σ) and A*(σ) alone?</w:t>
            </w:r>
          </w:p>
        </w:tc>
        <w:tc>
          <w:tcPr>
            <w:tcW w:type="dxa" w:w="3312"/>
            <w:tcMar>
              <w:top w:w="90" w:type="dxa"/>
              <w:start w:w="100" w:type="dxa"/>
              <w:bottom w:w="90" w:type="dxa"/>
              <w:end w:w="100" w:type="dxa"/>
            </w:tcMar>
            <w:vAlign w:val="top"/>
          </w:tcPr>
          <w:p>
            <w:pPr>
              <w:spacing w:after="0"/>
            </w:pPr>
            <w:r>
              <w:rPr>
                <w:sz w:val="17"/>
              </w:rPr>
              <w:t>High risk of collapsing to an equivalent exponent inequality. Must prove dependence on genuinely extra structure.</w:t>
            </w:r>
          </w:p>
        </w:tc>
      </w:tr>
      <w:tr>
        <w:tc>
          <w:tcPr>
            <w:tcW w:type="dxa" w:w="2232"/>
            <w:tcMar>
              <w:top w:w="90" w:type="dxa"/>
              <w:start w:w="100" w:type="dxa"/>
              <w:bottom w:w="90" w:type="dxa"/>
              <w:end w:w="100" w:type="dxa"/>
            </w:tcMar>
            <w:vAlign w:val="top"/>
          </w:tcPr>
          <w:p>
            <w:pPr>
              <w:spacing w:after="0"/>
            </w:pPr>
            <w:r>
              <w:rPr>
                <w:sz w:val="17"/>
              </w:rPr>
              <w:t>F2. Anatomy-stratified exceptional bounds</w:t>
            </w:r>
          </w:p>
        </w:tc>
        <w:tc>
          <w:tcPr>
            <w:tcW w:type="dxa" w:w="4392"/>
            <w:tcMar>
              <w:top w:w="90" w:type="dxa"/>
              <w:start w:w="100" w:type="dxa"/>
              <w:bottom w:w="90" w:type="dxa"/>
              <w:end w:w="100" w:type="dxa"/>
            </w:tcMar>
            <w:vAlign w:val="top"/>
          </w:tcPr>
          <w:p>
            <w:pPr>
              <w:spacing w:after="0"/>
            </w:pPr>
            <w:r>
              <w:rPr>
                <w:sz w:val="17"/>
              </w:rPr>
              <w:t>Can exceptional intervals be split by Tao-style arithmetic anatomy with quantitatively different bounds?</w:t>
            </w:r>
          </w:p>
        </w:tc>
        <w:tc>
          <w:tcPr>
            <w:tcW w:type="dxa" w:w="3312"/>
            <w:tcMar>
              <w:top w:w="90" w:type="dxa"/>
              <w:start w:w="100" w:type="dxa"/>
              <w:bottom w:w="90" w:type="dxa"/>
              <w:end w:w="100" w:type="dxa"/>
            </w:tcMar>
            <w:vAlign w:val="top"/>
          </w:tcPr>
          <w:p>
            <w:pPr>
              <w:spacing w:after="0"/>
            </w:pPr>
            <w:r>
              <w:rPr>
                <w:sz w:val="17"/>
              </w:rPr>
              <w:t>May be a routine partition plus union bound. Reject unless a new interaction changes the exponent or structure.</w:t>
            </w:r>
          </w:p>
        </w:tc>
      </w:tr>
      <w:tr>
        <w:tc>
          <w:tcPr>
            <w:tcW w:type="dxa" w:w="2232"/>
            <w:tcMar>
              <w:top w:w="90" w:type="dxa"/>
              <w:start w:w="100" w:type="dxa"/>
              <w:bottom w:w="90" w:type="dxa"/>
              <w:end w:w="100" w:type="dxa"/>
            </w:tcMar>
            <w:vAlign w:val="top"/>
          </w:tcPr>
          <w:p>
            <w:pPr>
              <w:spacing w:after="0"/>
            </w:pPr>
            <w:r>
              <w:rPr>
                <w:sz w:val="17"/>
              </w:rPr>
              <w:t>F3. Direct analytic-to-anatomy theorem</w:t>
            </w:r>
          </w:p>
        </w:tc>
        <w:tc>
          <w:tcPr>
            <w:tcW w:type="dxa" w:w="4392"/>
            <w:tcMar>
              <w:top w:w="90" w:type="dxa"/>
              <w:start w:w="100" w:type="dxa"/>
              <w:bottom w:w="90" w:type="dxa"/>
              <w:end w:w="100" w:type="dxa"/>
            </w:tcMar>
            <w:vAlign w:val="top"/>
          </w:tcPr>
          <w:p>
            <w:pPr>
              <w:spacing w:after="0"/>
            </w:pPr>
            <w:r>
              <w:rPr>
                <w:sz w:val="17"/>
              </w:rPr>
              <w:t>Can one prove a theorem about bad/very-bad/type-F3 intervals directly from large-value/energy hypotheses?</w:t>
            </w:r>
          </w:p>
        </w:tc>
        <w:tc>
          <w:tcPr>
            <w:tcW w:type="dxa" w:w="3312"/>
            <w:tcMar>
              <w:top w:w="90" w:type="dxa"/>
              <w:start w:w="100" w:type="dxa"/>
              <w:bottom w:w="90" w:type="dxa"/>
              <w:end w:w="100" w:type="dxa"/>
            </w:tcMar>
            <w:vAlign w:val="top"/>
          </w:tcPr>
          <w:p>
            <w:pPr>
              <w:spacing w:after="0"/>
            </w:pPr>
            <w:r>
              <w:rPr>
                <w:sz w:val="17"/>
              </w:rPr>
              <w:t>Could merely repackage 71 -&gt; 74 -&gt; 73. Compare proof assumptions exactly.</w:t>
            </w:r>
          </w:p>
        </w:tc>
      </w:tr>
      <w:tr>
        <w:tc>
          <w:tcPr>
            <w:tcW w:type="dxa" w:w="2232"/>
            <w:tcMar>
              <w:top w:w="90" w:type="dxa"/>
              <w:start w:w="100" w:type="dxa"/>
              <w:bottom w:w="90" w:type="dxa"/>
              <w:end w:w="100" w:type="dxa"/>
            </w:tcMar>
            <w:vAlign w:val="top"/>
          </w:tcPr>
          <w:p>
            <w:pPr>
              <w:spacing w:after="0"/>
            </w:pPr>
            <w:r>
              <w:rPr>
                <w:sz w:val="17"/>
              </w:rPr>
              <w:t>F4. Reverse transfer</w:t>
            </w:r>
          </w:p>
        </w:tc>
        <w:tc>
          <w:tcPr>
            <w:tcW w:type="dxa" w:w="4392"/>
            <w:tcMar>
              <w:top w:w="90" w:type="dxa"/>
              <w:start w:w="100" w:type="dxa"/>
              <w:bottom w:w="90" w:type="dxa"/>
              <w:end w:w="100" w:type="dxa"/>
            </w:tcMar>
            <w:vAlign w:val="top"/>
          </w:tcPr>
          <w:p>
            <w:pPr>
              <w:spacing w:after="0"/>
            </w:pPr>
            <w:r>
              <w:rPr>
                <w:sz w:val="17"/>
              </w:rPr>
              <w:t>Can an anatomy-count hypothesis force a lower/upper constraint on exceptional prime-distribution behavior?</w:t>
            </w:r>
          </w:p>
        </w:tc>
        <w:tc>
          <w:tcPr>
            <w:tcW w:type="dxa" w:w="3312"/>
            <w:tcMar>
              <w:top w:w="90" w:type="dxa"/>
              <w:start w:w="100" w:type="dxa"/>
              <w:bottom w:w="90" w:type="dxa"/>
              <w:end w:w="100" w:type="dxa"/>
            </w:tcMar>
            <w:vAlign w:val="top"/>
          </w:tcPr>
          <w:p>
            <w:pPr>
              <w:spacing w:after="0"/>
            </w:pPr>
            <w:r>
              <w:rPr>
                <w:sz w:val="17"/>
              </w:rPr>
              <w:t>Could be false or follow from basic containment. Needs an exact nontrivial direction.</w:t>
            </w:r>
          </w:p>
        </w:tc>
      </w:tr>
      <w:tr>
        <w:tc>
          <w:tcPr>
            <w:tcW w:type="dxa" w:w="2232"/>
            <w:tcMar>
              <w:top w:w="90" w:type="dxa"/>
              <w:start w:w="100" w:type="dxa"/>
              <w:bottom w:w="90" w:type="dxa"/>
              <w:end w:w="100" w:type="dxa"/>
            </w:tcMar>
            <w:vAlign w:val="top"/>
          </w:tcPr>
          <w:p>
            <w:pPr>
              <w:spacing w:after="0"/>
            </w:pPr>
            <w:r>
              <w:rPr>
                <w:sz w:val="17"/>
              </w:rPr>
              <w:t>F5. Two-scale or adaptive-scale theorem</w:t>
            </w:r>
          </w:p>
        </w:tc>
        <w:tc>
          <w:tcPr>
            <w:tcW w:type="dxa" w:w="4392"/>
            <w:tcMar>
              <w:top w:w="90" w:type="dxa"/>
              <w:start w:w="100" w:type="dxa"/>
              <w:bottom w:w="90" w:type="dxa"/>
              <w:end w:w="100" w:type="dxa"/>
            </w:tcMar>
            <w:vAlign w:val="top"/>
          </w:tcPr>
          <w:p>
            <w:pPr>
              <w:spacing w:after="0"/>
            </w:pPr>
            <w:r>
              <w:rPr>
                <w:sz w:val="17"/>
              </w:rPr>
              <w:t>Can one control intervals whose length depends on more than a fixed θ exponent?</w:t>
            </w:r>
          </w:p>
        </w:tc>
        <w:tc>
          <w:tcPr>
            <w:tcW w:type="dxa" w:w="3312"/>
            <w:tcMar>
              <w:top w:w="90" w:type="dxa"/>
              <w:start w:w="100" w:type="dxa"/>
              <w:bottom w:w="90" w:type="dxa"/>
              <w:end w:w="100" w:type="dxa"/>
            </w:tcMar>
            <w:vAlign w:val="top"/>
          </w:tcPr>
          <w:p>
            <w:pPr>
              <w:spacing w:after="0"/>
            </w:pPr>
            <w:r>
              <w:rPr>
                <w:sz w:val="17"/>
              </w:rPr>
              <w:t>Risk of standard dyadic decomposition. A result is interesting only if the new scale interaction survives that reduction.</w:t>
            </w:r>
          </w:p>
        </w:tc>
      </w:tr>
      <w:tr>
        <w:tc>
          <w:tcPr>
            <w:tcW w:type="dxa" w:w="2232"/>
            <w:tcMar>
              <w:top w:w="90" w:type="dxa"/>
              <w:start w:w="100" w:type="dxa"/>
              <w:bottom w:w="90" w:type="dxa"/>
              <w:end w:w="100" w:type="dxa"/>
            </w:tcMar>
            <w:vAlign w:val="top"/>
          </w:tcPr>
          <w:p>
            <w:pPr>
              <w:spacing w:after="0"/>
            </w:pPr>
            <w:r>
              <w:rPr>
                <w:sz w:val="17"/>
              </w:rPr>
              <w:t>F6. Optimal interface criterion</w:t>
            </w:r>
          </w:p>
        </w:tc>
        <w:tc>
          <w:tcPr>
            <w:tcW w:type="dxa" w:w="4392"/>
            <w:tcMar>
              <w:top w:w="90" w:type="dxa"/>
              <w:start w:w="100" w:type="dxa"/>
              <w:bottom w:w="90" w:type="dxa"/>
              <w:end w:w="100" w:type="dxa"/>
            </w:tcMar>
            <w:vAlign w:val="top"/>
          </w:tcPr>
          <w:p>
            <w:pPr>
              <w:spacing w:after="0"/>
            </w:pPr>
            <w:r>
              <w:rPr>
                <w:sz w:val="17"/>
              </w:rPr>
              <w:t>Can one characterize the weakest analytic input sufficient for a Tao consumer?</w:t>
            </w:r>
          </w:p>
        </w:tc>
        <w:tc>
          <w:tcPr>
            <w:tcW w:type="dxa" w:w="3312"/>
            <w:tcMar>
              <w:top w:w="90" w:type="dxa"/>
              <w:start w:w="100" w:type="dxa"/>
              <w:bottom w:w="90" w:type="dxa"/>
              <w:end w:w="100" w:type="dxa"/>
            </w:tcMar>
            <w:vAlign w:val="top"/>
          </w:tcPr>
          <w:p>
            <w:pPr>
              <w:spacing w:after="0"/>
            </w:pPr>
            <w:r>
              <w:rPr>
                <w:sz w:val="17"/>
              </w:rPr>
              <w:t>If obtained by reading inequalities backward, it is routine. The target must expose a new necessity/sufficiency mechanism.</w:t>
            </w:r>
          </w:p>
        </w:tc>
      </w:tr>
      <w:tr>
        <w:tc>
          <w:tcPr>
            <w:tcW w:type="dxa" w:w="2232"/>
            <w:tcMar>
              <w:top w:w="90" w:type="dxa"/>
              <w:start w:w="100" w:type="dxa"/>
              <w:bottom w:w="90" w:type="dxa"/>
              <w:end w:w="100" w:type="dxa"/>
            </w:tcMar>
            <w:vAlign w:val="top"/>
          </w:tcPr>
          <w:p>
            <w:pPr>
              <w:spacing w:after="0"/>
            </w:pPr>
            <w:r>
              <w:rPr>
                <w:sz w:val="17"/>
              </w:rPr>
              <w:t>F7. Obstruction / impossibility</w:t>
            </w:r>
          </w:p>
        </w:tc>
        <w:tc>
          <w:tcPr>
            <w:tcW w:type="dxa" w:w="4392"/>
            <w:tcMar>
              <w:top w:w="90" w:type="dxa"/>
              <w:start w:w="100" w:type="dxa"/>
              <w:bottom w:w="90" w:type="dxa"/>
              <w:end w:w="100" w:type="dxa"/>
            </w:tcMar>
            <w:vAlign w:val="top"/>
          </w:tcPr>
          <w:p>
            <w:pPr>
              <w:spacing w:after="0"/>
            </w:pPr>
            <w:r>
              <w:rPr>
                <w:sz w:val="17"/>
              </w:rPr>
              <w:t>Can one prove that a desired anatomy conclusion cannot be obtained from the current exponent envelope alone?</w:t>
            </w:r>
          </w:p>
        </w:tc>
        <w:tc>
          <w:tcPr>
            <w:tcW w:type="dxa" w:w="3312"/>
            <w:tcMar>
              <w:top w:w="90" w:type="dxa"/>
              <w:start w:w="100" w:type="dxa"/>
              <w:bottom w:w="90" w:type="dxa"/>
              <w:end w:w="100" w:type="dxa"/>
            </w:tcMar>
            <w:vAlign w:val="top"/>
          </w:tcPr>
          <w:p>
            <w:pPr>
              <w:spacing w:after="0"/>
            </w:pPr>
            <w:r>
              <w:rPr>
                <w:sz w:val="17"/>
              </w:rPr>
              <w:t>Must be a mathematical obstruction, not a database limitation or trivial optimization boundary.</w:t>
            </w:r>
          </w:p>
        </w:tc>
      </w:tr>
    </w:tbl>
    <w:p>
      <w:pPr>
        <w:spacing w:after="20"/>
      </w:pPr>
    </w:p>
    <w:p>
      <w:pPr>
        <w:pStyle w:val="Heading1"/>
      </w:pPr>
      <w:r>
        <w:t>8. Build a Known Closure before seeking novelty</w:t>
      </w:r>
    </w:p>
    <w:p>
      <w:r>
        <w:t>The first substantive deliverable is not a theorem. It is an exclusion boundary: everything the current literature already gives routinely from the four-node inputs. INFERENCE should know this closure so well that it can reject easy rediscoveries automatically.</w:t>
      </w:r>
    </w:p>
    <w:p>
      <w:r>
        <w:t>The Known Closure has four layers:</w:t>
      </w:r>
    </w:p>
    <w:p>
      <w:pPr>
        <w:spacing w:after="60"/>
        <w:ind w:left="173" w:hanging="173"/>
      </w:pPr>
      <w:r>
        <w:t xml:space="preserve">1. </w:t>
      </w:r>
      <w:r>
        <w:rPr>
          <w:b/>
        </w:rPr>
        <w:t xml:space="preserve">Literature closure. </w:t>
      </w:r>
      <w:r>
        <w:t>Published theorems and standard corollaries in nodes 63, 71, 73, 74 and their cited prerequisites.</w:t>
      </w:r>
    </w:p>
    <w:p>
      <w:pPr>
        <w:spacing w:after="60"/>
        <w:ind w:left="173" w:hanging="173"/>
      </w:pPr>
      <w:r>
        <w:t xml:space="preserve">2. </w:t>
      </w:r>
      <w:r>
        <w:rPr>
          <w:b/>
        </w:rPr>
        <w:t xml:space="preserve">ANTEDB closure. </w:t>
      </w:r>
      <w:r>
        <w:t>Every consequence obtainable by existing ANTEDB hypotheses, dependency trees, and optimization routines from the relevant inputs.</w:t>
      </w:r>
    </w:p>
    <w:p>
      <w:pPr>
        <w:spacing w:after="60"/>
        <w:ind w:left="173" w:hanging="173"/>
      </w:pPr>
      <w:r>
        <w:t xml:space="preserve">3. </w:t>
      </w:r>
      <w:r>
        <w:rPr>
          <w:b/>
        </w:rPr>
        <w:t xml:space="preserve">Formal corpus closure. </w:t>
      </w:r>
      <w:r>
        <w:t>Every consequence already present in the Lean theorem graph, including theorem specializations and simple composition.</w:t>
      </w:r>
    </w:p>
    <w:p>
      <w:pPr>
        <w:spacing w:after="60"/>
        <w:ind w:left="173" w:hanging="173"/>
      </w:pPr>
      <w:r>
        <w:t xml:space="preserve">4. </w:t>
      </w:r>
      <w:r>
        <w:rPr>
          <w:b/>
        </w:rPr>
        <w:t xml:space="preserve">Routine expert closure. </w:t>
      </w:r>
      <w:r>
        <w:t>Short standard arguments not explicitly encoded but immediately available from recognized machinery such as dyadic decomposition, monotonicity, Markov/Chebyshev inequalities, standard moment interpolation, or direct substitution.</w:t>
      </w:r>
    </w:p>
    <w:tbl>
      <w:tblPr>
        <w:tblW w:type="auto" w:w="0"/>
        <w:jc w:val="center"/>
        <w:tblLayout w:type="autofit"/>
        <w:tblLook w:firstColumn="1" w:firstRow="1" w:lastColumn="0" w:lastRow="0" w:noHBand="0" w:noVBand="1" w:val="04A0"/>
      </w:tblPr>
      <w:tblGrid>
        <w:gridCol w:w="9878"/>
      </w:tblGrid>
      <w:tr>
        <w:tc>
          <w:tcPr>
            <w:tcW w:type="dxa" w:w="9878"/>
            <w:shd w:fill="FCE4D6"/>
            <w:tcMar>
              <w:top w:w="130" w:type="dxa"/>
              <w:start w:w="150" w:type="dxa"/>
              <w:bottom w:w="130" w:type="dxa"/>
              <w:end w:w="150" w:type="dxa"/>
            </w:tcMar>
          </w:tcPr>
          <w:p>
            <w:pPr>
              <w:pStyle w:val="CalloutText"/>
            </w:pPr>
            <w:r>
              <w:rPr>
                <w:b/>
                <w:color w:val="17365D"/>
              </w:rPr>
              <w:t>Disqualification rule</w:t>
            </w:r>
            <w:r>
              <w:br/>
              <w:t>If a candidate lies in the Known Closure, it can be retained as a regression theorem or documentation artifact, but it is not promoted as a mathematical research result.</w:t>
            </w:r>
          </w:p>
        </w:tc>
      </w:tr>
    </w:tbl>
    <w:p>
      <w:pPr>
        <w:spacing w:after="0"/>
      </w:pPr>
    </w:p>
    <w:p>
      <w:pPr>
        <w:pStyle w:val="Heading1"/>
      </w:pPr>
      <w:r>
        <w:t>9. The Interface Gap Ledger</w:t>
      </w:r>
    </w:p>
    <w:p>
      <w:r>
        <w:t>Novelty search should be driven by an explicit ledger of information that is available upstream but not consumed downstream. Each row must identify a real mathematical loss, not merely a difference in notation or formal API.</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4939"/>
        <w:gridCol w:w="4939"/>
      </w:tblGrid>
      <w:tr>
        <w:trPr>
          <w:tblHeader w:val="true"/>
        </w:trPr>
        <w:tc>
          <w:tcPr>
            <w:tcW w:type="dxa" w:w="1944"/>
            <w:shd w:fill="17365D"/>
            <w:tcMar>
              <w:top w:w="90" w:type="dxa"/>
              <w:start w:w="100" w:type="dxa"/>
              <w:bottom w:w="90" w:type="dxa"/>
              <w:end w:w="100" w:type="dxa"/>
            </w:tcMar>
          </w:tcPr>
          <w:p>
            <w:pPr>
              <w:jc w:val="left"/>
            </w:pPr>
            <w:r>
              <w:rPr>
                <w:b/>
                <w:color w:val="FFFFFF"/>
                <w:sz w:val="18"/>
              </w:rPr>
              <w:t>Field</w:t>
            </w:r>
          </w:p>
        </w:tc>
        <w:tc>
          <w:tcPr>
            <w:tcW w:type="dxa" w:w="8064"/>
            <w:shd w:fill="17365D"/>
            <w:tcMar>
              <w:top w:w="90" w:type="dxa"/>
              <w:start w:w="100" w:type="dxa"/>
              <w:bottom w:w="90" w:type="dxa"/>
              <w:end w:w="100" w:type="dxa"/>
            </w:tcMar>
          </w:tcPr>
          <w:p>
            <w:pPr>
              <w:jc w:val="left"/>
            </w:pPr>
            <w:r>
              <w:rPr>
                <w:b/>
                <w:color w:val="FFFFFF"/>
                <w:sz w:val="18"/>
              </w:rPr>
              <w:t>Required content</w:t>
            </w:r>
          </w:p>
        </w:tc>
      </w:tr>
      <w:tr>
        <w:tc>
          <w:tcPr>
            <w:tcW w:type="dxa" w:w="1944"/>
            <w:tcMar>
              <w:top w:w="90" w:type="dxa"/>
              <w:start w:w="100" w:type="dxa"/>
              <w:bottom w:w="90" w:type="dxa"/>
              <w:end w:w="100" w:type="dxa"/>
            </w:tcMar>
            <w:vAlign w:val="top"/>
          </w:tcPr>
          <w:p>
            <w:pPr>
              <w:spacing w:after="0"/>
            </w:pPr>
            <w:r>
              <w:rPr>
                <w:sz w:val="17"/>
              </w:rPr>
              <w:t>Gap ID</w:t>
            </w:r>
          </w:p>
        </w:tc>
        <w:tc>
          <w:tcPr>
            <w:tcW w:type="dxa" w:w="8064"/>
            <w:tcMar>
              <w:top w:w="90" w:type="dxa"/>
              <w:start w:w="100" w:type="dxa"/>
              <w:bottom w:w="90" w:type="dxa"/>
              <w:end w:w="100" w:type="dxa"/>
            </w:tcMar>
            <w:vAlign w:val="top"/>
          </w:tcPr>
          <w:p>
            <w:pPr>
              <w:spacing w:after="0"/>
            </w:pPr>
            <w:r>
              <w:rPr>
                <w:sz w:val="17"/>
              </w:rPr>
              <w:t>Stable identifier, e.g. IG-71-74-003.</w:t>
            </w:r>
          </w:p>
        </w:tc>
      </w:tr>
      <w:tr>
        <w:tc>
          <w:tcPr>
            <w:tcW w:type="dxa" w:w="1944"/>
            <w:tcMar>
              <w:top w:w="90" w:type="dxa"/>
              <w:start w:w="100" w:type="dxa"/>
              <w:bottom w:w="90" w:type="dxa"/>
              <w:end w:w="100" w:type="dxa"/>
            </w:tcMar>
            <w:vAlign w:val="top"/>
          </w:tcPr>
          <w:p>
            <w:pPr>
              <w:spacing w:after="0"/>
            </w:pPr>
            <w:r>
              <w:rPr>
                <w:sz w:val="17"/>
              </w:rPr>
              <w:t>Upstream fact</w:t>
            </w:r>
          </w:p>
        </w:tc>
        <w:tc>
          <w:tcPr>
            <w:tcW w:type="dxa" w:w="8064"/>
            <w:tcMar>
              <w:top w:w="90" w:type="dxa"/>
              <w:start w:w="100" w:type="dxa"/>
              <w:bottom w:w="90" w:type="dxa"/>
              <w:end w:w="100" w:type="dxa"/>
            </w:tcMar>
            <w:vAlign w:val="top"/>
          </w:tcPr>
          <w:p>
            <w:pPr>
              <w:spacing w:after="0"/>
            </w:pPr>
            <w:r>
              <w:rPr>
                <w:sz w:val="17"/>
              </w:rPr>
              <w:t>Exact source theorem / Lean declaration and all quantitative structure available.</w:t>
            </w:r>
          </w:p>
        </w:tc>
      </w:tr>
      <w:tr>
        <w:tc>
          <w:tcPr>
            <w:tcW w:type="dxa" w:w="1944"/>
            <w:tcMar>
              <w:top w:w="90" w:type="dxa"/>
              <w:start w:w="100" w:type="dxa"/>
              <w:bottom w:w="90" w:type="dxa"/>
              <w:end w:w="100" w:type="dxa"/>
            </w:tcMar>
            <w:vAlign w:val="top"/>
          </w:tcPr>
          <w:p>
            <w:pPr>
              <w:spacing w:after="0"/>
            </w:pPr>
            <w:r>
              <w:rPr>
                <w:sz w:val="17"/>
              </w:rPr>
              <w:t>Downstream consumer</w:t>
            </w:r>
          </w:p>
        </w:tc>
        <w:tc>
          <w:tcPr>
            <w:tcW w:type="dxa" w:w="8064"/>
            <w:tcMar>
              <w:top w:w="90" w:type="dxa"/>
              <w:start w:w="100" w:type="dxa"/>
              <w:bottom w:w="90" w:type="dxa"/>
              <w:end w:w="100" w:type="dxa"/>
            </w:tcMar>
            <w:vAlign w:val="top"/>
          </w:tcPr>
          <w:p>
            <w:pPr>
              <w:spacing w:after="0"/>
            </w:pPr>
            <w:r>
              <w:rPr>
                <w:sz w:val="17"/>
              </w:rPr>
              <w:t>Exact theorem or proof step that uses a weaker summary.</w:t>
            </w:r>
          </w:p>
        </w:tc>
      </w:tr>
      <w:tr>
        <w:tc>
          <w:tcPr>
            <w:tcW w:type="dxa" w:w="1944"/>
            <w:tcMar>
              <w:top w:w="90" w:type="dxa"/>
              <w:start w:w="100" w:type="dxa"/>
              <w:bottom w:w="90" w:type="dxa"/>
              <w:end w:w="100" w:type="dxa"/>
            </w:tcMar>
            <w:vAlign w:val="top"/>
          </w:tcPr>
          <w:p>
            <w:pPr>
              <w:spacing w:after="0"/>
            </w:pPr>
            <w:r>
              <w:rPr>
                <w:sz w:val="17"/>
              </w:rPr>
              <w:t>Discarded structure</w:t>
            </w:r>
          </w:p>
        </w:tc>
        <w:tc>
          <w:tcPr>
            <w:tcW w:type="dxa" w:w="8064"/>
            <w:tcMar>
              <w:top w:w="90" w:type="dxa"/>
              <w:start w:w="100" w:type="dxa"/>
              <w:bottom w:w="90" w:type="dxa"/>
              <w:end w:w="100" w:type="dxa"/>
            </w:tcMar>
            <w:vAlign w:val="top"/>
          </w:tcPr>
          <w:p>
            <w:pPr>
              <w:spacing w:after="0"/>
            </w:pPr>
            <w:r>
              <w:rPr>
                <w:sz w:val="17"/>
              </w:rPr>
              <w:t>What is lost: dependence on scale, moments, energy, multiplicity, geometry, exceptional-set distribution, coefficient structure, etc.</w:t>
            </w:r>
          </w:p>
        </w:tc>
      </w:tr>
      <w:tr>
        <w:tc>
          <w:tcPr>
            <w:tcW w:type="dxa" w:w="1944"/>
            <w:tcMar>
              <w:top w:w="90" w:type="dxa"/>
              <w:start w:w="100" w:type="dxa"/>
              <w:bottom w:w="90" w:type="dxa"/>
              <w:end w:w="100" w:type="dxa"/>
            </w:tcMar>
            <w:vAlign w:val="top"/>
          </w:tcPr>
          <w:p>
            <w:pPr>
              <w:spacing w:after="0"/>
            </w:pPr>
            <w:r>
              <w:rPr>
                <w:sz w:val="17"/>
              </w:rPr>
              <w:t>Known reason for loss</w:t>
            </w:r>
          </w:p>
        </w:tc>
        <w:tc>
          <w:tcPr>
            <w:tcW w:type="dxa" w:w="8064"/>
            <w:tcMar>
              <w:top w:w="90" w:type="dxa"/>
              <w:start w:w="100" w:type="dxa"/>
              <w:bottom w:w="90" w:type="dxa"/>
              <w:end w:w="100" w:type="dxa"/>
            </w:tcMar>
            <w:vAlign w:val="top"/>
          </w:tcPr>
          <w:p>
            <w:pPr>
              <w:spacing w:after="0"/>
            </w:pPr>
            <w:r>
              <w:rPr>
                <w:sz w:val="17"/>
              </w:rPr>
              <w:t>Convenience, sufficient-for-paper endpoint, technical limitation, or genuine impossibility.</w:t>
            </w:r>
          </w:p>
        </w:tc>
      </w:tr>
      <w:tr>
        <w:tc>
          <w:tcPr>
            <w:tcW w:type="dxa" w:w="1944"/>
            <w:tcMar>
              <w:top w:w="90" w:type="dxa"/>
              <w:start w:w="100" w:type="dxa"/>
              <w:bottom w:w="90" w:type="dxa"/>
              <w:end w:w="100" w:type="dxa"/>
            </w:tcMar>
            <w:vAlign w:val="top"/>
          </w:tcPr>
          <w:p>
            <w:pPr>
              <w:spacing w:after="0"/>
            </w:pPr>
            <w:r>
              <w:rPr>
                <w:sz w:val="17"/>
              </w:rPr>
              <w:t>Candidate missing edge</w:t>
            </w:r>
          </w:p>
        </w:tc>
        <w:tc>
          <w:tcPr>
            <w:tcW w:type="dxa" w:w="8064"/>
            <w:tcMar>
              <w:top w:w="90" w:type="dxa"/>
              <w:start w:w="100" w:type="dxa"/>
              <w:bottom w:w="90" w:type="dxa"/>
              <w:end w:w="100" w:type="dxa"/>
            </w:tcMar>
            <w:vAlign w:val="top"/>
          </w:tcPr>
          <w:p>
            <w:pPr>
              <w:spacing w:after="0"/>
            </w:pPr>
            <w:r>
              <w:rPr>
                <w:sz w:val="17"/>
              </w:rPr>
              <w:t>Exact proposed mathematical relation, once one exists.</w:t>
            </w:r>
          </w:p>
        </w:tc>
      </w:tr>
      <w:tr>
        <w:tc>
          <w:tcPr>
            <w:tcW w:type="dxa" w:w="1944"/>
            <w:tcMar>
              <w:top w:w="90" w:type="dxa"/>
              <w:start w:w="100" w:type="dxa"/>
              <w:bottom w:w="90" w:type="dxa"/>
              <w:end w:w="100" w:type="dxa"/>
            </w:tcMar>
            <w:vAlign w:val="top"/>
          </w:tcPr>
          <w:p>
            <w:pPr>
              <w:spacing w:after="0"/>
            </w:pPr>
            <w:r>
              <w:rPr>
                <w:sz w:val="17"/>
              </w:rPr>
              <w:t>Known-closure status</w:t>
            </w:r>
          </w:p>
        </w:tc>
        <w:tc>
          <w:tcPr>
            <w:tcW w:type="dxa" w:w="8064"/>
            <w:tcMar>
              <w:top w:w="90" w:type="dxa"/>
              <w:start w:w="100" w:type="dxa"/>
              <w:bottom w:w="90" w:type="dxa"/>
              <w:end w:w="100" w:type="dxa"/>
            </w:tcMar>
            <w:vAlign w:val="top"/>
          </w:tcPr>
          <w:p>
            <w:pPr>
              <w:spacing w:after="0"/>
            </w:pPr>
            <w:r>
              <w:rPr>
                <w:sz w:val="17"/>
              </w:rPr>
              <w:t>Not tested / ANTEDB-derived / routine / apparently outside closure.</w:t>
            </w:r>
          </w:p>
        </w:tc>
      </w:tr>
      <w:tr>
        <w:tc>
          <w:tcPr>
            <w:tcW w:type="dxa" w:w="1944"/>
            <w:tcMar>
              <w:top w:w="90" w:type="dxa"/>
              <w:start w:w="100" w:type="dxa"/>
              <w:bottom w:w="90" w:type="dxa"/>
              <w:end w:w="100" w:type="dxa"/>
            </w:tcMar>
            <w:vAlign w:val="top"/>
          </w:tcPr>
          <w:p>
            <w:pPr>
              <w:spacing w:after="0"/>
            </w:pPr>
            <w:r>
              <w:rPr>
                <w:sz w:val="17"/>
              </w:rPr>
              <w:t>Counterexample status</w:t>
            </w:r>
          </w:p>
        </w:tc>
        <w:tc>
          <w:tcPr>
            <w:tcW w:type="dxa" w:w="8064"/>
            <w:tcMar>
              <w:top w:w="90" w:type="dxa"/>
              <w:start w:w="100" w:type="dxa"/>
              <w:bottom w:w="90" w:type="dxa"/>
              <w:end w:w="100" w:type="dxa"/>
            </w:tcMar>
            <w:vAlign w:val="top"/>
          </w:tcPr>
          <w:p>
            <w:pPr>
              <w:spacing w:after="0"/>
            </w:pPr>
            <w:r>
              <w:rPr>
                <w:sz w:val="17"/>
              </w:rPr>
              <w:t>Small-model, limiting-regime, adversarial parameter tests.</w:t>
            </w:r>
          </w:p>
        </w:tc>
      </w:tr>
      <w:tr>
        <w:tc>
          <w:tcPr>
            <w:tcW w:type="dxa" w:w="1944"/>
            <w:tcMar>
              <w:top w:w="90" w:type="dxa"/>
              <w:start w:w="100" w:type="dxa"/>
              <w:bottom w:w="90" w:type="dxa"/>
              <w:end w:w="100" w:type="dxa"/>
            </w:tcMar>
            <w:vAlign w:val="top"/>
          </w:tcPr>
          <w:p>
            <w:pPr>
              <w:spacing w:after="0"/>
            </w:pPr>
            <w:r>
              <w:rPr>
                <w:sz w:val="17"/>
              </w:rPr>
              <w:t>Novelty status</w:t>
            </w:r>
          </w:p>
        </w:tc>
        <w:tc>
          <w:tcPr>
            <w:tcW w:type="dxa" w:w="8064"/>
            <w:tcMar>
              <w:top w:w="90" w:type="dxa"/>
              <w:start w:w="100" w:type="dxa"/>
              <w:bottom w:w="90" w:type="dxa"/>
              <w:end w:w="100" w:type="dxa"/>
            </w:tcMar>
            <w:vAlign w:val="top"/>
          </w:tcPr>
          <w:p>
            <w:pPr>
              <w:spacing w:after="0"/>
            </w:pPr>
            <w:r>
              <w:rPr>
                <w:sz w:val="17"/>
              </w:rPr>
              <w:t>EXPLORATORY / CANDIDATE / RESEARCH TARGET / rejected.</w:t>
            </w:r>
          </w:p>
        </w:tc>
      </w:tr>
    </w:tbl>
    <w:p>
      <w:pPr>
        <w:spacing w:after="20"/>
      </w:pPr>
    </w:p>
    <w:p>
      <w:pPr>
        <w:pStyle w:val="Heading1"/>
      </w:pPr>
      <w:r>
        <w:t>10. Mandatory novelty kill zone</w:t>
      </w:r>
    </w:p>
    <w:p>
      <w:r>
        <w:t>Every candidate must pass the following sequence before it receives substantial proof-engineering resources. The system is designed to kill candidates cheaply.</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4939"/>
        <w:gridCol w:w="4939"/>
      </w:tblGrid>
      <w:tr>
        <w:trPr>
          <w:tblHeader w:val="true"/>
        </w:trPr>
        <w:tc>
          <w:tcPr>
            <w:tcW w:type="dxa" w:w="2448"/>
            <w:shd w:fill="17365D"/>
            <w:tcMar>
              <w:top w:w="90" w:type="dxa"/>
              <w:start w:w="100" w:type="dxa"/>
              <w:bottom w:w="90" w:type="dxa"/>
              <w:end w:w="100" w:type="dxa"/>
            </w:tcMar>
          </w:tcPr>
          <w:p>
            <w:pPr>
              <w:jc w:val="left"/>
            </w:pPr>
            <w:r>
              <w:rPr>
                <w:b/>
                <w:color w:val="FFFFFF"/>
                <w:sz w:val="18"/>
              </w:rPr>
              <w:t>Gate</w:t>
            </w:r>
          </w:p>
        </w:tc>
        <w:tc>
          <w:tcPr>
            <w:tcW w:type="dxa" w:w="7560"/>
            <w:shd w:fill="17365D"/>
            <w:tcMar>
              <w:top w:w="90" w:type="dxa"/>
              <w:start w:w="100" w:type="dxa"/>
              <w:bottom w:w="90" w:type="dxa"/>
              <w:end w:w="100" w:type="dxa"/>
            </w:tcMar>
          </w:tcPr>
          <w:p>
            <w:pPr>
              <w:jc w:val="left"/>
            </w:pPr>
            <w:r>
              <w:rPr>
                <w:b/>
                <w:color w:val="FFFFFF"/>
                <w:sz w:val="18"/>
              </w:rPr>
              <w:t>Pass condition</w:t>
            </w:r>
          </w:p>
        </w:tc>
      </w:tr>
      <w:tr>
        <w:tc>
          <w:tcPr>
            <w:tcW w:type="dxa" w:w="2448"/>
            <w:tcMar>
              <w:top w:w="90" w:type="dxa"/>
              <w:start w:w="100" w:type="dxa"/>
              <w:bottom w:w="90" w:type="dxa"/>
              <w:end w:w="100" w:type="dxa"/>
            </w:tcMar>
            <w:vAlign w:val="top"/>
          </w:tcPr>
          <w:p>
            <w:pPr>
              <w:spacing w:after="0"/>
            </w:pPr>
            <w:r>
              <w:rPr>
                <w:sz w:val="17"/>
              </w:rPr>
              <w:t>K0 - Exact statement</w:t>
            </w:r>
          </w:p>
        </w:tc>
        <w:tc>
          <w:tcPr>
            <w:tcW w:type="dxa" w:w="7560"/>
            <w:tcMar>
              <w:top w:w="90" w:type="dxa"/>
              <w:start w:w="100" w:type="dxa"/>
              <w:bottom w:w="90" w:type="dxa"/>
              <w:end w:w="100" w:type="dxa"/>
            </w:tcMar>
            <w:vAlign w:val="top"/>
          </w:tcPr>
          <w:p>
            <w:pPr>
              <w:spacing w:after="0"/>
            </w:pPr>
            <w:r>
              <w:rPr>
                <w:sz w:val="17"/>
              </w:rPr>
              <w:t>Write hypotheses and conclusion with no motivational ambiguity. If this cannot be done, the item is not yet a theorem candidate.</w:t>
            </w:r>
          </w:p>
        </w:tc>
      </w:tr>
      <w:tr>
        <w:tc>
          <w:tcPr>
            <w:tcW w:type="dxa" w:w="2448"/>
            <w:tcMar>
              <w:top w:w="90" w:type="dxa"/>
              <w:start w:w="100" w:type="dxa"/>
              <w:bottom w:w="90" w:type="dxa"/>
              <w:end w:w="100" w:type="dxa"/>
            </w:tcMar>
            <w:vAlign w:val="top"/>
          </w:tcPr>
          <w:p>
            <w:pPr>
              <w:spacing w:after="0"/>
            </w:pPr>
            <w:r>
              <w:rPr>
                <w:sz w:val="17"/>
              </w:rPr>
              <w:t>K1 - Counterexample attack</w:t>
            </w:r>
          </w:p>
        </w:tc>
        <w:tc>
          <w:tcPr>
            <w:tcW w:type="dxa" w:w="7560"/>
            <w:tcMar>
              <w:top w:w="90" w:type="dxa"/>
              <w:start w:w="100" w:type="dxa"/>
              <w:bottom w:w="90" w:type="dxa"/>
              <w:end w:w="100" w:type="dxa"/>
            </w:tcMar>
            <w:vAlign w:val="top"/>
          </w:tcPr>
          <w:p>
            <w:pPr>
              <w:spacing w:after="0"/>
            </w:pPr>
            <w:r>
              <w:rPr>
                <w:sz w:val="17"/>
              </w:rPr>
              <w:t>Try degenerate ranges, endpoints, extreme scales, known sharp examples, incompatible parameter regimes, and computational toy models.</w:t>
            </w:r>
          </w:p>
        </w:tc>
      </w:tr>
      <w:tr>
        <w:tc>
          <w:tcPr>
            <w:tcW w:type="dxa" w:w="2448"/>
            <w:tcMar>
              <w:top w:w="90" w:type="dxa"/>
              <w:start w:w="100" w:type="dxa"/>
              <w:bottom w:w="90" w:type="dxa"/>
              <w:end w:w="100" w:type="dxa"/>
            </w:tcMar>
            <w:vAlign w:val="top"/>
          </w:tcPr>
          <w:p>
            <w:pPr>
              <w:spacing w:after="0"/>
            </w:pPr>
            <w:r>
              <w:rPr>
                <w:sz w:val="17"/>
              </w:rPr>
              <w:t>K2 - ANTEDB closure test</w:t>
            </w:r>
          </w:p>
        </w:tc>
        <w:tc>
          <w:tcPr>
            <w:tcW w:type="dxa" w:w="7560"/>
            <w:tcMar>
              <w:top w:w="90" w:type="dxa"/>
              <w:start w:w="100" w:type="dxa"/>
              <w:bottom w:w="90" w:type="dxa"/>
              <w:end w:w="100" w:type="dxa"/>
            </w:tcMar>
            <w:vAlign w:val="top"/>
          </w:tcPr>
          <w:p>
            <w:pPr>
              <w:spacing w:after="0"/>
            </w:pPr>
            <w:r>
              <w:rPr>
                <w:sz w:val="17"/>
              </w:rPr>
              <w:t>Ask whether current ANTEDB can already derive the result, an equal or stronger exponent, or an equivalent relation from the same hypotheses.</w:t>
            </w:r>
          </w:p>
        </w:tc>
      </w:tr>
      <w:tr>
        <w:tc>
          <w:tcPr>
            <w:tcW w:type="dxa" w:w="2448"/>
            <w:tcMar>
              <w:top w:w="90" w:type="dxa"/>
              <w:start w:w="100" w:type="dxa"/>
              <w:bottom w:w="90" w:type="dxa"/>
              <w:end w:w="100" w:type="dxa"/>
            </w:tcMar>
            <w:vAlign w:val="top"/>
          </w:tcPr>
          <w:p>
            <w:pPr>
              <w:spacing w:after="0"/>
            </w:pPr>
            <w:r>
              <w:rPr>
                <w:sz w:val="17"/>
              </w:rPr>
              <w:t>K3 - Direct source test</w:t>
            </w:r>
          </w:p>
        </w:tc>
        <w:tc>
          <w:tcPr>
            <w:tcW w:type="dxa" w:w="7560"/>
            <w:tcMar>
              <w:top w:w="90" w:type="dxa"/>
              <w:start w:w="100" w:type="dxa"/>
              <w:bottom w:w="90" w:type="dxa"/>
              <w:end w:w="100" w:type="dxa"/>
            </w:tcMar>
            <w:vAlign w:val="top"/>
          </w:tcPr>
          <w:p>
            <w:pPr>
              <w:spacing w:after="0"/>
            </w:pPr>
            <w:r>
              <w:rPr>
                <w:sz w:val="17"/>
              </w:rPr>
              <w:t>Check whether Gafni-Tao, Guth-Maynard, Tao 2026, or a cited predecessor already contains the statement under another presentation.</w:t>
            </w:r>
          </w:p>
        </w:tc>
      </w:tr>
      <w:tr>
        <w:tc>
          <w:tcPr>
            <w:tcW w:type="dxa" w:w="2448"/>
            <w:tcMar>
              <w:top w:w="90" w:type="dxa"/>
              <w:start w:w="100" w:type="dxa"/>
              <w:bottom w:w="90" w:type="dxa"/>
              <w:end w:w="100" w:type="dxa"/>
            </w:tcMar>
            <w:vAlign w:val="top"/>
          </w:tcPr>
          <w:p>
            <w:pPr>
              <w:spacing w:after="0"/>
            </w:pPr>
            <w:r>
              <w:rPr>
                <w:sz w:val="17"/>
              </w:rPr>
              <w:t>K4 - Stronger-theorem test</w:t>
            </w:r>
          </w:p>
        </w:tc>
        <w:tc>
          <w:tcPr>
            <w:tcW w:type="dxa" w:w="7560"/>
            <w:tcMar>
              <w:top w:w="90" w:type="dxa"/>
              <w:start w:w="100" w:type="dxa"/>
              <w:bottom w:w="90" w:type="dxa"/>
              <w:end w:w="100" w:type="dxa"/>
            </w:tcMar>
            <w:vAlign w:val="top"/>
          </w:tcPr>
          <w:p>
            <w:pPr>
              <w:spacing w:after="0"/>
            </w:pPr>
            <w:r>
              <w:rPr>
                <w:sz w:val="17"/>
              </w:rPr>
              <w:t>Find the strongest known theorem near the candidate and attempt to derive the candidate routinely from it.</w:t>
            </w:r>
          </w:p>
        </w:tc>
      </w:tr>
      <w:tr>
        <w:tc>
          <w:tcPr>
            <w:tcW w:type="dxa" w:w="2448"/>
            <w:tcMar>
              <w:top w:w="90" w:type="dxa"/>
              <w:start w:w="100" w:type="dxa"/>
              <w:bottom w:w="90" w:type="dxa"/>
              <w:end w:w="100" w:type="dxa"/>
            </w:tcMar>
            <w:vAlign w:val="top"/>
          </w:tcPr>
          <w:p>
            <w:pPr>
              <w:spacing w:after="0"/>
            </w:pPr>
            <w:r>
              <w:rPr>
                <w:sz w:val="17"/>
              </w:rPr>
              <w:t>K5 - Equivalent-form search</w:t>
            </w:r>
          </w:p>
        </w:tc>
        <w:tc>
          <w:tcPr>
            <w:tcW w:type="dxa" w:w="7560"/>
            <w:tcMar>
              <w:top w:w="90" w:type="dxa"/>
              <w:start w:w="100" w:type="dxa"/>
              <w:bottom w:w="90" w:type="dxa"/>
              <w:end w:w="100" w:type="dxa"/>
            </w:tcMar>
            <w:vAlign w:val="top"/>
          </w:tcPr>
          <w:p>
            <w:pPr>
              <w:spacing w:after="0"/>
            </w:pPr>
            <w:r>
              <w:rPr>
                <w:sz w:val="17"/>
              </w:rPr>
              <w:t>Translate the statement into exponent, moment, density, exceptional-set, combinatorial, and interval-counting language as appropriate, then search each formulation.</w:t>
            </w:r>
          </w:p>
        </w:tc>
      </w:tr>
      <w:tr>
        <w:tc>
          <w:tcPr>
            <w:tcW w:type="dxa" w:w="2448"/>
            <w:tcMar>
              <w:top w:w="90" w:type="dxa"/>
              <w:start w:w="100" w:type="dxa"/>
              <w:bottom w:w="90" w:type="dxa"/>
              <w:end w:w="100" w:type="dxa"/>
            </w:tcMar>
            <w:vAlign w:val="top"/>
          </w:tcPr>
          <w:p>
            <w:pPr>
              <w:spacing w:after="0"/>
            </w:pPr>
            <w:r>
              <w:rPr>
                <w:sz w:val="17"/>
              </w:rPr>
              <w:t>K6 - Historical and current literature search</w:t>
            </w:r>
          </w:p>
        </w:tc>
        <w:tc>
          <w:tcPr>
            <w:tcW w:type="dxa" w:w="7560"/>
            <w:tcMar>
              <w:top w:w="90" w:type="dxa"/>
              <w:start w:w="100" w:type="dxa"/>
              <w:bottom w:w="90" w:type="dxa"/>
              <w:end w:w="100" w:type="dxa"/>
            </w:tcMar>
            <w:vAlign w:val="top"/>
          </w:tcPr>
          <w:p>
            <w:pPr>
              <w:spacing w:after="0"/>
            </w:pPr>
            <w:r>
              <w:rPr>
                <w:sz w:val="17"/>
              </w:rPr>
              <w:t>Search books, papers, theses, proceedings, arXiv, author pages, backward citations, forward citations, and non-English literature where relevant.</w:t>
            </w:r>
          </w:p>
        </w:tc>
      </w:tr>
      <w:tr>
        <w:tc>
          <w:tcPr>
            <w:tcW w:type="dxa" w:w="2448"/>
            <w:tcMar>
              <w:top w:w="90" w:type="dxa"/>
              <w:start w:w="100" w:type="dxa"/>
              <w:bottom w:w="90" w:type="dxa"/>
              <w:end w:w="100" w:type="dxa"/>
            </w:tcMar>
            <w:vAlign w:val="top"/>
          </w:tcPr>
          <w:p>
            <w:pPr>
              <w:spacing w:after="0"/>
            </w:pPr>
            <w:r>
              <w:rPr>
                <w:sz w:val="17"/>
              </w:rPr>
              <w:t>K7 - Specialist/routine test</w:t>
            </w:r>
          </w:p>
        </w:tc>
        <w:tc>
          <w:tcPr>
            <w:tcW w:type="dxa" w:w="7560"/>
            <w:tcMar>
              <w:top w:w="90" w:type="dxa"/>
              <w:start w:w="100" w:type="dxa"/>
              <w:bottom w:w="90" w:type="dxa"/>
              <w:end w:w="100" w:type="dxa"/>
            </w:tcMar>
            <w:vAlign w:val="top"/>
          </w:tcPr>
          <w:p>
            <w:pPr>
              <w:spacing w:after="0"/>
            </w:pPr>
            <w:r>
              <w:rPr>
                <w:sz w:val="17"/>
              </w:rPr>
              <w:t>Ask whether a specialist who knows the strongest prior theorem could derive the candidate in one sitting without inventing a new idea.</w:t>
            </w:r>
          </w:p>
        </w:tc>
      </w:tr>
      <w:tr>
        <w:tc>
          <w:tcPr>
            <w:tcW w:type="dxa" w:w="2448"/>
            <w:tcMar>
              <w:top w:w="90" w:type="dxa"/>
              <w:start w:w="100" w:type="dxa"/>
              <w:bottom w:w="90" w:type="dxa"/>
              <w:end w:w="100" w:type="dxa"/>
            </w:tcMar>
            <w:vAlign w:val="top"/>
          </w:tcPr>
          <w:p>
            <w:pPr>
              <w:spacing w:after="0"/>
            </w:pPr>
            <w:r>
              <w:rPr>
                <w:sz w:val="17"/>
              </w:rPr>
              <w:t>K8 - Non-routine-step test</w:t>
            </w:r>
          </w:p>
        </w:tc>
        <w:tc>
          <w:tcPr>
            <w:tcW w:type="dxa" w:w="7560"/>
            <w:tcMar>
              <w:top w:w="90" w:type="dxa"/>
              <w:start w:w="100" w:type="dxa"/>
              <w:bottom w:w="90" w:type="dxa"/>
              <w:end w:w="100" w:type="dxa"/>
            </w:tcMar>
            <w:vAlign w:val="top"/>
          </w:tcPr>
          <w:p>
            <w:pPr>
              <w:spacing w:after="0"/>
            </w:pPr>
            <w:r>
              <w:rPr>
                <w:sz w:val="17"/>
              </w:rPr>
              <w:t>Identify the exact lemma, construction, obstruction, estimate, or compatibility argument that existing theory does not already supply.</w:t>
            </w:r>
          </w:p>
        </w:tc>
      </w:tr>
      <w:tr>
        <w:tc>
          <w:tcPr>
            <w:tcW w:type="dxa" w:w="2448"/>
            <w:tcMar>
              <w:top w:w="90" w:type="dxa"/>
              <w:start w:w="100" w:type="dxa"/>
              <w:bottom w:w="90" w:type="dxa"/>
              <w:end w:w="100" w:type="dxa"/>
            </w:tcMar>
            <w:vAlign w:val="top"/>
          </w:tcPr>
          <w:p>
            <w:pPr>
              <w:spacing w:after="0"/>
            </w:pPr>
            <w:r>
              <w:rPr>
                <w:sz w:val="17"/>
              </w:rPr>
              <w:t>K9 - Significance test</w:t>
            </w:r>
          </w:p>
        </w:tc>
        <w:tc>
          <w:tcPr>
            <w:tcW w:type="dxa" w:w="7560"/>
            <w:tcMar>
              <w:top w:w="90" w:type="dxa"/>
              <w:start w:w="100" w:type="dxa"/>
              <w:bottom w:w="90" w:type="dxa"/>
              <w:end w:w="100" w:type="dxa"/>
            </w:tcMar>
            <w:vAlign w:val="top"/>
          </w:tcPr>
          <w:p>
            <w:pPr>
              <w:spacing w:after="0"/>
            </w:pPr>
            <w:r>
              <w:rPr>
                <w:sz w:val="17"/>
              </w:rPr>
              <w:t>State why the theorem matters if Lean is removed from the story and what it changes mathematically.</w:t>
            </w:r>
          </w:p>
        </w:tc>
      </w:tr>
      <w:tr>
        <w:tc>
          <w:tcPr>
            <w:tcW w:type="dxa" w:w="2448"/>
            <w:tcMar>
              <w:top w:w="90" w:type="dxa"/>
              <w:start w:w="100" w:type="dxa"/>
              <w:bottom w:w="90" w:type="dxa"/>
              <w:end w:w="100" w:type="dxa"/>
            </w:tcMar>
            <w:vAlign w:val="top"/>
          </w:tcPr>
          <w:p>
            <w:pPr>
              <w:spacing w:after="0"/>
            </w:pPr>
            <w:r>
              <w:rPr>
                <w:sz w:val="17"/>
              </w:rPr>
              <w:t>K10 - Promotion decision</w:t>
            </w:r>
          </w:p>
        </w:tc>
        <w:tc>
          <w:tcPr>
            <w:tcW w:type="dxa" w:w="7560"/>
            <w:tcMar>
              <w:top w:w="90" w:type="dxa"/>
              <w:start w:w="100" w:type="dxa"/>
              <w:bottom w:w="90" w:type="dxa"/>
              <w:end w:w="100" w:type="dxa"/>
            </w:tcMar>
            <w:vAlign w:val="top"/>
          </w:tcPr>
          <w:p>
            <w:pPr>
              <w:spacing w:after="0"/>
            </w:pPr>
            <w:r>
              <w:rPr>
                <w:sz w:val="17"/>
              </w:rPr>
              <w:t>Only candidates passing K0-K9 may become RESEARCH TARGETS and receive a major Lean campaign.</w:t>
            </w:r>
          </w:p>
        </w:tc>
      </w:tr>
    </w:tbl>
    <w:p>
      <w:pPr>
        <w:spacing w:after="20"/>
      </w:pPr>
    </w:p>
    <w:p>
      <w:pPr>
        <w:pStyle w:val="Equation"/>
        <w:jc w:val="center"/>
      </w:pPr>
      <w:r>
        <w:t>10,000 generated implications -&gt; hundreds of natural candidates -&gt; a few survivors -&gt; possibly one research target</w:t>
      </w:r>
    </w:p>
    <w:p>
      <w:r>
        <w:t>A very high rejection rate is expected and desirable. The system is working when it rejects routine mathematics early.</w:t>
      </w:r>
    </w:p>
    <w:p>
      <w:pPr>
        <w:pStyle w:val="Heading1"/>
      </w:pPr>
      <w:r>
        <w:t>11. Candidate Ledger and status discipline</w:t>
      </w:r>
    </w:p>
    <w:p>
      <w:r>
        <w:t>Every generated candidate must be entered into a ledger before proof work. This prevents plausible statements from silently acquiring research status.</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293"/>
        <w:gridCol w:w="3293"/>
        <w:gridCol w:w="3293"/>
      </w:tblGrid>
      <w:tr>
        <w:trPr>
          <w:tblHeader w:val="true"/>
        </w:trPr>
        <w:tc>
          <w:tcPr>
            <w:tcW w:type="dxa" w:w="2232"/>
            <w:shd w:fill="17365D"/>
            <w:tcMar>
              <w:top w:w="90" w:type="dxa"/>
              <w:start w:w="100" w:type="dxa"/>
              <w:bottom w:w="90" w:type="dxa"/>
              <w:end w:w="100" w:type="dxa"/>
            </w:tcMar>
          </w:tcPr>
          <w:p>
            <w:pPr>
              <w:jc w:val="left"/>
            </w:pPr>
            <w:r>
              <w:rPr>
                <w:b/>
                <w:color w:val="FFFFFF"/>
                <w:sz w:val="18"/>
              </w:rPr>
              <w:t>Status</w:t>
            </w:r>
          </w:p>
        </w:tc>
        <w:tc>
          <w:tcPr>
            <w:tcW w:type="dxa" w:w="4752"/>
            <w:shd w:fill="17365D"/>
            <w:tcMar>
              <w:top w:w="90" w:type="dxa"/>
              <w:start w:w="100" w:type="dxa"/>
              <w:bottom w:w="90" w:type="dxa"/>
              <w:end w:w="100" w:type="dxa"/>
            </w:tcMar>
          </w:tcPr>
          <w:p>
            <w:pPr>
              <w:jc w:val="left"/>
            </w:pPr>
            <w:r>
              <w:rPr>
                <w:b/>
                <w:color w:val="FFFFFF"/>
                <w:sz w:val="18"/>
              </w:rPr>
              <w:t>Meaning</w:t>
            </w:r>
          </w:p>
        </w:tc>
        <w:tc>
          <w:tcPr>
            <w:tcW w:type="dxa" w:w="3024"/>
            <w:shd w:fill="17365D"/>
            <w:tcMar>
              <w:top w:w="90" w:type="dxa"/>
              <w:start w:w="100" w:type="dxa"/>
              <w:bottom w:w="90" w:type="dxa"/>
              <w:end w:w="100" w:type="dxa"/>
            </w:tcMar>
          </w:tcPr>
          <w:p>
            <w:pPr>
              <w:jc w:val="left"/>
            </w:pPr>
            <w:r>
              <w:rPr>
                <w:b/>
                <w:color w:val="FFFFFF"/>
                <w:sz w:val="18"/>
              </w:rPr>
              <w:t>Allowed work</w:t>
            </w:r>
          </w:p>
        </w:tc>
      </w:tr>
      <w:tr>
        <w:tc>
          <w:tcPr>
            <w:tcW w:type="dxa" w:w="2232"/>
            <w:tcMar>
              <w:top w:w="90" w:type="dxa"/>
              <w:start w:w="100" w:type="dxa"/>
              <w:bottom w:w="90" w:type="dxa"/>
              <w:end w:w="100" w:type="dxa"/>
            </w:tcMar>
            <w:vAlign w:val="top"/>
          </w:tcPr>
          <w:p>
            <w:pPr>
              <w:spacing w:after="0"/>
            </w:pPr>
            <w:r>
              <w:rPr>
                <w:sz w:val="17"/>
              </w:rPr>
              <w:t>EXPLORATORY</w:t>
            </w:r>
          </w:p>
        </w:tc>
        <w:tc>
          <w:tcPr>
            <w:tcW w:type="dxa" w:w="4752"/>
            <w:tcMar>
              <w:top w:w="90" w:type="dxa"/>
              <w:start w:w="100" w:type="dxa"/>
              <w:bottom w:w="90" w:type="dxa"/>
              <w:end w:w="100" w:type="dxa"/>
            </w:tcMar>
            <w:vAlign w:val="top"/>
          </w:tcPr>
          <w:p>
            <w:pPr>
              <w:spacing w:after="0"/>
            </w:pPr>
            <w:r>
              <w:rPr>
                <w:sz w:val="17"/>
              </w:rPr>
              <w:t>Interesting phenomenon or exact/near-exact question. Novelty not established.</w:t>
            </w:r>
          </w:p>
        </w:tc>
        <w:tc>
          <w:tcPr>
            <w:tcW w:type="dxa" w:w="3024"/>
            <w:tcMar>
              <w:top w:w="90" w:type="dxa"/>
              <w:start w:w="100" w:type="dxa"/>
              <w:bottom w:w="90" w:type="dxa"/>
              <w:end w:w="100" w:type="dxa"/>
            </w:tcMar>
            <w:vAlign w:val="top"/>
          </w:tcPr>
          <w:p>
            <w:pPr>
              <w:spacing w:after="0"/>
            </w:pPr>
            <w:r>
              <w:rPr>
                <w:sz w:val="17"/>
              </w:rPr>
              <w:t>Cheap calculations, literature search, counterexample generation, small Lean probes.</w:t>
            </w:r>
          </w:p>
        </w:tc>
      </w:tr>
      <w:tr>
        <w:tc>
          <w:tcPr>
            <w:tcW w:type="dxa" w:w="2232"/>
            <w:tcMar>
              <w:top w:w="90" w:type="dxa"/>
              <w:start w:w="100" w:type="dxa"/>
              <w:bottom w:w="90" w:type="dxa"/>
              <w:end w:w="100" w:type="dxa"/>
            </w:tcMar>
            <w:vAlign w:val="top"/>
          </w:tcPr>
          <w:p>
            <w:pPr>
              <w:spacing w:after="0"/>
            </w:pPr>
            <w:r>
              <w:rPr>
                <w:sz w:val="17"/>
              </w:rPr>
              <w:t>CANDIDATE</w:t>
            </w:r>
          </w:p>
        </w:tc>
        <w:tc>
          <w:tcPr>
            <w:tcW w:type="dxa" w:w="4752"/>
            <w:tcMar>
              <w:top w:w="90" w:type="dxa"/>
              <w:start w:w="100" w:type="dxa"/>
              <w:bottom w:w="90" w:type="dxa"/>
              <w:end w:w="100" w:type="dxa"/>
            </w:tcMar>
            <w:vAlign w:val="top"/>
          </w:tcPr>
          <w:p>
            <w:pPr>
              <w:spacing w:after="0"/>
            </w:pPr>
            <w:r>
              <w:rPr>
                <w:sz w:val="17"/>
              </w:rPr>
              <w:t>Survived obvious counterexamples and quick prior-art testing.</w:t>
            </w:r>
          </w:p>
        </w:tc>
        <w:tc>
          <w:tcPr>
            <w:tcW w:type="dxa" w:w="3024"/>
            <w:tcMar>
              <w:top w:w="90" w:type="dxa"/>
              <w:start w:w="100" w:type="dxa"/>
              <w:bottom w:w="90" w:type="dxa"/>
              <w:end w:w="100" w:type="dxa"/>
            </w:tcMar>
            <w:vAlign w:val="top"/>
          </w:tcPr>
          <w:p>
            <w:pPr>
              <w:spacing w:after="0"/>
            </w:pPr>
            <w:r>
              <w:rPr>
                <w:sz w:val="17"/>
              </w:rPr>
              <w:t>Paper proof sketch, deeper known-theory reduction, exact interface formalization.</w:t>
            </w:r>
          </w:p>
        </w:tc>
      </w:tr>
      <w:tr>
        <w:tc>
          <w:tcPr>
            <w:tcW w:type="dxa" w:w="2232"/>
            <w:tcMar>
              <w:top w:w="90" w:type="dxa"/>
              <w:start w:w="100" w:type="dxa"/>
              <w:bottom w:w="90" w:type="dxa"/>
              <w:end w:w="100" w:type="dxa"/>
            </w:tcMar>
            <w:vAlign w:val="top"/>
          </w:tcPr>
          <w:p>
            <w:pPr>
              <w:spacing w:after="0"/>
            </w:pPr>
            <w:r>
              <w:rPr>
                <w:sz w:val="17"/>
              </w:rPr>
              <w:t>RESEARCH TARGET</w:t>
            </w:r>
          </w:p>
        </w:tc>
        <w:tc>
          <w:tcPr>
            <w:tcW w:type="dxa" w:w="4752"/>
            <w:tcMar>
              <w:top w:w="90" w:type="dxa"/>
              <w:start w:w="100" w:type="dxa"/>
              <w:bottom w:w="90" w:type="dxa"/>
              <w:end w:w="100" w:type="dxa"/>
            </w:tcMar>
            <w:vAlign w:val="top"/>
          </w:tcPr>
          <w:p>
            <w:pPr>
              <w:spacing w:after="0"/>
            </w:pPr>
            <w:r>
              <w:rPr>
                <w:sz w:val="17"/>
              </w:rPr>
              <w:t>Survived serious falsification, known-closure testing, literature/equivalence search, stronger-theorem test, and non-routine-step test.</w:t>
            </w:r>
          </w:p>
        </w:tc>
        <w:tc>
          <w:tcPr>
            <w:tcW w:type="dxa" w:w="3024"/>
            <w:tcMar>
              <w:top w:w="90" w:type="dxa"/>
              <w:start w:w="100" w:type="dxa"/>
              <w:bottom w:w="90" w:type="dxa"/>
              <w:end w:w="100" w:type="dxa"/>
            </w:tcMar>
            <w:vAlign w:val="top"/>
          </w:tcPr>
          <w:p>
            <w:pPr>
              <w:spacing w:after="0"/>
            </w:pPr>
            <w:r>
              <w:rPr>
                <w:sz w:val="17"/>
              </w:rPr>
              <w:t>Substantial Lean campaign and full proof development.</w:t>
            </w:r>
          </w:p>
        </w:tc>
      </w:tr>
      <w:tr>
        <w:tc>
          <w:tcPr>
            <w:tcW w:type="dxa" w:w="2232"/>
            <w:tcMar>
              <w:top w:w="90" w:type="dxa"/>
              <w:start w:w="100" w:type="dxa"/>
              <w:bottom w:w="90" w:type="dxa"/>
              <w:end w:w="100" w:type="dxa"/>
            </w:tcMar>
            <w:vAlign w:val="top"/>
          </w:tcPr>
          <w:p>
            <w:pPr>
              <w:spacing w:after="0"/>
            </w:pPr>
            <w:r>
              <w:rPr>
                <w:sz w:val="17"/>
              </w:rPr>
              <w:t>NOVELTY-SUPPORTED RESULT</w:t>
            </w:r>
          </w:p>
        </w:tc>
        <w:tc>
          <w:tcPr>
            <w:tcW w:type="dxa" w:w="4752"/>
            <w:tcMar>
              <w:top w:w="90" w:type="dxa"/>
              <w:start w:w="100" w:type="dxa"/>
              <w:bottom w:w="90" w:type="dxa"/>
              <w:end w:w="100" w:type="dxa"/>
            </w:tcMar>
            <w:vAlign w:val="top"/>
          </w:tcPr>
          <w:p>
            <w:pPr>
              <w:spacing w:after="0"/>
            </w:pPr>
            <w:r>
              <w:rPr>
                <w:sz w:val="17"/>
              </w:rPr>
              <w:t>Proof complete; serious novelty audit found no prior equivalent/stronger routine source.</w:t>
            </w:r>
          </w:p>
        </w:tc>
        <w:tc>
          <w:tcPr>
            <w:tcW w:type="dxa" w:w="3024"/>
            <w:tcMar>
              <w:top w:w="90" w:type="dxa"/>
              <w:start w:w="100" w:type="dxa"/>
              <w:bottom w:w="90" w:type="dxa"/>
              <w:end w:w="100" w:type="dxa"/>
            </w:tcMar>
            <w:vAlign w:val="top"/>
          </w:tcPr>
          <w:p>
            <w:pPr>
              <w:spacing w:after="0"/>
            </w:pPr>
            <w:r>
              <w:rPr>
                <w:sz w:val="17"/>
              </w:rPr>
              <w:t>Publication-quality proof, external review, conservative novelty language.</w:t>
            </w:r>
          </w:p>
        </w:tc>
      </w:tr>
      <w:tr>
        <w:tc>
          <w:tcPr>
            <w:tcW w:type="dxa" w:w="2232"/>
            <w:tcMar>
              <w:top w:w="90" w:type="dxa"/>
              <w:start w:w="100" w:type="dxa"/>
              <w:bottom w:w="90" w:type="dxa"/>
              <w:end w:w="100" w:type="dxa"/>
            </w:tcMar>
            <w:vAlign w:val="top"/>
          </w:tcPr>
          <w:p>
            <w:pPr>
              <w:spacing w:after="0"/>
            </w:pPr>
            <w:r>
              <w:rPr>
                <w:sz w:val="17"/>
              </w:rPr>
              <w:t>REJECTED / ROUTINE</w:t>
            </w:r>
          </w:p>
        </w:tc>
        <w:tc>
          <w:tcPr>
            <w:tcW w:type="dxa" w:w="4752"/>
            <w:tcMar>
              <w:top w:w="90" w:type="dxa"/>
              <w:start w:w="100" w:type="dxa"/>
              <w:bottom w:w="90" w:type="dxa"/>
              <w:end w:w="100" w:type="dxa"/>
            </w:tcMar>
            <w:vAlign w:val="top"/>
          </w:tcPr>
          <w:p>
            <w:pPr>
              <w:spacing w:after="0"/>
            </w:pPr>
            <w:r>
              <w:rPr>
                <w:sz w:val="17"/>
              </w:rPr>
              <w:t>False, known, routine, artificial, insignificant, or formal-only novelty.</w:t>
            </w:r>
          </w:p>
        </w:tc>
        <w:tc>
          <w:tcPr>
            <w:tcW w:type="dxa" w:w="3024"/>
            <w:tcMar>
              <w:top w:w="90" w:type="dxa"/>
              <w:start w:w="100" w:type="dxa"/>
              <w:bottom w:w="90" w:type="dxa"/>
              <w:end w:w="100" w:type="dxa"/>
            </w:tcMar>
            <w:vAlign w:val="top"/>
          </w:tcPr>
          <w:p>
            <w:pPr>
              <w:spacing w:after="0"/>
            </w:pPr>
            <w:r>
              <w:rPr>
                <w:sz w:val="17"/>
              </w:rPr>
              <w:t>Retain evidence if useful; no research-claim investment.</w:t>
            </w:r>
          </w:p>
        </w:tc>
      </w:tr>
    </w:tbl>
    <w:p>
      <w:pPr>
        <w:spacing w:after="20"/>
      </w:pPr>
    </w:p>
    <w:p>
      <w:r>
        <w:t>Each ledger entry should record: exact statement; nodes and declarations consumed; candidate generation mechanism; strongest prior theorem; ANTEDB result; counterexample attempts; missing non-routine step; significance; literature search log; Lean status; final disposition.</w:t>
      </w:r>
    </w:p>
    <w:p>
      <w:pPr>
        <w:pStyle w:val="Heading1"/>
      </w:pPr>
      <w:r>
        <w:t>12. Role of Lean during maturation</w:t>
      </w:r>
    </w:p>
    <w:p>
      <w:r>
        <w:t>Lean is an adversarial microscope, not a novelty oracle. Early formal work is encouraged when it cheaply tests whether an interface statement is even true or whether an apparent new edge reduces to existing lemmas.</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293"/>
        <w:gridCol w:w="3293"/>
        <w:gridCol w:w="3293"/>
      </w:tblGrid>
      <w:tr>
        <w:trPr>
          <w:tblHeader w:val="true"/>
        </w:trPr>
        <w:tc>
          <w:tcPr>
            <w:tcW w:type="dxa" w:w="3456"/>
            <w:shd w:fill="17365D"/>
            <w:tcMar>
              <w:top w:w="90" w:type="dxa"/>
              <w:start w:w="100" w:type="dxa"/>
              <w:bottom w:w="90" w:type="dxa"/>
              <w:end w:w="100" w:type="dxa"/>
            </w:tcMar>
          </w:tcPr>
          <w:p>
            <w:pPr>
              <w:jc w:val="left"/>
            </w:pPr>
            <w:r>
              <w:rPr>
                <w:b/>
                <w:color w:val="FFFFFF"/>
                <w:sz w:val="18"/>
              </w:rPr>
              <w:t>Lean activity</w:t>
            </w:r>
          </w:p>
        </w:tc>
        <w:tc>
          <w:tcPr>
            <w:tcW w:type="dxa" w:w="1800"/>
            <w:shd w:fill="17365D"/>
            <w:tcMar>
              <w:top w:w="90" w:type="dxa"/>
              <w:start w:w="100" w:type="dxa"/>
              <w:bottom w:w="90" w:type="dxa"/>
              <w:end w:w="100" w:type="dxa"/>
            </w:tcMar>
          </w:tcPr>
          <w:p>
            <w:pPr>
              <w:jc w:val="left"/>
            </w:pPr>
            <w:r>
              <w:rPr>
                <w:b/>
                <w:color w:val="FFFFFF"/>
                <w:sz w:val="18"/>
              </w:rPr>
              <w:t>Allowed in EXPLORATORY?</w:t>
            </w:r>
          </w:p>
        </w:tc>
        <w:tc>
          <w:tcPr>
            <w:tcW w:type="dxa" w:w="4752"/>
            <w:shd w:fill="17365D"/>
            <w:tcMar>
              <w:top w:w="90" w:type="dxa"/>
              <w:start w:w="100" w:type="dxa"/>
              <w:bottom w:w="90" w:type="dxa"/>
              <w:end w:w="100" w:type="dxa"/>
            </w:tcMar>
          </w:tcPr>
          <w:p>
            <w:pPr>
              <w:jc w:val="left"/>
            </w:pPr>
            <w:r>
              <w:rPr>
                <w:b/>
                <w:color w:val="FFFFFF"/>
                <w:sz w:val="18"/>
              </w:rPr>
              <w:t>Reason</w:t>
            </w:r>
          </w:p>
        </w:tc>
      </w:tr>
      <w:tr>
        <w:tc>
          <w:tcPr>
            <w:tcW w:type="dxa" w:w="3456"/>
            <w:tcMar>
              <w:top w:w="90" w:type="dxa"/>
              <w:start w:w="100" w:type="dxa"/>
              <w:bottom w:w="90" w:type="dxa"/>
              <w:end w:w="100" w:type="dxa"/>
            </w:tcMar>
            <w:vAlign w:val="top"/>
          </w:tcPr>
          <w:p>
            <w:pPr>
              <w:spacing w:after="0"/>
            </w:pPr>
            <w:r>
              <w:rPr>
                <w:sz w:val="17"/>
              </w:rPr>
              <w:t>Exact source theorem crosswalk</w:t>
            </w:r>
          </w:p>
        </w:tc>
        <w:tc>
          <w:tcPr>
            <w:tcW w:type="dxa" w:w="1800"/>
            <w:tcMar>
              <w:top w:w="90" w:type="dxa"/>
              <w:start w:w="100" w:type="dxa"/>
              <w:bottom w:w="90" w:type="dxa"/>
              <w:end w:w="100" w:type="dxa"/>
            </w:tcMar>
            <w:vAlign w:val="top"/>
          </w:tcPr>
          <w:p>
            <w:pPr>
              <w:spacing w:after="0"/>
            </w:pPr>
            <w:r>
              <w:rPr>
                <w:sz w:val="17"/>
              </w:rPr>
              <w:t>Yes</w:t>
            </w:r>
          </w:p>
        </w:tc>
        <w:tc>
          <w:tcPr>
            <w:tcW w:type="dxa" w:w="4752"/>
            <w:tcMar>
              <w:top w:w="90" w:type="dxa"/>
              <w:start w:w="100" w:type="dxa"/>
              <w:bottom w:w="90" w:type="dxa"/>
              <w:end w:w="100" w:type="dxa"/>
            </w:tcMar>
            <w:vAlign w:val="top"/>
          </w:tcPr>
          <w:p>
            <w:pPr>
              <w:spacing w:after="0"/>
            </w:pPr>
            <w:r>
              <w:rPr>
                <w:sz w:val="17"/>
              </w:rPr>
              <w:t>Prevents accidental hypothesis drift and exposes what information is actually available.</w:t>
            </w:r>
          </w:p>
        </w:tc>
      </w:tr>
      <w:tr>
        <w:tc>
          <w:tcPr>
            <w:tcW w:type="dxa" w:w="3456"/>
            <w:tcMar>
              <w:top w:w="90" w:type="dxa"/>
              <w:start w:w="100" w:type="dxa"/>
              <w:bottom w:w="90" w:type="dxa"/>
              <w:end w:w="100" w:type="dxa"/>
            </w:tcMar>
            <w:vAlign w:val="top"/>
          </w:tcPr>
          <w:p>
            <w:pPr>
              <w:spacing w:after="0"/>
            </w:pPr>
            <w:r>
              <w:rPr>
                <w:sz w:val="17"/>
              </w:rPr>
              <w:t>Tiny counterexample / boundary models</w:t>
            </w:r>
          </w:p>
        </w:tc>
        <w:tc>
          <w:tcPr>
            <w:tcW w:type="dxa" w:w="1800"/>
            <w:tcMar>
              <w:top w:w="90" w:type="dxa"/>
              <w:start w:w="100" w:type="dxa"/>
              <w:bottom w:w="90" w:type="dxa"/>
              <w:end w:w="100" w:type="dxa"/>
            </w:tcMar>
            <w:vAlign w:val="top"/>
          </w:tcPr>
          <w:p>
            <w:pPr>
              <w:spacing w:after="0"/>
            </w:pPr>
            <w:r>
              <w:rPr>
                <w:sz w:val="17"/>
              </w:rPr>
              <w:t>Yes</w:t>
            </w:r>
          </w:p>
        </w:tc>
        <w:tc>
          <w:tcPr>
            <w:tcW w:type="dxa" w:w="4752"/>
            <w:tcMar>
              <w:top w:w="90" w:type="dxa"/>
              <w:start w:w="100" w:type="dxa"/>
              <w:bottom w:w="90" w:type="dxa"/>
              <w:end w:w="100" w:type="dxa"/>
            </w:tcMar>
            <w:vAlign w:val="top"/>
          </w:tcPr>
          <w:p>
            <w:pPr>
              <w:spacing w:after="0"/>
            </w:pPr>
            <w:r>
              <w:rPr>
                <w:sz w:val="17"/>
              </w:rPr>
              <w:t>Cheap falsification has high value.</w:t>
            </w:r>
          </w:p>
        </w:tc>
      </w:tr>
      <w:tr>
        <w:tc>
          <w:tcPr>
            <w:tcW w:type="dxa" w:w="3456"/>
            <w:tcMar>
              <w:top w:w="90" w:type="dxa"/>
              <w:start w:w="100" w:type="dxa"/>
              <w:bottom w:w="90" w:type="dxa"/>
              <w:end w:w="100" w:type="dxa"/>
            </w:tcMar>
            <w:vAlign w:val="top"/>
          </w:tcPr>
          <w:p>
            <w:pPr>
              <w:spacing w:after="0"/>
            </w:pPr>
            <w:r>
              <w:rPr>
                <w:sz w:val="17"/>
              </w:rPr>
              <w:t>Interface type definitions</w:t>
            </w:r>
          </w:p>
        </w:tc>
        <w:tc>
          <w:tcPr>
            <w:tcW w:type="dxa" w:w="1800"/>
            <w:tcMar>
              <w:top w:w="90" w:type="dxa"/>
              <w:start w:w="100" w:type="dxa"/>
              <w:bottom w:w="90" w:type="dxa"/>
              <w:end w:w="100" w:type="dxa"/>
            </w:tcMar>
            <w:vAlign w:val="top"/>
          </w:tcPr>
          <w:p>
            <w:pPr>
              <w:spacing w:after="0"/>
            </w:pPr>
            <w:r>
              <w:rPr>
                <w:sz w:val="17"/>
              </w:rPr>
              <w:t>Yes</w:t>
            </w:r>
          </w:p>
        </w:tc>
        <w:tc>
          <w:tcPr>
            <w:tcW w:type="dxa" w:w="4752"/>
            <w:tcMar>
              <w:top w:w="90" w:type="dxa"/>
              <w:start w:w="100" w:type="dxa"/>
              <w:bottom w:w="90" w:type="dxa"/>
              <w:end w:w="100" w:type="dxa"/>
            </w:tcMar>
            <w:vAlign w:val="top"/>
          </w:tcPr>
          <w:p>
            <w:pPr>
              <w:spacing w:after="0"/>
            </w:pPr>
            <w:r>
              <w:rPr>
                <w:sz w:val="17"/>
              </w:rPr>
              <w:t>Makes candidate statements precise without committing to a proof campaign.</w:t>
            </w:r>
          </w:p>
        </w:tc>
      </w:tr>
      <w:tr>
        <w:tc>
          <w:tcPr>
            <w:tcW w:type="dxa" w:w="3456"/>
            <w:tcMar>
              <w:top w:w="90" w:type="dxa"/>
              <w:start w:w="100" w:type="dxa"/>
              <w:bottom w:w="90" w:type="dxa"/>
              <w:end w:w="100" w:type="dxa"/>
            </w:tcMar>
            <w:vAlign w:val="top"/>
          </w:tcPr>
          <w:p>
            <w:pPr>
              <w:spacing w:after="0"/>
            </w:pPr>
            <w:r>
              <w:rPr>
                <w:sz w:val="17"/>
              </w:rPr>
              <w:t>Proof of a routine known-closure lemma</w:t>
            </w:r>
          </w:p>
        </w:tc>
        <w:tc>
          <w:tcPr>
            <w:tcW w:type="dxa" w:w="1800"/>
            <w:tcMar>
              <w:top w:w="90" w:type="dxa"/>
              <w:start w:w="100" w:type="dxa"/>
              <w:bottom w:w="90" w:type="dxa"/>
              <w:end w:w="100" w:type="dxa"/>
            </w:tcMar>
            <w:vAlign w:val="top"/>
          </w:tcPr>
          <w:p>
            <w:pPr>
              <w:spacing w:after="0"/>
            </w:pPr>
            <w:r>
              <w:rPr>
                <w:sz w:val="17"/>
              </w:rPr>
              <w:t>Yes, sparingly</w:t>
            </w:r>
          </w:p>
        </w:tc>
        <w:tc>
          <w:tcPr>
            <w:tcW w:type="dxa" w:w="4752"/>
            <w:tcMar>
              <w:top w:w="90" w:type="dxa"/>
              <w:start w:w="100" w:type="dxa"/>
              <w:bottom w:w="90" w:type="dxa"/>
              <w:end w:w="100" w:type="dxa"/>
            </w:tcMar>
            <w:vAlign w:val="top"/>
          </w:tcPr>
          <w:p>
            <w:pPr>
              <w:spacing w:after="0"/>
            </w:pPr>
            <w:r>
              <w:rPr>
                <w:sz w:val="17"/>
              </w:rPr>
              <w:t>Useful as infrastructure or a regression theorem, but not a novelty target.</w:t>
            </w:r>
          </w:p>
        </w:tc>
      </w:tr>
      <w:tr>
        <w:tc>
          <w:tcPr>
            <w:tcW w:type="dxa" w:w="3456"/>
            <w:tcMar>
              <w:top w:w="90" w:type="dxa"/>
              <w:start w:w="100" w:type="dxa"/>
              <w:bottom w:w="90" w:type="dxa"/>
              <w:end w:w="100" w:type="dxa"/>
            </w:tcMar>
            <w:vAlign w:val="top"/>
          </w:tcPr>
          <w:p>
            <w:pPr>
              <w:spacing w:after="0"/>
            </w:pPr>
            <w:r>
              <w:rPr>
                <w:sz w:val="17"/>
              </w:rPr>
              <w:t>Thousands of lines proving an untriaged conjecture</w:t>
            </w:r>
          </w:p>
        </w:tc>
        <w:tc>
          <w:tcPr>
            <w:tcW w:type="dxa" w:w="1800"/>
            <w:tcMar>
              <w:top w:w="90" w:type="dxa"/>
              <w:start w:w="100" w:type="dxa"/>
              <w:bottom w:w="90" w:type="dxa"/>
              <w:end w:w="100" w:type="dxa"/>
            </w:tcMar>
            <w:vAlign w:val="top"/>
          </w:tcPr>
          <w:p>
            <w:pPr>
              <w:spacing w:after="0"/>
            </w:pPr>
            <w:r>
              <w:rPr>
                <w:sz w:val="17"/>
              </w:rPr>
              <w:t>No</w:t>
            </w:r>
          </w:p>
        </w:tc>
        <w:tc>
          <w:tcPr>
            <w:tcW w:type="dxa" w:w="4752"/>
            <w:tcMar>
              <w:top w:w="90" w:type="dxa"/>
              <w:start w:w="100" w:type="dxa"/>
              <w:bottom w:w="90" w:type="dxa"/>
              <w:end w:w="100" w:type="dxa"/>
            </w:tcMar>
            <w:vAlign w:val="top"/>
          </w:tcPr>
          <w:p>
            <w:pPr>
              <w:spacing w:after="0"/>
            </w:pPr>
            <w:r>
              <w:rPr>
                <w:sz w:val="17"/>
              </w:rPr>
              <w:t>Token furnace before novelty evidence.</w:t>
            </w:r>
          </w:p>
        </w:tc>
      </w:tr>
      <w:tr>
        <w:tc>
          <w:tcPr>
            <w:tcW w:type="dxa" w:w="3456"/>
            <w:tcMar>
              <w:top w:w="90" w:type="dxa"/>
              <w:start w:w="100" w:type="dxa"/>
              <w:bottom w:w="90" w:type="dxa"/>
              <w:end w:w="100" w:type="dxa"/>
            </w:tcMar>
            <w:vAlign w:val="top"/>
          </w:tcPr>
          <w:p>
            <w:pPr>
              <w:spacing w:after="0"/>
            </w:pPr>
            <w:r>
              <w:rPr>
                <w:sz w:val="17"/>
              </w:rPr>
              <w:t>Full theorem campaign</w:t>
            </w:r>
          </w:p>
        </w:tc>
        <w:tc>
          <w:tcPr>
            <w:tcW w:type="dxa" w:w="1800"/>
            <w:tcMar>
              <w:top w:w="90" w:type="dxa"/>
              <w:start w:w="100" w:type="dxa"/>
              <w:bottom w:w="90" w:type="dxa"/>
              <w:end w:w="100" w:type="dxa"/>
            </w:tcMar>
            <w:vAlign w:val="top"/>
          </w:tcPr>
          <w:p>
            <w:pPr>
              <w:spacing w:after="0"/>
            </w:pPr>
            <w:r>
              <w:rPr>
                <w:sz w:val="17"/>
              </w:rPr>
              <w:t>Only at RESEARCH TARGET</w:t>
            </w:r>
          </w:p>
        </w:tc>
        <w:tc>
          <w:tcPr>
            <w:tcW w:type="dxa" w:w="4752"/>
            <w:tcMar>
              <w:top w:w="90" w:type="dxa"/>
              <w:start w:w="100" w:type="dxa"/>
              <w:bottom w:w="90" w:type="dxa"/>
              <w:end w:w="100" w:type="dxa"/>
            </w:tcMar>
            <w:vAlign w:val="top"/>
          </w:tcPr>
          <w:p>
            <w:pPr>
              <w:spacing w:after="0"/>
            </w:pPr>
            <w:r>
              <w:rPr>
                <w:sz w:val="17"/>
              </w:rPr>
              <w:t>Large effort is reserved for candidates that survived novelty triage.</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50" w:type="dxa"/>
              <w:bottom w:w="130" w:type="dxa"/>
              <w:end w:w="150" w:type="dxa"/>
            </w:tcMar>
          </w:tcPr>
          <w:p>
            <w:pPr>
              <w:pStyle w:val="CalloutText"/>
            </w:pPr>
            <w:r>
              <w:rPr>
                <w:b/>
                <w:color w:val="17365D"/>
              </w:rPr>
              <w:t>Paper-proof-before-token-furnace rule</w:t>
            </w:r>
            <w:r>
              <w:br/>
              <w:t>Before a long-running agent is launched, attempt a concise conventional proof. If the proof is “invoke known transfer, split standard cases, optimize, substitute, recombine,” demote the result even if nobody seems to have printed the exact sentence.</w:t>
            </w:r>
          </w:p>
        </w:tc>
      </w:tr>
    </w:tbl>
    <w:p>
      <w:pPr>
        <w:spacing w:after="0"/>
      </w:pPr>
    </w:p>
    <w:p>
      <w:pPr>
        <w:pStyle w:val="Heading1"/>
      </w:pPr>
      <w:r>
        <w:t>13. Work packages</w:t>
      </w:r>
    </w:p>
    <w:p>
      <w:r>
        <w:t>The agenda is intentionally finite. Each work package has an exit condition. No package authorizes an open-ended classification project.</w:t>
      </w:r>
    </w:p>
    <w:p>
      <w:pPr>
        <w:pStyle w:val="Heading2"/>
      </w:pPr>
      <w:r>
        <w:t>WP0 - Source freeze and identity</w:t>
      </w:r>
    </w:p>
    <w:p>
      <w:pPr>
        <w:pStyle w:val="ListBullet"/>
        <w:spacing w:after="50"/>
      </w:pPr>
      <w:r>
        <w:t>Pin the exact current versions of nodes 63, 71, 73, 74 and the live ANTEDB snapshot used for novelty testing.</w:t>
      </w:r>
    </w:p>
    <w:p>
      <w:pPr>
        <w:pStyle w:val="ListBullet"/>
        <w:spacing w:after="50"/>
      </w:pPr>
      <w:r>
        <w:t>Record source URLs, commit IDs where available, theorem locators, and local Lean declaration names.</w:t>
      </w:r>
    </w:p>
    <w:p>
      <w:pPr>
        <w:pStyle w:val="ListBullet"/>
        <w:spacing w:after="50"/>
      </w:pPr>
      <w:r>
        <w:t>Exit: source identity is reproducible and the four-node interface can be referenced exactly.</w:t>
      </w:r>
    </w:p>
    <w:p>
      <w:pPr>
        <w:pStyle w:val="Heading2"/>
      </w:pPr>
      <w:r>
        <w:t>WP1 - Known Closure construction</w:t>
      </w:r>
    </w:p>
    <w:p>
      <w:pPr>
        <w:pStyle w:val="ListBullet"/>
        <w:spacing w:after="50"/>
      </w:pPr>
      <w:r>
        <w:t>Import or mirror only the relevant ANTEDB relationships and current node results needed to test routine consequences.</w:t>
      </w:r>
    </w:p>
    <w:p>
      <w:pPr>
        <w:pStyle w:val="ListBullet"/>
        <w:spacing w:after="50"/>
      </w:pPr>
      <w:r>
        <w:t>Enumerate direct published transfers among large values, zero density, additive energy, exceptional intervals, and Tao Proposition 2.3(iii).</w:t>
      </w:r>
    </w:p>
    <w:p>
      <w:pPr>
        <w:pStyle w:val="ListBullet"/>
        <w:spacing w:after="50"/>
      </w:pPr>
      <w:r>
        <w:t>Exit: a candidate can be tested against the current routine closure without hand-waving.</w:t>
      </w:r>
    </w:p>
    <w:p>
      <w:pPr>
        <w:pStyle w:val="Heading2"/>
      </w:pPr>
      <w:r>
        <w:t>WP2 - Interface Gap Ledger</w:t>
      </w:r>
    </w:p>
    <w:p>
      <w:pPr>
        <w:pStyle w:val="ListBullet"/>
        <w:spacing w:after="50"/>
      </w:pPr>
      <w:r>
        <w:t>Walk the 71 -&gt; 74 -&gt; 73 proof interfaces and record every compression of information.</w:t>
      </w:r>
    </w:p>
    <w:p>
      <w:pPr>
        <w:pStyle w:val="ListBullet"/>
        <w:spacing w:after="50"/>
      </w:pPr>
      <w:r>
        <w:t>Inspect possible direct 71 -&gt; 73 and reverse 73 -&gt; analytic interfaces.</w:t>
      </w:r>
    </w:p>
    <w:p>
      <w:pPr>
        <w:pStyle w:val="ListBullet"/>
        <w:spacing w:after="50"/>
      </w:pPr>
      <w:r>
        <w:t>Exit: at least five concrete gaps are recorded, each tied to exact source statements and consumers.</w:t>
      </w:r>
    </w:p>
    <w:p>
      <w:pPr>
        <w:pStyle w:val="Heading2"/>
      </w:pPr>
      <w:r>
        <w:t>WP3 - Candidate generation</w:t>
      </w:r>
    </w:p>
    <w:p>
      <w:pPr>
        <w:pStyle w:val="ListBullet"/>
        <w:spacing w:after="50"/>
      </w:pPr>
      <w:r>
        <w:t>Generate exact statements only from recorded interface gaps, historical near misses, or structural obstructions.</w:t>
      </w:r>
    </w:p>
    <w:p>
      <w:pPr>
        <w:pStyle w:val="ListBullet"/>
        <w:spacing w:after="50"/>
      </w:pPr>
      <w:r>
        <w:t>Reject generic “better exponent” prompts that do not identify a new relation.</w:t>
      </w:r>
    </w:p>
    <w:p>
      <w:pPr>
        <w:pStyle w:val="ListBullet"/>
        <w:spacing w:after="50"/>
      </w:pPr>
      <w:r>
        <w:t>Exit: a small queue of exact EXPLORATORY candidates, preferably fewer than twenty.</w:t>
      </w:r>
    </w:p>
    <w:p>
      <w:pPr>
        <w:pStyle w:val="Heading2"/>
      </w:pPr>
      <w:r>
        <w:t>WP4 - Kill zone</w:t>
      </w:r>
    </w:p>
    <w:p>
      <w:pPr>
        <w:pStyle w:val="ListBullet"/>
        <w:spacing w:after="50"/>
      </w:pPr>
      <w:r>
        <w:t>Run K0-K10 against every candidate.</w:t>
      </w:r>
    </w:p>
    <w:p>
      <w:pPr>
        <w:pStyle w:val="ListBullet"/>
        <w:spacing w:after="50"/>
      </w:pPr>
      <w:r>
        <w:t>Use web/literature research before major Lean proofs.</w:t>
      </w:r>
    </w:p>
    <w:p>
      <w:pPr>
        <w:pStyle w:val="ListBullet"/>
        <w:spacing w:after="50"/>
      </w:pPr>
      <w:r>
        <w:t>Exit: either no survivor, which is an acceptable outcome, or at least one candidate reaches CANDIDATE / RESEARCH TARGET with a documented non-routine gap.</w:t>
      </w:r>
    </w:p>
    <w:p>
      <w:pPr>
        <w:pStyle w:val="Heading2"/>
      </w:pPr>
      <w:r>
        <w:t>WP5 - Adversarial Lean probes</w:t>
      </w:r>
    </w:p>
    <w:p>
      <w:pPr>
        <w:pStyle w:val="ListBullet"/>
        <w:spacing w:after="50"/>
      </w:pPr>
      <w:r>
        <w:t>For survivors, formalize the weakest interface statement that could falsify the candidate.</w:t>
      </w:r>
    </w:p>
    <w:p>
      <w:pPr>
        <w:pStyle w:val="ListBullet"/>
        <w:spacing w:after="50"/>
      </w:pPr>
      <w:r>
        <w:t>Preserve counterexamples and failed conjectures as regression artifacts.</w:t>
      </w:r>
    </w:p>
    <w:p>
      <w:pPr>
        <w:pStyle w:val="ListBullet"/>
        <w:spacing w:after="50"/>
      </w:pPr>
      <w:r>
        <w:t>Exit: candidate either dies or has a stable exact theorem statement with no obvious formal mismatch.</w:t>
      </w:r>
    </w:p>
    <w:p>
      <w:pPr>
        <w:pStyle w:val="Heading2"/>
      </w:pPr>
      <w:r>
        <w:t>WP6 - Research-target proof</w:t>
      </w:r>
    </w:p>
    <w:p>
      <w:pPr>
        <w:pStyle w:val="ListBullet"/>
        <w:spacing w:after="50"/>
      </w:pPr>
      <w:r>
        <w:t>Only after promotion, build a full proof architecture and implementation plan.</w:t>
      </w:r>
    </w:p>
    <w:p>
      <w:pPr>
        <w:pStyle w:val="ListBullet"/>
        <w:spacing w:after="50"/>
      </w:pPr>
      <w:r>
        <w:t>Separate established imported mathematics from the genuinely non-routine lemma(s).</w:t>
      </w:r>
    </w:p>
    <w:p>
      <w:pPr>
        <w:pStyle w:val="ListBullet"/>
        <w:spacing w:after="50"/>
      </w:pPr>
      <w:r>
        <w:t>Exit: proof or exact counterexample, no silent weakening.</w:t>
      </w:r>
    </w:p>
    <w:p>
      <w:pPr>
        <w:pStyle w:val="Heading2"/>
      </w:pPr>
      <w:r>
        <w:t>WP7 - Novelty audit and external challenge</w:t>
      </w:r>
    </w:p>
    <w:p>
      <w:pPr>
        <w:pStyle w:val="ListBullet"/>
        <w:spacing w:after="50"/>
      </w:pPr>
      <w:r>
        <w:t>Repeat literature search after the proof because the final statement may differ from the initial candidate.</w:t>
      </w:r>
    </w:p>
    <w:p>
      <w:pPr>
        <w:pStyle w:val="ListBullet"/>
        <w:spacing w:after="50"/>
      </w:pPr>
      <w:r>
        <w:t>Seek specialist review specifically asking whether the result is known or routine.</w:t>
      </w:r>
    </w:p>
    <w:p>
      <w:pPr>
        <w:pStyle w:val="ListBullet"/>
        <w:spacing w:after="50"/>
      </w:pPr>
      <w:r>
        <w:t>Exit: conservative classification as known, routine, apparently unstated, or novelty-supported.</w:t>
      </w:r>
    </w:p>
    <w:p>
      <w:pPr>
        <w:pStyle w:val="Heading1"/>
      </w:pPr>
      <w:r>
        <w:t>14. First concrete investigations</w:t>
      </w:r>
    </w:p>
    <w:p>
      <w:r>
        <w:t>These are the first recommended probes because they inspect real information loss in the existing formal chain. None is pre-approved as novel.</w:t>
      </w:r>
    </w:p>
    <w:p>
      <w:pPr>
        <w:pStyle w:val="Heading2"/>
      </w:pPr>
      <w:r>
        <w:t>P1. Gafni-Tao compression audit</w:t>
      </w:r>
    </w:p>
    <w:p>
      <w:r>
        <w:t>Trace the exact node 74 path from Guth-Maynard ordinary/additive-energy zero-density inputs to the refined exceptional exponent. List every use of supremum, infimum, minimum, uniformization, moment reduction, strip decomposition, and loss. For each, ask whether Tao 2026 later uses only the final scalar bound. Output: Interface Gap rows, not theorem claims.</w:t>
      </w:r>
    </w:p>
    <w:p>
      <w:pPr>
        <w:pStyle w:val="Heading2"/>
      </w:pPr>
      <w:r>
        <w:t>P2. Tao Proposition 2.3(iii) consumer audit</w:t>
      </w:r>
    </w:p>
    <w:p>
      <w:r>
        <w:t>Trace the proved node 73 bridge from variable-length prime-free endpoints into Gafni-Tao’s discrepancy exceptional set and then into later arithmetic-anatomy arguments. Identify which properties of the exceptional set are actually consumed: measure only, dyadic localization, monotonicity, higher-prime-power tail, or more. Output: exact minimal consumer contract.</w:t>
      </w:r>
    </w:p>
    <w:p>
      <w:pPr>
        <w:pStyle w:val="Heading2"/>
      </w:pPr>
      <w:r>
        <w:t>P3. Direct GM-to-anatomy feasibility test</w:t>
      </w:r>
    </w:p>
    <w:p>
      <w:r>
        <w:t>Ask whether a large-value or additive-energy statement from node 71 can control the Tao endpoint set before it is compressed to an exceptional exponent. First try to prove that every such route factors routinely through node 74. If that factorization theorem succeeds, record a negative result: direct inference adds nothing at this abstraction level. If it fails for a substantive reason, isolate the missing edge.</w:t>
      </w:r>
    </w:p>
    <w:p>
      <w:pPr>
        <w:pStyle w:val="Heading2"/>
      </w:pPr>
      <w:r>
        <w:t>P4. ANTEDB expressibility test</w:t>
      </w:r>
    </w:p>
    <w:p>
      <w:r>
        <w:t>For every quantitative candidate from P1-P3, encode the assumptions as far as possible in the live ANTEDB vocabulary. If ANTEDB can derive the claimed endpoint, reject it. If not, distinguish “database has not encoded a standard lemma” from “the relation is genuinely outside the exponent formalism.”</w:t>
      </w:r>
    </w:p>
    <w:p>
      <w:pPr>
        <w:pStyle w:val="Heading2"/>
      </w:pPr>
      <w:r>
        <w:t>P5. Reverse-edge falsification</w:t>
      </w:r>
    </w:p>
    <w:p>
      <w:r>
        <w:t>Formulate the weakest natural reverse statement from an anatomy statistic to an exceptional-interval or prime-distribution statistic. Attack it with constructions and known sieve heuristics before formal proof. The goal is to learn whether a reverse edge is structurally possible, not to force one into existence.</w:t>
      </w:r>
    </w:p>
    <w:p>
      <w:pPr>
        <w:pStyle w:val="Heading2"/>
      </w:pPr>
      <w:r>
        <w:t>P6. Historical near-miss search</w:t>
      </w:r>
    </w:p>
    <w:p>
      <w:r>
        <w:t>Search pre-Guth-Maynard and pre-Gafni-Tao literature for arguments stopped by a quantitative hypothesis close to the new frontier. Separate simple numerical unlocks, which are routine, from cases where a new compatibility lemma would be needed in the newly opened range.</w:t>
      </w:r>
    </w:p>
    <w:p>
      <w:pPr>
        <w:pStyle w:val="Heading1"/>
      </w:pPr>
      <w:r>
        <w:t>15. Candidate dossier template</w:t>
      </w:r>
    </w:p>
    <w:p>
      <w:r>
        <w:t>A candidate cannot be promoted unless a one- or two-page dossier answers all of the following in concrete terms.</w:t>
      </w:r>
    </w:p>
    <w:p>
      <w:pPr>
        <w:spacing w:after="60"/>
        <w:ind w:left="173" w:hanging="173"/>
      </w:pPr>
      <w:r>
        <w:t xml:space="preserve">1. </w:t>
      </w:r>
      <w:r>
        <w:t>Exact theorem statement, including parameter ranges and asymptotic quantifiers.</w:t>
      </w:r>
    </w:p>
    <w:p>
      <w:pPr>
        <w:spacing w:after="60"/>
        <w:ind w:left="173" w:hanging="173"/>
      </w:pPr>
      <w:r>
        <w:t xml:space="preserve">2. </w:t>
      </w:r>
      <w:r>
        <w:t>Natural-language reason a mathematician would care, independent of Lean.</w:t>
      </w:r>
    </w:p>
    <w:p>
      <w:pPr>
        <w:spacing w:after="60"/>
        <w:ind w:left="173" w:hanging="173"/>
      </w:pPr>
      <w:r>
        <w:t xml:space="preserve">3. </w:t>
      </w:r>
      <w:r>
        <w:t>Exact source facts from 63/71/73/74 that motivate it.</w:t>
      </w:r>
    </w:p>
    <w:p>
      <w:pPr>
        <w:spacing w:after="60"/>
        <w:ind w:left="173" w:hanging="173"/>
      </w:pPr>
      <w:r>
        <w:t xml:space="preserve">4. </w:t>
      </w:r>
      <w:r>
        <w:t>The missing edge: one sentence explaining what existing theory does not already supply.</w:t>
      </w:r>
    </w:p>
    <w:p>
      <w:pPr>
        <w:spacing w:after="60"/>
        <w:ind w:left="173" w:hanging="173"/>
      </w:pPr>
      <w:r>
        <w:t xml:space="preserve">5. </w:t>
      </w:r>
      <w:r>
        <w:t>Smallest known counterexample search space and results.</w:t>
      </w:r>
    </w:p>
    <w:p>
      <w:pPr>
        <w:spacing w:after="60"/>
        <w:ind w:left="173" w:hanging="173"/>
      </w:pPr>
      <w:r>
        <w:t xml:space="preserve">6. </w:t>
      </w:r>
      <w:r>
        <w:t>ANTEDB closure result and exact snapshot used.</w:t>
      </w:r>
    </w:p>
    <w:p>
      <w:pPr>
        <w:spacing w:after="60"/>
        <w:ind w:left="173" w:hanging="173"/>
      </w:pPr>
      <w:r>
        <w:t xml:space="preserve">7. </w:t>
      </w:r>
      <w:r>
        <w:t>Strongest prior theorem and attempted routine derivation.</w:t>
      </w:r>
    </w:p>
    <w:p>
      <w:pPr>
        <w:spacing w:after="60"/>
        <w:ind w:left="173" w:hanging="173"/>
      </w:pPr>
      <w:r>
        <w:t xml:space="preserve">8. </w:t>
      </w:r>
      <w:r>
        <w:t>Equivalent mathematical formulations searched.</w:t>
      </w:r>
    </w:p>
    <w:p>
      <w:pPr>
        <w:spacing w:after="60"/>
        <w:ind w:left="173" w:hanging="173"/>
      </w:pPr>
      <w:r>
        <w:t xml:space="preserve">9. </w:t>
      </w:r>
      <w:r>
        <w:t>Historical/current literature search log.</w:t>
      </w:r>
    </w:p>
    <w:p>
      <w:pPr>
        <w:spacing w:after="60"/>
        <w:ind w:left="173" w:hanging="173"/>
      </w:pPr>
      <w:r>
        <w:t xml:space="preserve">10. </w:t>
      </w:r>
      <w:r>
        <w:t>The non-routine proof step that appears necessary.</w:t>
      </w:r>
    </w:p>
    <w:p>
      <w:pPr>
        <w:spacing w:after="60"/>
        <w:ind w:left="173" w:hanging="173"/>
      </w:pPr>
      <w:r>
        <w:t xml:space="preserve">11. </w:t>
      </w:r>
      <w:r>
        <w:t>Why that step is not merely absent from the database but absent from the known theory.</w:t>
      </w:r>
    </w:p>
    <w:p>
      <w:pPr>
        <w:spacing w:after="60"/>
        <w:ind w:left="173" w:hanging="173"/>
      </w:pPr>
      <w:r>
        <w:t xml:space="preserve">12. </w:t>
      </w:r>
      <w:r>
        <w:t>Proposed Lean falsification test.</w:t>
      </w:r>
    </w:p>
    <w:p>
      <w:pPr>
        <w:spacing w:after="60"/>
        <w:ind w:left="173" w:hanging="173"/>
      </w:pPr>
      <w:r>
        <w:t xml:space="preserve">13. </w:t>
      </w:r>
      <w:r>
        <w:t>Promotion recommendation: reject, retain exploratory, candidate, or research target.</w:t>
      </w:r>
    </w:p>
    <w:p>
      <w:pPr>
        <w:pStyle w:val="Heading1"/>
      </w:pPr>
      <w:r>
        <w:t>16. Success criteria</w:t>
      </w:r>
    </w:p>
    <w:p>
      <w:r>
        <w:t>INFERENCE succeeds if it improves the quality of theorem selection, even if it produces no new theorem. A disciplined negative outcome is better than a large formal proof of routine mathematics.</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4939"/>
        <w:gridCol w:w="4939"/>
      </w:tblGrid>
      <w:tr>
        <w:trPr>
          <w:tblHeader w:val="true"/>
        </w:trPr>
        <w:tc>
          <w:tcPr>
            <w:tcW w:type="dxa" w:w="3816"/>
            <w:shd w:fill="17365D"/>
            <w:tcMar>
              <w:top w:w="90" w:type="dxa"/>
              <w:start w:w="100" w:type="dxa"/>
              <w:bottom w:w="90" w:type="dxa"/>
              <w:end w:w="100" w:type="dxa"/>
            </w:tcMar>
          </w:tcPr>
          <w:p>
            <w:pPr>
              <w:jc w:val="left"/>
            </w:pPr>
            <w:r>
              <w:rPr>
                <w:b/>
                <w:color w:val="FFFFFF"/>
                <w:sz w:val="18"/>
              </w:rPr>
              <w:t>Outcome</w:t>
            </w:r>
          </w:p>
        </w:tc>
        <w:tc>
          <w:tcPr>
            <w:tcW w:type="dxa" w:w="6192"/>
            <w:shd w:fill="17365D"/>
            <w:tcMar>
              <w:top w:w="90" w:type="dxa"/>
              <w:start w:w="100" w:type="dxa"/>
              <w:bottom w:w="90" w:type="dxa"/>
              <w:end w:w="100" w:type="dxa"/>
            </w:tcMar>
          </w:tcPr>
          <w:p>
            <w:pPr>
              <w:jc w:val="left"/>
            </w:pPr>
            <w:r>
              <w:rPr>
                <w:b/>
                <w:color w:val="FFFFFF"/>
                <w:sz w:val="18"/>
              </w:rPr>
              <w:t>Assessment</w:t>
            </w:r>
          </w:p>
        </w:tc>
      </w:tr>
      <w:tr>
        <w:tc>
          <w:tcPr>
            <w:tcW w:type="dxa" w:w="3816"/>
            <w:tcMar>
              <w:top w:w="90" w:type="dxa"/>
              <w:start w:w="100" w:type="dxa"/>
              <w:bottom w:w="90" w:type="dxa"/>
              <w:end w:w="100" w:type="dxa"/>
            </w:tcMar>
            <w:vAlign w:val="top"/>
          </w:tcPr>
          <w:p>
            <w:pPr>
              <w:spacing w:after="0"/>
            </w:pPr>
            <w:r>
              <w:rPr>
                <w:sz w:val="17"/>
              </w:rPr>
              <w:t>A candidate is found to be false quickly.</w:t>
            </w:r>
          </w:p>
        </w:tc>
        <w:tc>
          <w:tcPr>
            <w:tcW w:type="dxa" w:w="6192"/>
            <w:tcMar>
              <w:top w:w="90" w:type="dxa"/>
              <w:start w:w="100" w:type="dxa"/>
              <w:bottom w:w="90" w:type="dxa"/>
              <w:end w:w="100" w:type="dxa"/>
            </w:tcMar>
            <w:vAlign w:val="top"/>
          </w:tcPr>
          <w:p>
            <w:pPr>
              <w:spacing w:after="0"/>
            </w:pPr>
            <w:r>
              <w:rPr>
                <w:sz w:val="17"/>
              </w:rPr>
              <w:t>Success: counterexample machinery prevented a token furnace.</w:t>
            </w:r>
          </w:p>
        </w:tc>
      </w:tr>
      <w:tr>
        <w:tc>
          <w:tcPr>
            <w:tcW w:type="dxa" w:w="3816"/>
            <w:tcMar>
              <w:top w:w="90" w:type="dxa"/>
              <w:start w:w="100" w:type="dxa"/>
              <w:bottom w:w="90" w:type="dxa"/>
              <w:end w:w="100" w:type="dxa"/>
            </w:tcMar>
            <w:vAlign w:val="top"/>
          </w:tcPr>
          <w:p>
            <w:pPr>
              <w:spacing w:after="0"/>
            </w:pPr>
            <w:r>
              <w:rPr>
                <w:sz w:val="17"/>
              </w:rPr>
              <w:t>A candidate is found in ANTEDB or older literature.</w:t>
            </w:r>
          </w:p>
        </w:tc>
        <w:tc>
          <w:tcPr>
            <w:tcW w:type="dxa" w:w="6192"/>
            <w:tcMar>
              <w:top w:w="90" w:type="dxa"/>
              <w:start w:w="100" w:type="dxa"/>
              <w:bottom w:w="90" w:type="dxa"/>
              <w:end w:w="100" w:type="dxa"/>
            </w:tcMar>
            <w:vAlign w:val="top"/>
          </w:tcPr>
          <w:p>
            <w:pPr>
              <w:spacing w:after="0"/>
            </w:pPr>
            <w:r>
              <w:rPr>
                <w:sz w:val="17"/>
              </w:rPr>
              <w:t>Success: novelty filter worked.</w:t>
            </w:r>
          </w:p>
        </w:tc>
      </w:tr>
      <w:tr>
        <w:tc>
          <w:tcPr>
            <w:tcW w:type="dxa" w:w="3816"/>
            <w:tcMar>
              <w:top w:w="90" w:type="dxa"/>
              <w:start w:w="100" w:type="dxa"/>
              <w:bottom w:w="90" w:type="dxa"/>
              <w:end w:w="100" w:type="dxa"/>
            </w:tcMar>
            <w:vAlign w:val="top"/>
          </w:tcPr>
          <w:p>
            <w:pPr>
              <w:spacing w:after="0"/>
            </w:pPr>
            <w:r>
              <w:rPr>
                <w:sz w:val="17"/>
              </w:rPr>
              <w:t>A candidate is an unstated but routine corollary.</w:t>
            </w:r>
          </w:p>
        </w:tc>
        <w:tc>
          <w:tcPr>
            <w:tcW w:type="dxa" w:w="6192"/>
            <w:tcMar>
              <w:top w:w="90" w:type="dxa"/>
              <w:start w:w="100" w:type="dxa"/>
              <w:bottom w:w="90" w:type="dxa"/>
              <w:end w:w="100" w:type="dxa"/>
            </w:tcMar>
            <w:vAlign w:val="top"/>
          </w:tcPr>
          <w:p>
            <w:pPr>
              <w:spacing w:after="0"/>
            </w:pPr>
            <w:r>
              <w:rPr>
                <w:sz w:val="17"/>
              </w:rPr>
              <w:t>Success: correctly demoted; may remain as formal infrastructure.</w:t>
            </w:r>
          </w:p>
        </w:tc>
      </w:tr>
      <w:tr>
        <w:tc>
          <w:tcPr>
            <w:tcW w:type="dxa" w:w="3816"/>
            <w:tcMar>
              <w:top w:w="90" w:type="dxa"/>
              <w:start w:w="100" w:type="dxa"/>
              <w:bottom w:w="90" w:type="dxa"/>
              <w:end w:w="100" w:type="dxa"/>
            </w:tcMar>
            <w:vAlign w:val="top"/>
          </w:tcPr>
          <w:p>
            <w:pPr>
              <w:spacing w:after="0"/>
            </w:pPr>
            <w:r>
              <w:rPr>
                <w:sz w:val="17"/>
              </w:rPr>
              <w:t>No candidate survives after a serious interface audit.</w:t>
            </w:r>
          </w:p>
        </w:tc>
        <w:tc>
          <w:tcPr>
            <w:tcW w:type="dxa" w:w="6192"/>
            <w:tcMar>
              <w:top w:w="90" w:type="dxa"/>
              <w:start w:w="100" w:type="dxa"/>
              <w:bottom w:w="90" w:type="dxa"/>
              <w:end w:w="100" w:type="dxa"/>
            </w:tcMar>
            <w:vAlign w:val="top"/>
          </w:tcPr>
          <w:p>
            <w:pPr>
              <w:spacing w:after="0"/>
            </w:pPr>
            <w:r>
              <w:rPr>
                <w:sz w:val="17"/>
              </w:rPr>
              <w:t>Valid result: the four-node closure may be more mature than expected.</w:t>
            </w:r>
          </w:p>
        </w:tc>
      </w:tr>
      <w:tr>
        <w:tc>
          <w:tcPr>
            <w:tcW w:type="dxa" w:w="3816"/>
            <w:tcMar>
              <w:top w:w="90" w:type="dxa"/>
              <w:start w:w="100" w:type="dxa"/>
              <w:bottom w:w="90" w:type="dxa"/>
              <w:end w:w="100" w:type="dxa"/>
            </w:tcMar>
            <w:vAlign w:val="top"/>
          </w:tcPr>
          <w:p>
            <w:pPr>
              <w:spacing w:after="0"/>
            </w:pPr>
            <w:r>
              <w:rPr>
                <w:sz w:val="17"/>
              </w:rPr>
              <w:t>A natural candidate survives and requires a clearly non-routine lemma.</w:t>
            </w:r>
          </w:p>
        </w:tc>
        <w:tc>
          <w:tcPr>
            <w:tcW w:type="dxa" w:w="6192"/>
            <w:tcMar>
              <w:top w:w="90" w:type="dxa"/>
              <w:start w:w="100" w:type="dxa"/>
              <w:bottom w:w="90" w:type="dxa"/>
              <w:end w:w="100" w:type="dxa"/>
            </w:tcMar>
            <w:vAlign w:val="top"/>
          </w:tcPr>
          <w:p>
            <w:pPr>
              <w:spacing w:after="0"/>
            </w:pPr>
            <w:r>
              <w:rPr>
                <w:sz w:val="17"/>
              </w:rPr>
              <w:t>Primary success: promote to RESEARCH TARGET.</w:t>
            </w:r>
          </w:p>
        </w:tc>
      </w:tr>
      <w:tr>
        <w:tc>
          <w:tcPr>
            <w:tcW w:type="dxa" w:w="3816"/>
            <w:tcMar>
              <w:top w:w="90" w:type="dxa"/>
              <w:start w:w="100" w:type="dxa"/>
              <w:bottom w:w="90" w:type="dxa"/>
              <w:end w:w="100" w:type="dxa"/>
            </w:tcMar>
            <w:vAlign w:val="top"/>
          </w:tcPr>
          <w:p>
            <w:pPr>
              <w:spacing w:after="0"/>
            </w:pPr>
            <w:r>
              <w:rPr>
                <w:sz w:val="17"/>
              </w:rPr>
              <w:t>A full proof survives final novelty audit.</w:t>
            </w:r>
          </w:p>
        </w:tc>
        <w:tc>
          <w:tcPr>
            <w:tcW w:type="dxa" w:w="6192"/>
            <w:tcMar>
              <w:top w:w="90" w:type="dxa"/>
              <w:start w:w="100" w:type="dxa"/>
              <w:bottom w:w="90" w:type="dxa"/>
              <w:end w:w="100" w:type="dxa"/>
            </w:tcMar>
            <w:vAlign w:val="top"/>
          </w:tcPr>
          <w:p>
            <w:pPr>
              <w:spacing w:after="0"/>
            </w:pPr>
            <w:r>
              <w:rPr>
                <w:sz w:val="17"/>
              </w:rPr>
              <w:t>Potential NOVELTY-SUPPORTED RESULT; seek external specialist challenge before strong claims.</w:t>
            </w:r>
          </w:p>
        </w:tc>
      </w:tr>
    </w:tbl>
    <w:p>
      <w:pPr>
        <w:spacing w:after="20"/>
      </w:pPr>
    </w:p>
    <w:p>
      <w:r>
        <w:t>The project should track rejection reasons. A useful funnel is not measured by how many “theorems” it generates, but by how efficiently it eliminates known, false, routine, or insignificant statements and how clearly it isolates the rare survivor.</w:t>
      </w:r>
    </w:p>
    <w:p>
      <w:pPr>
        <w:pStyle w:val="Heading1"/>
      </w:pPr>
      <w:r>
        <w:t>17. Stop conditions and anti-token-furnace rules</w:t>
      </w:r>
    </w:p>
    <w:p>
      <w:pPr>
        <w:pStyle w:val="ListBullet"/>
        <w:spacing w:after="50"/>
      </w:pPr>
      <w:r>
        <w:t>Stop a candidate immediately if an equivalent or stronger prior theorem is found.</w:t>
      </w:r>
    </w:p>
    <w:p>
      <w:pPr>
        <w:pStyle w:val="ListBullet"/>
        <w:spacing w:after="50"/>
      </w:pPr>
      <w:r>
        <w:t>Stop a candidate if its proof reduces to a short standard corollary after the strongest source theorem is identified.</w:t>
      </w:r>
    </w:p>
    <w:p>
      <w:pPr>
        <w:pStyle w:val="ListBullet"/>
        <w:spacing w:after="50"/>
      </w:pPr>
      <w:r>
        <w:t>Stop a branch if the only novelty remaining is first Lean formalization.</w:t>
      </w:r>
    </w:p>
    <w:p>
      <w:pPr>
        <w:pStyle w:val="ListBullet"/>
        <w:spacing w:after="50"/>
      </w:pPr>
      <w:r>
        <w:t>Stop open-ended classification work unless a sharp theorem statement with independent significance emerges first.</w:t>
      </w:r>
    </w:p>
    <w:p>
      <w:pPr>
        <w:pStyle w:val="ListBullet"/>
        <w:spacing w:after="50"/>
      </w:pPr>
      <w:r>
        <w:t>Stop candidate repair loops that merely add exceptions after each counterexample without revealing a coherent mechanism.</w:t>
      </w:r>
    </w:p>
    <w:p>
      <w:pPr>
        <w:pStyle w:val="ListBullet"/>
        <w:spacing w:after="50"/>
      </w:pPr>
      <w:r>
        <w:t>Do not formalize all of node 63 merely to run INFERENCE. Consume the live ANTEDB as prior art and formalize only interfaces required by a surviving candidate.</w:t>
      </w:r>
    </w:p>
    <w:p>
      <w:pPr>
        <w:pStyle w:val="ListBullet"/>
        <w:spacing w:after="50"/>
      </w:pPr>
      <w:r>
        <w:t>Do not optimize constants for their own sake. A better number is a research target only if it is not already algorithmically forced by existing relations and changes a meaningful theorem.</w:t>
      </w:r>
    </w:p>
    <w:p>
      <w:pPr>
        <w:pStyle w:val="ListBullet"/>
        <w:spacing w:after="50"/>
      </w:pPr>
      <w:r>
        <w:t>Do not infer novelty from repository uniqueness, proof-assistant uniqueness, or absence of exact wording in search results.</w:t>
      </w:r>
    </w:p>
    <w:p>
      <w:pPr>
        <w:pStyle w:val="Heading1"/>
      </w:pPr>
      <w:r>
        <w:t>18. Promotion out of Investigations</w:t>
      </w:r>
    </w:p>
    <w:p>
      <w:r>
        <w:t>An INFERENCE candidate may leave the exploratory Investigations area only when all of the following are true:</w:t>
      </w:r>
    </w:p>
    <w:p>
      <w:pPr>
        <w:pStyle w:val="ListBullet"/>
        <w:spacing w:after="50"/>
      </w:pPr>
      <w:r>
        <w:t>The exact theorem statement is stable.</w:t>
      </w:r>
    </w:p>
    <w:p>
      <w:pPr>
        <w:pStyle w:val="ListBullet"/>
        <w:spacing w:after="50"/>
      </w:pPr>
      <w:r>
        <w:t>Serious counterexample testing has not killed it.</w:t>
      </w:r>
    </w:p>
    <w:p>
      <w:pPr>
        <w:pStyle w:val="ListBullet"/>
        <w:spacing w:after="50"/>
      </w:pPr>
      <w:r>
        <w:t>Current ANTEDB does not already derive it from the same or weaker hypotheses.</w:t>
      </w:r>
    </w:p>
    <w:p>
      <w:pPr>
        <w:pStyle w:val="ListBullet"/>
        <w:spacing w:after="50"/>
      </w:pPr>
      <w:r>
        <w:t>No equivalent or stronger theorem has been found in targeted historical/current literature search.</w:t>
      </w:r>
    </w:p>
    <w:p>
      <w:pPr>
        <w:pStyle w:val="ListBullet"/>
        <w:spacing w:after="50"/>
      </w:pPr>
      <w:r>
        <w:t>The proof does not collapse to an immediate consequence of a known classification, transfer, or optimization theorem.</w:t>
      </w:r>
    </w:p>
    <w:p>
      <w:pPr>
        <w:pStyle w:val="ListBullet"/>
        <w:spacing w:after="50"/>
      </w:pPr>
      <w:r>
        <w:t>A substantive non-routine mathematical step has been identified.</w:t>
      </w:r>
    </w:p>
    <w:p>
      <w:pPr>
        <w:pStyle w:val="ListBullet"/>
        <w:spacing w:after="50"/>
      </w:pPr>
      <w:r>
        <w:t>The theorem has a clear mathematical reason to matter without reference to Lean.</w:t>
      </w:r>
    </w:p>
    <w:p>
      <w:pPr>
        <w:pStyle w:val="ListBullet"/>
        <w:spacing w:after="50"/>
      </w:pPr>
      <w:r>
        <w:t>A small Lean probe confirms that the formal statement matches the intended mathematics and does not hide impossible assumptions.</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50" w:type="dxa"/>
              <w:bottom w:w="130" w:type="dxa"/>
              <w:end w:w="150" w:type="dxa"/>
            </w:tcMar>
          </w:tcPr>
          <w:p>
            <w:pPr>
              <w:pStyle w:val="CalloutText"/>
            </w:pPr>
            <w:r>
              <w:rPr>
                <w:b/>
                <w:color w:val="17365D"/>
              </w:rPr>
              <w:t>Promotion label</w:t>
            </w:r>
            <w:r>
              <w:br/>
              <w:t>Passing these tests earns RESEARCH TARGET status, not a claim of novelty. “New” remains reserved for the post-proof novelty audit and external challenge.</w:t>
            </w:r>
          </w:p>
        </w:tc>
      </w:tr>
    </w:tbl>
    <w:p>
      <w:pPr>
        <w:spacing w:after="0"/>
      </w:pPr>
    </w:p>
    <w:p>
      <w:pPr>
        <w:pStyle w:val="Heading1"/>
      </w:pPr>
      <w:r>
        <w:t>19. Recommended investigation artifacts</w:t>
      </w:r>
    </w:p>
    <w:p>
      <w:r>
        <w:t>If this agenda is operationalized as a folder, keep the artifacts small and role-separated. Do not recreate a release package before a research target exists.</w:t>
      </w:r>
    </w:p>
    <w:tbl>
      <w:tblPr>
        <w:tblStyle w:val="TableGrid"/>
        <w:tblW w:type="auto" w:w="0"/>
        <w:jc w:val="center"/>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4939"/>
        <w:gridCol w:w="4939"/>
      </w:tblGrid>
      <w:tr>
        <w:trPr>
          <w:tblHeader w:val="true"/>
        </w:trPr>
        <w:tc>
          <w:tcPr>
            <w:tcW w:type="dxa" w:w="3096"/>
            <w:shd w:fill="17365D"/>
            <w:tcMar>
              <w:top w:w="90" w:type="dxa"/>
              <w:start w:w="100" w:type="dxa"/>
              <w:bottom w:w="90" w:type="dxa"/>
              <w:end w:w="100" w:type="dxa"/>
            </w:tcMar>
          </w:tcPr>
          <w:p>
            <w:pPr>
              <w:jc w:val="left"/>
            </w:pPr>
            <w:r>
              <w:rPr>
                <w:b/>
                <w:color w:val="FFFFFF"/>
                <w:sz w:val="18"/>
              </w:rPr>
              <w:t>Artifact</w:t>
            </w:r>
          </w:p>
        </w:tc>
        <w:tc>
          <w:tcPr>
            <w:tcW w:type="dxa" w:w="6912"/>
            <w:shd w:fill="17365D"/>
            <w:tcMar>
              <w:top w:w="90" w:type="dxa"/>
              <w:start w:w="100" w:type="dxa"/>
              <w:bottom w:w="90" w:type="dxa"/>
              <w:end w:w="100" w:type="dxa"/>
            </w:tcMar>
          </w:tcPr>
          <w:p>
            <w:pPr>
              <w:jc w:val="left"/>
            </w:pPr>
            <w:r>
              <w:rPr>
                <w:b/>
                <w:color w:val="FFFFFF"/>
                <w:sz w:val="18"/>
              </w:rPr>
              <w:t>Purpose</w:t>
            </w:r>
          </w:p>
        </w:tc>
      </w:tr>
      <w:tr>
        <w:tc>
          <w:tcPr>
            <w:tcW w:type="dxa" w:w="3096"/>
            <w:tcMar>
              <w:top w:w="90" w:type="dxa"/>
              <w:start w:w="100" w:type="dxa"/>
              <w:bottom w:w="90" w:type="dxa"/>
              <w:end w:w="100" w:type="dxa"/>
            </w:tcMar>
            <w:vAlign w:val="top"/>
          </w:tcPr>
          <w:p>
            <w:pPr>
              <w:spacing w:after="0"/>
            </w:pPr>
            <w:r>
              <w:rPr>
                <w:sz w:val="17"/>
              </w:rPr>
              <w:t>README.md</w:t>
            </w:r>
          </w:p>
        </w:tc>
        <w:tc>
          <w:tcPr>
            <w:tcW w:type="dxa" w:w="6912"/>
            <w:tcMar>
              <w:top w:w="90" w:type="dxa"/>
              <w:start w:w="100" w:type="dxa"/>
              <w:bottom w:w="90" w:type="dxa"/>
              <w:end w:w="100" w:type="dxa"/>
            </w:tcMar>
            <w:vAlign w:val="top"/>
          </w:tcPr>
          <w:p>
            <w:pPr>
              <w:spacing w:after="0"/>
            </w:pPr>
            <w:r>
              <w:rPr>
                <w:sz w:val="17"/>
              </w:rPr>
              <w:t>Current status, governing novelty rule, current candidate count, and next kill test.</w:t>
            </w:r>
          </w:p>
        </w:tc>
      </w:tr>
      <w:tr>
        <w:tc>
          <w:tcPr>
            <w:tcW w:type="dxa" w:w="3096"/>
            <w:tcMar>
              <w:top w:w="90" w:type="dxa"/>
              <w:start w:w="100" w:type="dxa"/>
              <w:bottom w:w="90" w:type="dxa"/>
              <w:end w:w="100" w:type="dxa"/>
            </w:tcMar>
            <w:vAlign w:val="top"/>
          </w:tcPr>
          <w:p>
            <w:pPr>
              <w:spacing w:after="0"/>
            </w:pPr>
            <w:r>
              <w:rPr>
                <w:sz w:val="17"/>
              </w:rPr>
              <w:t>INFERENCE Research Agenda.md/docx</w:t>
            </w:r>
          </w:p>
        </w:tc>
        <w:tc>
          <w:tcPr>
            <w:tcW w:type="dxa" w:w="6912"/>
            <w:tcMar>
              <w:top w:w="90" w:type="dxa"/>
              <w:start w:w="100" w:type="dxa"/>
              <w:bottom w:w="90" w:type="dxa"/>
              <w:end w:w="100" w:type="dxa"/>
            </w:tcMar>
            <w:vAlign w:val="top"/>
          </w:tcPr>
          <w:p>
            <w:pPr>
              <w:spacing w:after="0"/>
            </w:pPr>
            <w:r>
              <w:rPr>
                <w:sz w:val="17"/>
              </w:rPr>
              <w:t>This mathematical and methodological agenda.</w:t>
            </w:r>
          </w:p>
        </w:tc>
      </w:tr>
      <w:tr>
        <w:tc>
          <w:tcPr>
            <w:tcW w:type="dxa" w:w="3096"/>
            <w:tcMar>
              <w:top w:w="90" w:type="dxa"/>
              <w:start w:w="100" w:type="dxa"/>
              <w:bottom w:w="90" w:type="dxa"/>
              <w:end w:w="100" w:type="dxa"/>
            </w:tcMar>
            <w:vAlign w:val="top"/>
          </w:tcPr>
          <w:p>
            <w:pPr>
              <w:spacing w:after="0"/>
            </w:pPr>
            <w:r>
              <w:rPr>
                <w:sz w:val="17"/>
              </w:rPr>
              <w:t>Known Closure.md</w:t>
            </w:r>
          </w:p>
        </w:tc>
        <w:tc>
          <w:tcPr>
            <w:tcW w:type="dxa" w:w="6912"/>
            <w:tcMar>
              <w:top w:w="90" w:type="dxa"/>
              <w:start w:w="100" w:type="dxa"/>
              <w:bottom w:w="90" w:type="dxa"/>
              <w:end w:w="100" w:type="dxa"/>
            </w:tcMar>
            <w:vAlign w:val="top"/>
          </w:tcPr>
          <w:p>
            <w:pPr>
              <w:spacing w:after="0"/>
            </w:pPr>
            <w:r>
              <w:rPr>
                <w:sz w:val="17"/>
              </w:rPr>
              <w:t>Current routine-consequence boundary, including ANTEDB snapshot.</w:t>
            </w:r>
          </w:p>
        </w:tc>
      </w:tr>
      <w:tr>
        <w:tc>
          <w:tcPr>
            <w:tcW w:type="dxa" w:w="3096"/>
            <w:tcMar>
              <w:top w:w="90" w:type="dxa"/>
              <w:start w:w="100" w:type="dxa"/>
              <w:bottom w:w="90" w:type="dxa"/>
              <w:end w:w="100" w:type="dxa"/>
            </w:tcMar>
            <w:vAlign w:val="top"/>
          </w:tcPr>
          <w:p>
            <w:pPr>
              <w:spacing w:after="0"/>
            </w:pPr>
            <w:r>
              <w:rPr>
                <w:sz w:val="17"/>
              </w:rPr>
              <w:t>Interface Gap Ledger.md</w:t>
            </w:r>
          </w:p>
        </w:tc>
        <w:tc>
          <w:tcPr>
            <w:tcW w:type="dxa" w:w="6912"/>
            <w:tcMar>
              <w:top w:w="90" w:type="dxa"/>
              <w:start w:w="100" w:type="dxa"/>
              <w:bottom w:w="90" w:type="dxa"/>
              <w:end w:w="100" w:type="dxa"/>
            </w:tcMar>
            <w:vAlign w:val="top"/>
          </w:tcPr>
          <w:p>
            <w:pPr>
              <w:spacing w:after="0"/>
            </w:pPr>
            <w:r>
              <w:rPr>
                <w:sz w:val="17"/>
              </w:rPr>
              <w:t>Exact information-loss points across 71 -&gt; 74 -&gt; 73 and possible direct/reverse edges.</w:t>
            </w:r>
          </w:p>
        </w:tc>
      </w:tr>
      <w:tr>
        <w:tc>
          <w:tcPr>
            <w:tcW w:type="dxa" w:w="3096"/>
            <w:tcMar>
              <w:top w:w="90" w:type="dxa"/>
              <w:start w:w="100" w:type="dxa"/>
              <w:bottom w:w="90" w:type="dxa"/>
              <w:end w:w="100" w:type="dxa"/>
            </w:tcMar>
            <w:vAlign w:val="top"/>
          </w:tcPr>
          <w:p>
            <w:pPr>
              <w:spacing w:after="0"/>
            </w:pPr>
            <w:r>
              <w:rPr>
                <w:sz w:val="17"/>
              </w:rPr>
              <w:t>Candidate Ledger.md</w:t>
            </w:r>
          </w:p>
        </w:tc>
        <w:tc>
          <w:tcPr>
            <w:tcW w:type="dxa" w:w="6912"/>
            <w:tcMar>
              <w:top w:w="90" w:type="dxa"/>
              <w:start w:w="100" w:type="dxa"/>
              <w:bottom w:w="90" w:type="dxa"/>
              <w:end w:w="100" w:type="dxa"/>
            </w:tcMar>
            <w:vAlign w:val="top"/>
          </w:tcPr>
          <w:p>
            <w:pPr>
              <w:spacing w:after="0"/>
            </w:pPr>
            <w:r>
              <w:rPr>
                <w:sz w:val="17"/>
              </w:rPr>
              <w:t>All candidates, status, rejection reason, and promotion evidence.</w:t>
            </w:r>
          </w:p>
        </w:tc>
      </w:tr>
      <w:tr>
        <w:tc>
          <w:tcPr>
            <w:tcW w:type="dxa" w:w="3096"/>
            <w:tcMar>
              <w:top w:w="90" w:type="dxa"/>
              <w:start w:w="100" w:type="dxa"/>
              <w:bottom w:w="90" w:type="dxa"/>
              <w:end w:w="100" w:type="dxa"/>
            </w:tcMar>
            <w:vAlign w:val="top"/>
          </w:tcPr>
          <w:p>
            <w:pPr>
              <w:spacing w:after="0"/>
            </w:pPr>
            <w:r>
              <w:rPr>
                <w:sz w:val="17"/>
              </w:rPr>
              <w:t>Literature Audit.md</w:t>
            </w:r>
          </w:p>
        </w:tc>
        <w:tc>
          <w:tcPr>
            <w:tcW w:type="dxa" w:w="6912"/>
            <w:tcMar>
              <w:top w:w="90" w:type="dxa"/>
              <w:start w:w="100" w:type="dxa"/>
              <w:bottom w:w="90" w:type="dxa"/>
              <w:end w:w="100" w:type="dxa"/>
            </w:tcMar>
            <w:vAlign w:val="top"/>
          </w:tcPr>
          <w:p>
            <w:pPr>
              <w:spacing w:after="0"/>
            </w:pPr>
            <w:r>
              <w:rPr>
                <w:sz w:val="17"/>
              </w:rPr>
              <w:t>Search terms, sources, stronger-theorem comparisons, backward/forward citations.</w:t>
            </w:r>
          </w:p>
        </w:tc>
      </w:tr>
      <w:tr>
        <w:tc>
          <w:tcPr>
            <w:tcW w:type="dxa" w:w="3096"/>
            <w:tcMar>
              <w:top w:w="90" w:type="dxa"/>
              <w:start w:w="100" w:type="dxa"/>
              <w:bottom w:w="90" w:type="dxa"/>
              <w:end w:w="100" w:type="dxa"/>
            </w:tcMar>
            <w:vAlign w:val="top"/>
          </w:tcPr>
          <w:p>
            <w:pPr>
              <w:spacing w:after="0"/>
            </w:pPr>
            <w:r>
              <w:rPr>
                <w:sz w:val="17"/>
              </w:rPr>
              <w:t>Counterexamples/</w:t>
            </w:r>
          </w:p>
        </w:tc>
        <w:tc>
          <w:tcPr>
            <w:tcW w:type="dxa" w:w="6912"/>
            <w:tcMar>
              <w:top w:w="90" w:type="dxa"/>
              <w:start w:w="100" w:type="dxa"/>
              <w:bottom w:w="90" w:type="dxa"/>
              <w:end w:w="100" w:type="dxa"/>
            </w:tcMar>
            <w:vAlign w:val="top"/>
          </w:tcPr>
          <w:p>
            <w:pPr>
              <w:spacing w:after="0"/>
            </w:pPr>
            <w:r>
              <w:rPr>
                <w:sz w:val="17"/>
              </w:rPr>
              <w:t>Small exact examples, failed conjectures, and Lean regression probes.</w:t>
            </w:r>
          </w:p>
        </w:tc>
      </w:tr>
      <w:tr>
        <w:tc>
          <w:tcPr>
            <w:tcW w:type="dxa" w:w="3096"/>
            <w:tcMar>
              <w:top w:w="90" w:type="dxa"/>
              <w:start w:w="100" w:type="dxa"/>
              <w:bottom w:w="90" w:type="dxa"/>
              <w:end w:w="100" w:type="dxa"/>
            </w:tcMar>
            <w:vAlign w:val="top"/>
          </w:tcPr>
          <w:p>
            <w:pPr>
              <w:spacing w:after="0"/>
            </w:pPr>
            <w:r>
              <w:rPr>
                <w:sz w:val="17"/>
              </w:rPr>
              <w:t>LeanProbes/</w:t>
            </w:r>
          </w:p>
        </w:tc>
        <w:tc>
          <w:tcPr>
            <w:tcW w:type="dxa" w:w="6912"/>
            <w:tcMar>
              <w:top w:w="90" w:type="dxa"/>
              <w:start w:w="100" w:type="dxa"/>
              <w:bottom w:w="90" w:type="dxa"/>
              <w:end w:w="100" w:type="dxa"/>
            </w:tcMar>
            <w:vAlign w:val="top"/>
          </w:tcPr>
          <w:p>
            <w:pPr>
              <w:spacing w:after="0"/>
            </w:pPr>
            <w:r>
              <w:rPr>
                <w:sz w:val="17"/>
              </w:rPr>
              <w:t>Cheap formal experiments only until a candidate reaches RESEARCH TARGET.</w:t>
            </w:r>
          </w:p>
        </w:tc>
      </w:tr>
    </w:tbl>
    <w:p>
      <w:pPr>
        <w:spacing w:after="20"/>
      </w:pPr>
    </w:p>
    <w:p>
      <w:pPr>
        <w:pStyle w:val="Heading1"/>
      </w:pPr>
      <w:r>
        <w:t>20. Priority order</w:t>
      </w:r>
    </w:p>
    <w:p>
      <w:r>
        <w:t>The immediate priority is not to “finish node 63” for its own sake. The priority is to make the novelty filter operational while node 73 matures, because the completed node 71/74 chain and the active Tao consumer already expose concrete interfaces.</w:t>
      </w:r>
    </w:p>
    <w:p>
      <w:pPr>
        <w:spacing w:after="60"/>
        <w:ind w:left="173" w:hanging="173"/>
      </w:pPr>
      <w:r>
        <w:t xml:space="preserve">1. </w:t>
      </w:r>
      <w:r>
        <w:rPr>
          <w:b/>
        </w:rPr>
        <w:t xml:space="preserve">First: </w:t>
      </w:r>
      <w:r>
        <w:t>freeze the current ANTEDB baseline and construct the Known Closure relevant to nodes 71/74/73.</w:t>
      </w:r>
    </w:p>
    <w:p>
      <w:pPr>
        <w:spacing w:after="60"/>
        <w:ind w:left="173" w:hanging="173"/>
      </w:pPr>
      <w:r>
        <w:t xml:space="preserve">2. </w:t>
      </w:r>
      <w:r>
        <w:rPr>
          <w:b/>
        </w:rPr>
        <w:t xml:space="preserve">Second: </w:t>
      </w:r>
      <w:r>
        <w:t>perform the 71 -&gt; 74 and 74 -&gt; 73 information-loss audits.</w:t>
      </w:r>
    </w:p>
    <w:p>
      <w:pPr>
        <w:spacing w:after="60"/>
        <w:ind w:left="173" w:hanging="173"/>
      </w:pPr>
      <w:r>
        <w:t xml:space="preserve">3. </w:t>
      </w:r>
      <w:r>
        <w:rPr>
          <w:b/>
        </w:rPr>
        <w:t xml:space="preserve">Third: </w:t>
      </w:r>
      <w:r>
        <w:t>generate a deliberately small candidate queue from concrete interface gaps.</w:t>
      </w:r>
    </w:p>
    <w:p>
      <w:pPr>
        <w:spacing w:after="60"/>
        <w:ind w:left="173" w:hanging="173"/>
      </w:pPr>
      <w:r>
        <w:t xml:space="preserve">4. </w:t>
      </w:r>
      <w:r>
        <w:rPr>
          <w:b/>
        </w:rPr>
        <w:t xml:space="preserve">Fourth: </w:t>
      </w:r>
      <w:r>
        <w:t>kill candidates using ANTEDB, literature, stronger-theorem search, counterexamples, and concise conventional proof attempts.</w:t>
      </w:r>
    </w:p>
    <w:p>
      <w:pPr>
        <w:spacing w:after="60"/>
        <w:ind w:left="173" w:hanging="173"/>
      </w:pPr>
      <w:r>
        <w:t xml:space="preserve">5. </w:t>
      </w:r>
      <w:r>
        <w:rPr>
          <w:b/>
        </w:rPr>
        <w:t xml:space="preserve">Fifth: </w:t>
      </w:r>
      <w:r>
        <w:t>use Lean aggressively only on survivors or on cheap falsification probes.</w:t>
      </w:r>
    </w:p>
    <w:p>
      <w:pPr>
        <w:spacing w:after="60"/>
        <w:ind w:left="173" w:hanging="173"/>
      </w:pPr>
      <w:r>
        <w:t xml:space="preserve">6. </w:t>
      </w:r>
      <w:r>
        <w:rPr>
          <w:b/>
        </w:rPr>
        <w:t xml:space="preserve">Sixth: </w:t>
      </w:r>
      <w:r>
        <w:t>promote at most the rare candidate that exhibits a natural missing edge and a non-routine proof burden.</w:t>
      </w:r>
    </w:p>
    <w:p>
      <w:pPr>
        <w:pStyle w:val="Heading1"/>
      </w:pPr>
      <w:r>
        <w:t>21. Deliberate non-claims</w:t>
      </w:r>
    </w:p>
    <w:p>
      <w:r>
        <w:t>This agenda does not claim:</w:t>
      </w:r>
    </w:p>
    <w:p>
      <w:pPr>
        <w:pStyle w:val="ListBullet"/>
        <w:spacing w:after="50"/>
      </w:pPr>
      <w:r>
        <w:t>that nodes 63, 71, 73, and 74 already imply a mathematically new theorem;</w:t>
      </w:r>
    </w:p>
    <w:p>
      <w:pPr>
        <w:pStyle w:val="ListBullet"/>
        <w:spacing w:after="50"/>
      </w:pPr>
      <w:r>
        <w:t>that formal integration is itself a mathematical discovery;</w:t>
      </w:r>
    </w:p>
    <w:p>
      <w:pPr>
        <w:pStyle w:val="ListBullet"/>
        <w:spacing w:after="50"/>
      </w:pPr>
      <w:r>
        <w:t>that a result absent from ANTEDB is absent from the literature;</w:t>
      </w:r>
    </w:p>
    <w:p>
      <w:pPr>
        <w:pStyle w:val="ListBullet"/>
        <w:spacing w:after="50"/>
      </w:pPr>
      <w:r>
        <w:t>that ANTEDB exhausts all routine analytic-number-theory consequences;</w:t>
      </w:r>
    </w:p>
    <w:p>
      <w:pPr>
        <w:pStyle w:val="ListBullet"/>
        <w:spacing w:after="50"/>
      </w:pPr>
      <w:r>
        <w:t>that a surviving candidate is new before a post-proof novelty audit;</w:t>
      </w:r>
    </w:p>
    <w:p>
      <w:pPr>
        <w:pStyle w:val="ListBullet"/>
        <w:spacing w:after="50"/>
      </w:pPr>
      <w:r>
        <w:t>that a theorem is important merely because it is close to the Riemann Hypothesis;</w:t>
      </w:r>
    </w:p>
    <w:p>
      <w:pPr>
        <w:pStyle w:val="ListBullet"/>
        <w:spacing w:after="50"/>
      </w:pPr>
      <w:r>
        <w:t>that this investigation provides a route to the Riemann Hypothesis.</w:t>
      </w:r>
    </w:p>
    <w:p>
      <w:pPr>
        <w:pStyle w:val="Heading1"/>
      </w:pPr>
      <w:r>
        <w:t>22. Source anchors and freshness record</w:t>
      </w:r>
    </w:p>
    <w:p>
      <w:r>
        <w:t>The agenda was rebuilt against the live repository and current external sources on 8 September 2026. The following anchors define the starting state. They are not an exhaustive literature audit for any future candidate theorem.</w:t>
      </w:r>
    </w:p>
    <w:p>
      <w:pPr>
        <w:spacing w:after="100"/>
      </w:pPr>
      <w:r>
        <w:rPr>
          <w:b/>
        </w:rPr>
        <w:t xml:space="preserve">[R1] Local repository, node 71 </w:t>
      </w:r>
      <w:r>
        <w:t>Guth-Maynard formalization, Riemann Zeta/9. Zero Density, Large Values and Prime Transfer/71 Guth-Maynard, 2026. Public repository: https://github.com/smccolm/Lean</w:t>
      </w:r>
    </w:p>
    <w:p>
      <w:pPr>
        <w:spacing w:after="100"/>
      </w:pPr>
      <w:r>
        <w:rPr>
          <w:b/>
        </w:rPr>
        <w:t xml:space="preserve">[R2] Guth and Maynard </w:t>
      </w:r>
      <w:r>
        <w:t>Larry Guth and James Maynard, “New large value estimates for Dirichlet polynomials,” arXiv:2405.20552. https://arxiv.org/abs/2405.20552</w:t>
      </w:r>
    </w:p>
    <w:p>
      <w:pPr>
        <w:spacing w:after="100"/>
      </w:pPr>
      <w:r>
        <w:rPr>
          <w:b/>
        </w:rPr>
        <w:t xml:space="preserve">[R3] Tao, Trudgian, Yang </w:t>
      </w:r>
      <w:r>
        <w:t>Terence Tao, Tim Trudgian, Andrew Yang, “New exponent pairs, zero density estimates, and zero additive energy estimates: a systematic approach,” arXiv:2501.16779. https://arxiv.org/abs/2501.16779</w:t>
      </w:r>
    </w:p>
    <w:p>
      <w:pPr>
        <w:spacing w:after="100"/>
      </w:pPr>
      <w:r>
        <w:rPr>
          <w:b/>
        </w:rPr>
        <w:t xml:space="preserve">[R4] ANTEDB live project </w:t>
      </w:r>
      <w:r>
        <w:t>Analytic Number Theory Exponent Database, live blueprint, dependency graph, executable database, and Lean project. https://teorth.github.io/expdb/ and https://github.com/teorth/expdb</w:t>
      </w:r>
    </w:p>
    <w:p>
      <w:pPr>
        <w:spacing w:after="100"/>
      </w:pPr>
      <w:r>
        <w:rPr>
          <w:b/>
        </w:rPr>
        <w:t xml:space="preserve">[R5] Gafni and Tao </w:t>
      </w:r>
      <w:r>
        <w:t>Ayla Gafni and Terence Tao, “On the number of exceptional intervals to the prime number theorem in short intervals,” arXiv:2505.24017. https://arxiv.org/abs/2505.24017</w:t>
      </w:r>
    </w:p>
    <w:p>
      <w:pPr>
        <w:spacing w:after="100"/>
      </w:pPr>
      <w:r>
        <w:rPr>
          <w:b/>
        </w:rPr>
        <w:t xml:space="preserve">[R6] Local repository, node 74 </w:t>
      </w:r>
      <w:r>
        <w:t>Completed Gafni-Tao isolated Lean release, including refined exceptional exponent and Guth-Maynard specialization. Public repository: https://github.com/smccolm/Lean</w:t>
      </w:r>
    </w:p>
    <w:p>
      <w:pPr>
        <w:spacing w:after="100"/>
      </w:pPr>
      <w:r>
        <w:rPr>
          <w:b/>
        </w:rPr>
        <w:t xml:space="preserve">[R7] Tao 2026 </w:t>
      </w:r>
      <w:r>
        <w:t>Terence Tao, “Products of consecutive integers with unusual anatomy,” arXiv:2603.27990. https://arxiv.org/abs/2603.27990</w:t>
      </w:r>
    </w:p>
    <w:p>
      <w:pPr>
        <w:spacing w:after="100"/>
      </w:pPr>
      <w:r>
        <w:rPr>
          <w:b/>
        </w:rPr>
        <w:t xml:space="preserve">[R8] Local repository, node 73 </w:t>
      </w:r>
      <w:r>
        <w:t>Active Tao 2026 formalization. Current public status records Proposition 2.3(i),(iii) milestone and the frozen node 74 dependency bridge. Public repository: https://github.com/smccolm/Lean</w:t>
      </w:r>
    </w:p>
    <w:p>
      <w:pPr>
        <w:spacing w:after="100"/>
      </w:pPr>
      <w:r>
        <w:rPr>
          <w:b/>
        </w:rPr>
        <w:t xml:space="preserve">[R9] Governing local standard </w:t>
      </w:r>
      <w:r>
        <w:t>Exploratory - Novelty and Research Standards.md, 8 September 2026. Governs novelty, counterexample, literature, significance, and promotion tests for this agenda.</w:t>
      </w:r>
    </w:p>
    <w:tbl>
      <w:tblPr>
        <w:tblW w:type="auto" w:w="0"/>
        <w:jc w:val="center"/>
        <w:tblLayout w:type="autofit"/>
        <w:tblLook w:firstColumn="1" w:firstRow="1" w:lastColumn="0" w:lastRow="0" w:noHBand="0" w:noVBand="1" w:val="04A0"/>
      </w:tblPr>
      <w:tblGrid>
        <w:gridCol w:w="9878"/>
      </w:tblGrid>
      <w:tr>
        <w:tc>
          <w:tcPr>
            <w:tcW w:type="dxa" w:w="9878"/>
            <w:shd w:fill="D9EAF7"/>
            <w:tcMar>
              <w:top w:w="130" w:type="dxa"/>
              <w:start w:w="150" w:type="dxa"/>
              <w:bottom w:w="130" w:type="dxa"/>
              <w:end w:w="150" w:type="dxa"/>
            </w:tcMar>
          </w:tcPr>
          <w:p>
            <w:pPr>
              <w:pStyle w:val="CalloutText"/>
            </w:pPr>
            <w:r>
              <w:rPr>
                <w:b/>
                <w:color w:val="17365D"/>
              </w:rPr>
              <w:t>Final governing sentence</w:t>
            </w:r>
            <w:r>
              <w:br/>
              <w:t>INFERENCE should not try to prove that a known graph has one more path. It should try to discover a natural edge that the known graph does not contain, prove that the edge is not already routine mathematics, and only then spend serious formalization effort proving it.</w:t>
            </w:r>
          </w:p>
        </w:tc>
      </w:tr>
    </w:tbl>
    <w:p>
      <w:pPr>
        <w:spacing w:after="0"/>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tabs>
        <w:tab w:pos="9072" w:val="right"/>
      </w:tabs>
      <w:jc w:val="left"/>
    </w:pPr>
    <w:r>
      <w:t>INFERENCE (63, 71, 73, 74) | Novelty-first research agenda | 2026-09-08</w:t>
    </w:r>
    <w:r>
      <w:tab/>
    </w: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ptos" w:hAnsi="Aptos"/>
      <w:b w:val="0"/>
      <w:color w:val="666666"/>
      <w:sz w:val="25"/>
    </w:rPr>
  </w:style>
  <w:style w:type="paragraph" w:customStyle="1" w:styleId="SmallNote">
    <w:name w:val="SmallNote"/>
    <w:basedOn w:val="Normal"/>
    <w:rPr>
      <w:rFonts w:ascii="Aptos" w:hAnsi="Aptos"/>
      <w:b w:val="0"/>
      <w:color w:val="666666"/>
      <w:sz w:val="17"/>
    </w:rPr>
  </w:style>
  <w:style w:type="paragraph" w:customStyle="1" w:styleId="Equation">
    <w:name w:val="Equation"/>
    <w:basedOn w:val="Normal"/>
    <w:pPr>
      <w:spacing w:before="100" w:after="140"/>
      <w:ind w:left="504"/>
    </w:pPr>
    <w:rPr>
      <w:rFonts w:ascii="Cambria Math" w:hAnsi="Cambria Math"/>
      <w:b w:val="0"/>
      <w:color w:val="222222"/>
      <w:sz w:val="21"/>
    </w:rPr>
  </w:style>
  <w:style w:type="paragraph" w:customStyle="1" w:styleId="CalloutText">
    <w:name w:val="CalloutText"/>
    <w:basedOn w:val="Normal"/>
    <w:rPr>
      <w:rFonts w:ascii="Aptos" w:hAnsi="Aptos"/>
      <w:b w:val="0"/>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(63, 71, 73, 74) - Novelty-First Research Agenda</dc:title>
  <dc:subject>Exploratory analytic number theory research agenda governed by strict novelty standards</dc:subject>
  <dc:creator>OpenAI / research drafting assistance</dc:creator>
  <cp:keywords>Riemann zeta, ANTEDB, Guth-Maynard, Gafni-Tao, Tao 2026, Lean, novelty, research agenda</cp:keywords>
  <dc:description>generated by python-docx</dc:description>
  <cp:lastModifiedBy/>
  <cp:revision>1</cp:revision>
  <dcterms:created xsi:type="dcterms:W3CDTF">2013-12-23T23:15:00Z</dcterms:created>
  <dcterms:modified xsi:type="dcterms:W3CDTF">2013-12-23T23:15:00Z</dcterms:modified>
  <cp:category/>
</cp:coreProperties>
</file>