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t xml:space="preserve">The</w:t>
      </w:r>
      <w:r>
        <w:t xml:space="preserve"> </w:t>
      </w:r>
      <w:r>
        <w:t xml:space="preserve">RH</w:t>
      </w:r>
      <w:r>
        <w:t xml:space="preserve"> </w:t>
      </w:r>
      <w:r>
        <w:t xml:space="preserve">Map</w:t>
      </w:r>
      <w:r>
        <w:t xml:space="preserve"> </w:t>
      </w:r>
      <w:r>
        <w:t xml:space="preserve">-</w:t>
      </w:r>
      <w:r>
        <w:t xml:space="preserve"> </w:t>
      </w:r>
      <w:r>
        <w:t xml:space="preserve">Aug</w:t>
      </w:r>
      <w:r>
        <w:t xml:space="preserve"> </w:t>
      </w:r>
      <w:r>
        <w:t xml:space="preserve">30,</w:t>
      </w:r>
      <w:r>
        <w:t xml:space="preserve"> </w:t>
      </w:r>
      <w:r>
        <w:t xml:space="preserve">2026</w:t>
      </w:r>
      <w:r>
        <w:t xml:space="preserve"> </w:t>
      </w:r>
      <w:r>
        <w:t xml:space="preserve">-</w:t>
      </w:r>
      <w:r>
        <w:t xml:space="preserve"> </w:t>
      </w:r>
      <w:r>
        <w:t xml:space="preserve">Explanation</w:t>
      </w:r>
    </w:p>
    <w:p>
      <w:pPr>
        <w:pStyle w:val="Subtitle"/>
        <w:jc w:val="center"/>
      </w:pPr>
      <w:r>
        <w:t xml:space="preserve">A</w:t>
      </w:r>
      <w:r>
        <w:t xml:space="preserve"> </w:t>
      </w:r>
      <w:r>
        <w:t xml:space="preserve">traversal</w:t>
      </w:r>
      <w:r>
        <w:t xml:space="preserve"> </w:t>
      </w:r>
      <w:r>
        <w:t xml:space="preserve">guide</w:t>
      </w:r>
      <w:r>
        <w:t xml:space="preserve"> </w:t>
      </w:r>
      <w:r>
        <w:t xml:space="preserve">to</w:t>
      </w:r>
      <w:r>
        <w:t xml:space="preserve"> </w:t>
      </w:r>
      <w:r>
        <w:t xml:space="preserve">the</w:t>
      </w:r>
      <w:r>
        <w:t xml:space="preserve"> </w:t>
      </w:r>
      <w:r>
        <w:t xml:space="preserve">research</w:t>
      </w:r>
      <w:r>
        <w:t xml:space="preserve"> </w:t>
      </w:r>
      <w:r>
        <w:t xml:space="preserve">network</w:t>
      </w:r>
      <w:r>
        <w:t xml:space="preserve"> </w:t>
      </w:r>
      <w:r>
        <w:t xml:space="preserve">around</w:t>
      </w:r>
      <w:r>
        <w:t xml:space="preserve"> </w:t>
      </w:r>
      <w:r>
        <w:t xml:space="preserve">the</w:t>
      </w:r>
      <w:r>
        <w:t xml:space="preserve"> </w:t>
      </w:r>
      <w:r>
        <w:t xml:space="preserve">Riemann</w:t>
      </w:r>
      <w:r>
        <w:t xml:space="preserve"> </w:t>
      </w:r>
      <w:r>
        <w:t xml:space="preserve">Hypothesis</w:t>
      </w:r>
    </w:p>
    <w:p>
      <w:pPr>
        <w:pStyle w:val="Date"/>
      </w:pPr>
      <w:r>
        <w:t xml:space="preserve">30</w:t>
      </w:r>
      <w:r>
        <w:t xml:space="preserve"> </w:t>
      </w:r>
      <w:r>
        <w:t xml:space="preserve">August</w:t>
      </w:r>
      <w:r>
        <w:t xml:space="preserve"> </w:t>
      </w:r>
      <w:r>
        <w:t xml:space="preserve">2026</w:t>
      </w:r>
    </w:p>
    <w:bookmarkStart w:id="20" w:name="how-to-use-this-document"/>
    <w:p>
      <w:pPr>
        <w:pStyle w:val="Heading1"/>
      </w:pPr>
      <w:r>
        <w:t xml:space="preserve">How to use this document</w:t>
      </w:r>
    </w:p>
    <w:p>
      <w:pPr>
        <w:pStyle w:val="FirstParagraph"/>
      </w:pPr>
      <w:r>
        <w:t xml:space="preserve">This is a guide to a network, not a linear history and not a proposed proof. The numbered references</w:t>
      </w:r>
      <w:r>
        <w:t xml:space="preserve"> </w:t>
      </w:r>
      <w:r>
        <w:rPr>
          <w:rStyle w:val="VerbatimChar"/>
        </w:rPr>
        <w:t xml:space="preserve">[1]</w:t>
      </w:r>
      <w:r>
        <w:t xml:space="preserve"> </w:t>
      </w:r>
      <w:r>
        <w:t xml:space="preserve">through</w:t>
      </w:r>
      <w:r>
        <w:t xml:space="preserve"> </w:t>
      </w:r>
      <w:r>
        <w:rPr>
          <w:rStyle w:val="VerbatimChar"/>
        </w:rPr>
        <w:t xml:space="preserve">[76]</w:t>
      </w:r>
      <w:r>
        <w:t xml:space="preserve"> </w:t>
      </w:r>
      <w:r>
        <w:t xml:space="preserve">correspond exactly to the companion bibliography. The goal is to make the arrows intelligible: what mathematical object is transferred from one node to another, whether an arrow is a theorem, an equivalence, a conditional implication, a reusable method, numerical evidence, or only an analogy.</w:t>
      </w:r>
    </w:p>
    <w:p>
      <w:pPr>
        <w:pStyle w:val="BodyText"/>
      </w:pPr>
      <w:r>
        <w:t xml:space="preserve">A useful mental model is a rail network with several transfer stations. A result can move information about the zeta function from one representation to another:</w:t>
      </w:r>
    </w:p>
    <w:p>
      <w:pPr>
        <w:pStyle w:val="Compact"/>
        <w:numPr>
          <w:ilvl w:val="0"/>
          <w:numId w:val="1001"/>
        </w:numPr>
      </w:pPr>
      <w:r>
        <w:t xml:space="preserve">zeros to primes through the explicit formula;</w:t>
      </w:r>
    </w:p>
    <w:p>
      <w:pPr>
        <w:pStyle w:val="Compact"/>
        <w:numPr>
          <w:ilvl w:val="0"/>
          <w:numId w:val="1001"/>
        </w:numPr>
      </w:pPr>
      <w:r>
        <w:t xml:space="preserve">primes back to zero statistics through variance and correlation identities;</w:t>
      </w:r>
    </w:p>
    <w:p>
      <w:pPr>
        <w:pStyle w:val="Compact"/>
        <w:numPr>
          <w:ilvl w:val="0"/>
          <w:numId w:val="1001"/>
        </w:numPr>
      </w:pPr>
      <w:r>
        <w:t xml:space="preserve">Dirichlet-polynomial large values to zero-density estimates;</w:t>
      </w:r>
    </w:p>
    <w:p>
      <w:pPr>
        <w:pStyle w:val="Compact"/>
        <w:numPr>
          <w:ilvl w:val="0"/>
          <w:numId w:val="1001"/>
        </w:numPr>
      </w:pPr>
      <w:r>
        <w:t xml:space="preserve">zero-density and zero-energy information to exceptional-set bounds for primes in short intervals;</w:t>
      </w:r>
    </w:p>
    <w:p>
      <w:pPr>
        <w:pStyle w:val="Compact"/>
        <w:numPr>
          <w:ilvl w:val="0"/>
          <w:numId w:val="1001"/>
        </w:numPr>
      </w:pPr>
      <w:r>
        <w:t xml:space="preserve">pair statistics to proportions of simple or critical zeros;</w:t>
      </w:r>
    </w:p>
    <w:p>
      <w:pPr>
        <w:pStyle w:val="Compact"/>
        <w:numPr>
          <w:ilvl w:val="0"/>
          <w:numId w:val="1001"/>
        </w:numPr>
      </w:pPr>
      <w:r>
        <w:t xml:space="preserve">positivity of a Weil-type quadratic form to RH itself;</w:t>
      </w:r>
    </w:p>
    <w:p>
      <w:pPr>
        <w:pStyle w:val="Compact"/>
        <w:numPr>
          <w:ilvl w:val="0"/>
          <w:numId w:val="1001"/>
        </w:numPr>
      </w:pPr>
      <w:r>
        <w:t xml:space="preserve">spectral self-adjointness, if the right operator existed, to a Hilbert-Pólya proof;</w:t>
      </w:r>
    </w:p>
    <w:p>
      <w:pPr>
        <w:pStyle w:val="Compact"/>
        <w:numPr>
          <w:ilvl w:val="0"/>
          <w:numId w:val="1001"/>
        </w:numPr>
      </w:pPr>
      <w:r>
        <w:t xml:space="preserve">heat flow of the xi function to the de Bruijn-Newman constant;</w:t>
      </w:r>
    </w:p>
    <w:p>
      <w:pPr>
        <w:pStyle w:val="Compact"/>
        <w:numPr>
          <w:ilvl w:val="0"/>
          <w:numId w:val="1001"/>
        </w:numPr>
      </w:pPr>
      <w:r>
        <w:t xml:space="preserve">arithmetic geometry over finite fields to a proved analogue of RH, which remains an analogy rather than a proof for the classical zeta function.</w:t>
      </w:r>
    </w:p>
    <w:p>
      <w:pPr>
        <w:pStyle w:val="FirstParagraph"/>
      </w:pPr>
      <w:r>
        <w:t xml:space="preserve">Throughout,</w:t>
      </w:r>
      <w:r>
        <w:t xml:space="preserve"> </w:t>
      </w:r>
      <w:r>
        <w:rPr>
          <w:rStyle w:val="VerbatimChar"/>
        </w:rPr>
        <w:t xml:space="preserve">theorem arrow</w:t>
      </w:r>
      <w:r>
        <w:t xml:space="preserve"> </w:t>
      </w:r>
      <w:r>
        <w:t xml:space="preserve">means a proved implication.</w:t>
      </w:r>
      <w:r>
        <w:t xml:space="preserve"> </w:t>
      </w:r>
      <w:r>
        <w:rPr>
          <w:rStyle w:val="VerbatimChar"/>
        </w:rPr>
        <w:t xml:space="preserve">iff arrow</w:t>
      </w:r>
      <w:r>
        <w:t xml:space="preserve"> </w:t>
      </w:r>
      <w:r>
        <w:t xml:space="preserve">means logical equivalence.</w:t>
      </w:r>
      <w:r>
        <w:t xml:space="preserve"> </w:t>
      </w:r>
      <w:r>
        <w:rPr>
          <w:rStyle w:val="VerbatimChar"/>
        </w:rPr>
        <w:t xml:space="preserve">conditional arrow</w:t>
      </w:r>
      <w:r>
        <w:t xml:space="preserve"> </w:t>
      </w:r>
      <w:r>
        <w:t xml:space="preserve">means a theorem whose hypothesis remains open.</w:t>
      </w:r>
      <w:r>
        <w:t xml:space="preserve"> </w:t>
      </w:r>
      <w:r>
        <w:rPr>
          <w:rStyle w:val="VerbatimChar"/>
        </w:rPr>
        <w:t xml:space="preserve">method arrow</w:t>
      </w:r>
      <w:r>
        <w:t xml:space="preserve"> </w:t>
      </w:r>
      <w:r>
        <w:t xml:space="preserve">means that later work reuses a technique or analytic input.</w:t>
      </w:r>
      <w:r>
        <w:t xml:space="preserve"> </w:t>
      </w:r>
      <w:r>
        <w:rPr>
          <w:rStyle w:val="VerbatimChar"/>
        </w:rPr>
        <w:t xml:space="preserve">evidence arrow</w:t>
      </w:r>
      <w:r>
        <w:t xml:space="preserve"> </w:t>
      </w:r>
      <w:r>
        <w:t xml:space="preserve">means numerical or statistical agreement.</w:t>
      </w:r>
      <w:r>
        <w:t xml:space="preserve"> </w:t>
      </w:r>
      <w:r>
        <w:rPr>
          <w:rStyle w:val="VerbatimChar"/>
        </w:rPr>
        <w:t xml:space="preserve">analogy arrow</w:t>
      </w:r>
      <w:r>
        <w:t xml:space="preserve"> </w:t>
      </w:r>
      <w:r>
        <w:t xml:space="preserve">means structural resemblance without a theorem connecting the endpoints.</w:t>
      </w:r>
    </w:p>
    <w:bookmarkEnd w:id="20"/>
    <w:bookmarkStart w:id="24" w:name="the-common-language"/>
    <w:p>
      <w:pPr>
        <w:pStyle w:val="Heading1"/>
      </w:pPr>
      <w:r>
        <w:t xml:space="preserve">1. The common language</w:t>
      </w:r>
    </w:p>
    <w:bookmarkStart w:id="21" w:name="the-zeta-function-and-its-completed-form"/>
    <w:p>
      <w:pPr>
        <w:pStyle w:val="Heading2"/>
      </w:pPr>
      <w:r>
        <w:t xml:space="preserve">1.1 The zeta function and its completed form</w:t>
      </w:r>
    </w:p>
    <w:p>
      <w:pPr>
        <w:pStyle w:val="FirstParagraph"/>
      </w:pPr>
      <w:r>
        <w:t xml:space="preserve">For</w:t>
      </w:r>
      <w:r>
        <w:t xml:space="preserve"> </w:t>
      </w:r>
      <m:oMath>
        <m:r>
          <m:rPr>
            <m:sty m:val="p"/>
          </m:rPr>
          <m:t>Re</m:t>
        </m:r>
        <m:d>
          <m:dPr>
            <m:begChr m:val="("/>
            <m:endChr m:val=")"/>
            <m:sepChr m:val=""/>
            <m:grow/>
          </m:dPr>
          <m:e>
            <m:r>
              <m:t>s</m:t>
            </m:r>
          </m:e>
        </m:d>
        <m:r>
          <m:rPr>
            <m:sty m:val="p"/>
          </m:rPr>
          <m:t>&gt;</m:t>
        </m:r>
        <m:r>
          <m:t>1</m:t>
        </m:r>
      </m:oMath>
      <w:r>
        <w:t xml:space="preserve">,</w:t>
      </w:r>
    </w:p>
    <w:p>
      <w:pPr>
        <w:pStyle w:val="BodyText"/>
      </w:pPr>
      <m:oMathPara>
        <m:oMathParaPr>
          <m:jc m:val="center"/>
        </m:oMathParaPr>
        <m:oMath>
          <m:r>
            <m:t>ζ</m:t>
          </m:r>
          <m:d>
            <m:dPr>
              <m:begChr m:val="("/>
              <m:endChr m:val=")"/>
              <m:sepChr m:val=""/>
              <m:grow/>
            </m:dPr>
            <m:e>
              <m:r>
                <m:t>s</m:t>
              </m:r>
            </m:e>
          </m:d>
          <m:r>
            <m:rPr>
              <m:sty m:val="p"/>
            </m:rPr>
            <m:t>=</m:t>
          </m:r>
          <m:nary>
            <m:naryPr>
              <m:chr m:val="∑"/>
              <m:limLoc m:val="undOvr"/>
              <m:subHide m:val="off"/>
              <m:supHide m:val="off"/>
            </m:naryPr>
            <m:sub>
              <m:r>
                <m:t>n</m:t>
              </m:r>
              <m:r>
                <m:rPr>
                  <m:sty m:val="p"/>
                </m:rPr>
                <m:t>=</m:t>
              </m:r>
              <m:r>
                <m:t>1</m:t>
              </m:r>
            </m:sub>
            <m:sup>
              <m:r>
                <m:rPr>
                  <m:sty m:val="p"/>
                </m:rPr>
                <m:t>∞</m:t>
              </m:r>
            </m:sup>
            <m:e>
              <m:sSup>
                <m:e>
                  <m:r>
                    <m:t>n</m:t>
                  </m:r>
                </m:e>
                <m:sup>
                  <m:r>
                    <m:rPr>
                      <m:sty m:val="p"/>
                    </m:rPr>
                    <m:t>−</m:t>
                  </m:r>
                  <m:r>
                    <m:t>s</m:t>
                  </m:r>
                </m:sup>
              </m:sSup>
            </m:e>
          </m:nary>
          <m:r>
            <m:rPr>
              <m:sty m:val="p"/>
            </m:rPr>
            <m:t>=</m:t>
          </m:r>
          <m:nary>
            <m:naryPr>
              <m:chr m:val="∏"/>
              <m:limLoc m:val="undOvr"/>
              <m:subHide m:val="off"/>
              <m:supHide m:val="on"/>
            </m:naryPr>
            <m:sub>
              <m:r>
                <m:t>p</m:t>
              </m:r>
            </m:sub>
            <m:sup>
              <m:r>
                <m:t>​</m:t>
              </m:r>
            </m:sup>
            <m:e>
              <m:sSup>
                <m:e>
                  <m:d>
                    <m:dPr>
                      <m:begChr m:val="("/>
                      <m:endChr m:val=")"/>
                      <m:sepChr m:val=""/>
                      <m:grow/>
                    </m:dPr>
                    <m:e>
                      <m:r>
                        <m:t>1</m:t>
                      </m:r>
                      <m:r>
                        <m:rPr>
                          <m:sty m:val="p"/>
                        </m:rPr>
                        <m:t>−</m:t>
                      </m:r>
                      <m:sSup>
                        <m:e>
                          <m:r>
                            <m:t>p</m:t>
                          </m:r>
                        </m:e>
                        <m:sup>
                          <m:r>
                            <m:rPr>
                              <m:sty m:val="p"/>
                            </m:rPr>
                            <m:t>−</m:t>
                          </m:r>
                          <m:r>
                            <m:t>s</m:t>
                          </m:r>
                        </m:sup>
                      </m:sSup>
                    </m:e>
                  </m:d>
                </m:e>
                <m:sup>
                  <m:r>
                    <m:rPr>
                      <m:sty m:val="p"/>
                    </m:rPr>
                    <m:t>−</m:t>
                  </m:r>
                  <m:r>
                    <m:t>1</m:t>
                  </m:r>
                </m:sup>
              </m:sSup>
            </m:e>
          </m:nary>
          <m:r>
            <m:rPr>
              <m:sty m:val="p"/>
            </m:rPr>
            <m:t>.</m:t>
          </m:r>
        </m:oMath>
      </m:oMathPara>
    </w:p>
    <w:p>
      <w:pPr>
        <w:pStyle w:val="FirstParagraph"/>
      </w:pPr>
      <w:r>
        <w:t xml:space="preserve">The Euler product is the first reason zeros and primes are inseparable. Analytic continuation and the functional equation extend the problem far beyond the half-plane where the Euler product converges. A convenient completed function is</w:t>
      </w:r>
    </w:p>
    <w:p>
      <w:pPr>
        <w:pStyle w:val="BodyText"/>
      </w:pPr>
      <m:oMathPara>
        <m:oMathParaPr>
          <m:jc m:val="center"/>
        </m:oMathParaPr>
        <m:oMath>
          <m:r>
            <m:t>ξ</m:t>
          </m:r>
          <m:d>
            <m:dPr>
              <m:begChr m:val="("/>
              <m:endChr m:val=")"/>
              <m:sepChr m:val=""/>
              <m:grow/>
            </m:dPr>
            <m:e>
              <m:r>
                <m:t>s</m:t>
              </m:r>
            </m:e>
          </m:d>
          <m:r>
            <m:rPr>
              <m:sty m:val="p"/>
            </m:rPr>
            <m:t>=</m:t>
          </m:r>
          <m:f>
            <m:fPr>
              <m:type m:val="bar"/>
            </m:fPr>
            <m:num>
              <m:r>
                <m:t>1</m:t>
              </m:r>
            </m:num>
            <m:den>
              <m:r>
                <m:t>2</m:t>
              </m:r>
            </m:den>
          </m:f>
          <m:r>
            <m:t>s</m:t>
          </m:r>
          <m:d>
            <m:dPr>
              <m:begChr m:val="("/>
              <m:endChr m:val=")"/>
              <m:sepChr m:val=""/>
              <m:grow/>
            </m:dPr>
            <m:e>
              <m:r>
                <m:t>s</m:t>
              </m:r>
              <m:r>
                <m:rPr>
                  <m:sty m:val="p"/>
                </m:rPr>
                <m:t>−</m:t>
              </m:r>
              <m:r>
                <m:t>1</m:t>
              </m:r>
            </m:e>
          </m:d>
          <m:sSup>
            <m:e>
              <m:r>
                <m:t>π</m:t>
              </m:r>
            </m:e>
            <m:sup>
              <m:r>
                <m:rPr>
                  <m:sty m:val="p"/>
                </m:rPr>
                <m:t>−</m:t>
              </m:r>
              <m:r>
                <m:t>s</m:t>
              </m:r>
              <m:r>
                <m:rPr>
                  <m:sty m:val="p"/>
                </m:rPr>
                <m:t>/</m:t>
              </m:r>
              <m:r>
                <m:t>2</m:t>
              </m:r>
            </m:sup>
          </m:sSup>
          <m:r>
            <m:t>Γ</m:t>
          </m:r>
          <m:r>
            <m:t>​</m:t>
          </m:r>
          <m:d>
            <m:dPr>
              <m:begChr m:val="("/>
              <m:endChr m:val=")"/>
              <m:sepChr m:val=""/>
              <m:grow/>
            </m:dPr>
            <m:e>
              <m:f>
                <m:fPr>
                  <m:type m:val="bar"/>
                </m:fPr>
                <m:num>
                  <m:r>
                    <m:t>s</m:t>
                  </m:r>
                </m:num>
                <m:den>
                  <m:r>
                    <m:t>2</m:t>
                  </m:r>
                </m:den>
              </m:f>
            </m:e>
          </m:d>
          <m:r>
            <m:t>ζ</m:t>
          </m:r>
          <m:d>
            <m:dPr>
              <m:begChr m:val="("/>
              <m:endChr m:val=")"/>
              <m:sepChr m:val=""/>
              <m:grow/>
            </m:dPr>
            <m:e>
              <m:r>
                <m:t>s</m:t>
              </m:r>
            </m:e>
          </m:d>
          <m:r>
            <m:rPr>
              <m:sty m:val="p"/>
            </m:rPr>
            <m:t>,</m:t>
          </m:r>
        </m:oMath>
      </m:oMathPara>
    </w:p>
    <w:p>
      <w:pPr>
        <w:pStyle w:val="FirstParagraph"/>
      </w:pPr>
      <w:r>
        <w:t xml:space="preserve">which is entire and satisfies</w:t>
      </w:r>
    </w:p>
    <w:p>
      <w:pPr>
        <w:pStyle w:val="BodyText"/>
      </w:pPr>
      <m:oMathPara>
        <m:oMathParaPr>
          <m:jc m:val="center"/>
        </m:oMathParaPr>
        <m:oMath>
          <m:r>
            <m:t>ξ</m:t>
          </m:r>
          <m:d>
            <m:dPr>
              <m:begChr m:val="("/>
              <m:endChr m:val=")"/>
              <m:sepChr m:val=""/>
              <m:grow/>
            </m:dPr>
            <m:e>
              <m:r>
                <m:t>s</m:t>
              </m:r>
            </m:e>
          </m:d>
          <m:r>
            <m:rPr>
              <m:sty m:val="p"/>
            </m:rPr>
            <m:t>=</m:t>
          </m:r>
          <m:r>
            <m:t>ξ</m:t>
          </m:r>
          <m:d>
            <m:dPr>
              <m:begChr m:val="("/>
              <m:endChr m:val=")"/>
              <m:sepChr m:val=""/>
              <m:grow/>
            </m:dPr>
            <m:e>
              <m:r>
                <m:t>1</m:t>
              </m:r>
              <m:r>
                <m:rPr>
                  <m:sty m:val="p"/>
                </m:rPr>
                <m:t>−</m:t>
              </m:r>
              <m:r>
                <m:t>s</m:t>
              </m:r>
            </m:e>
          </m:d>
          <m:r>
            <m:rPr>
              <m:sty m:val="p"/>
            </m:rPr>
            <m:t>.</m:t>
          </m:r>
        </m:oMath>
      </m:oMathPara>
    </w:p>
    <w:p>
      <w:pPr>
        <w:pStyle w:val="FirstParagraph"/>
      </w:pPr>
      <w:r>
        <w:t xml:space="preserve">The nontrivial zeros are written</w:t>
      </w:r>
    </w:p>
    <w:p>
      <w:pPr>
        <w:pStyle w:val="BodyText"/>
      </w:pPr>
      <m:oMathPara>
        <m:oMathParaPr>
          <m:jc m:val="center"/>
        </m:oMathParaPr>
        <m:oMath>
          <m:r>
            <m:t>ρ</m:t>
          </m:r>
          <m:r>
            <m:rPr>
              <m:sty m:val="p"/>
            </m:rPr>
            <m:t>=</m:t>
          </m:r>
          <m:r>
            <m:t>β</m:t>
          </m:r>
          <m:r>
            <m:rPr>
              <m:sty m:val="p"/>
            </m:rPr>
            <m:t>+</m:t>
          </m:r>
          <m:r>
            <m:t>i</m:t>
          </m:r>
          <m:r>
            <m:t>γ</m:t>
          </m:r>
          <m:r>
            <m:rPr>
              <m:sty m:val="p"/>
            </m:rPr>
            <m:t>,</m:t>
          </m:r>
        </m:oMath>
      </m:oMathPara>
    </w:p>
    <w:p>
      <w:pPr>
        <w:pStyle w:val="FirstParagraph"/>
      </w:pPr>
      <w:r>
        <w:t xml:space="preserve">with</w:t>
      </w:r>
      <w:r>
        <w:t xml:space="preserve"> </w:t>
      </w:r>
      <m:oMath>
        <m:r>
          <m:t>0</m:t>
        </m:r>
        <m:r>
          <m:rPr>
            <m:sty m:val="p"/>
          </m:rPr>
          <m:t>&lt;</m:t>
        </m:r>
        <m:r>
          <m:t>β</m:t>
        </m:r>
        <m:r>
          <m:rPr>
            <m:sty m:val="p"/>
          </m:rPr>
          <m:t>&lt;</m:t>
        </m:r>
        <m:r>
          <m:t>1</m:t>
        </m:r>
      </m:oMath>
      <w:r>
        <w:t xml:space="preserve">. The Riemann Hypothesis is</w:t>
      </w:r>
    </w:p>
    <w:p>
      <w:pPr>
        <w:pStyle w:val="BodyText"/>
      </w:pPr>
      <m:oMathPara>
        <m:oMathParaPr>
          <m:jc m:val="center"/>
        </m:oMathParaPr>
        <m:oMath>
          <m:borderBox>
            <m:e>
              <m:r>
                <m:t>β</m:t>
              </m:r>
              <m:r>
                <m:rPr>
                  <m:sty m:val="p"/>
                </m:rPr>
                <m:t>=</m:t>
              </m:r>
              <m:f>
                <m:fPr>
                  <m:type m:val="bar"/>
                </m:fPr>
                <m:num>
                  <m:r>
                    <m:t>1</m:t>
                  </m:r>
                </m:num>
                <m:den>
                  <m:r>
                    <m:t>2</m:t>
                  </m:r>
                </m:den>
              </m:f>
              <m:r>
                <m:rPr>
                  <m:nor/>
                  <m:sty m:val="p"/>
                </m:rPr>
                <m:t> for every nontrivial zero </m:t>
              </m:r>
              <m:r>
                <m:t>ρ</m:t>
              </m:r>
              <m:r>
                <m:rPr>
                  <m:sty m:val="p"/>
                </m:rPr>
                <m:t>.</m:t>
              </m:r>
            </m:e>
          </m:borderBox>
        </m:oMath>
      </m:oMathPara>
    </w:p>
    <w:p>
      <w:pPr>
        <w:pStyle w:val="FirstParagraph"/>
      </w:pPr>
      <w:r>
        <w:t xml:space="preserve">Riemann’s 1859 paper [1] supplied the object, the explicit-formula viewpoint, and the conjecture. Hadamard [2] and de la Vallée Poussin [3] established enough zero-free information on</w:t>
      </w:r>
      <w:r>
        <w:t xml:space="preserve"> </w:t>
      </w:r>
      <m:oMath>
        <m:r>
          <m:rPr>
            <m:sty m:val="p"/>
          </m:rPr>
          <m:t>Re</m:t>
        </m:r>
        <m:d>
          <m:dPr>
            <m:begChr m:val="("/>
            <m:endChr m:val=")"/>
            <m:sepChr m:val=""/>
            <m:grow/>
          </m:dPr>
          <m:e>
            <m:r>
              <m:t>s</m:t>
            </m:r>
          </m:e>
        </m:d>
        <m:r>
          <m:rPr>
            <m:sty m:val="p"/>
          </m:rPr>
          <m:t>=</m:t>
        </m:r>
        <m:r>
          <m:t>1</m:t>
        </m:r>
      </m:oMath>
      <w:r>
        <w:t xml:space="preserve"> </w:t>
      </w:r>
      <w:r>
        <w:t xml:space="preserve">to prove the prime number theorem. That already demonstrates the basic traffic rule of the network: weaker geometric information about zeros can have strong arithmetic consequences without proving RH.</w:t>
      </w:r>
    </w:p>
    <w:bookmarkEnd w:id="21"/>
    <w:bookmarkStart w:id="22" w:name="three-zero-counting-functions"/>
    <w:p>
      <w:pPr>
        <w:pStyle w:val="Heading2"/>
      </w:pPr>
      <w:r>
        <w:t xml:space="preserve">1.2 Three zero-counting functions</w:t>
      </w:r>
    </w:p>
    <w:p>
      <w:pPr>
        <w:pStyle w:val="FirstParagraph"/>
      </w:pPr>
      <w:r>
        <w:t xml:space="preserve">The ordinary zero count is</w:t>
      </w:r>
    </w:p>
    <w:p>
      <w:pPr>
        <w:pStyle w:val="BodyText"/>
      </w:pPr>
      <m:oMathPara>
        <m:oMathParaPr>
          <m:jc m:val="center"/>
        </m:oMathParaPr>
        <m:oMath>
          <m:r>
            <m:t>N</m:t>
          </m:r>
          <m:d>
            <m:dPr>
              <m:begChr m:val="("/>
              <m:endChr m:val=")"/>
              <m:sepChr m:val=""/>
              <m:grow/>
            </m:dPr>
            <m:e>
              <m:r>
                <m:t>T</m:t>
              </m:r>
            </m:e>
          </m:d>
          <m:r>
            <m:rPr>
              <m:sty m:val="p"/>
            </m:rPr>
            <m:t>=</m:t>
          </m:r>
          <m:d>
            <m:dPr>
              <m:begChr m:val="|"/>
              <m:endChr m:val="|"/>
              <m:sepChr m:val=""/>
              <m:grow/>
            </m:dPr>
            <m:e>
              <m:r>
                <m:rPr>
                  <m:sty m:val="p"/>
                </m:rPr>
                <m:t>{</m:t>
              </m:r>
              <m:r>
                <m:t>ρ</m:t>
              </m:r>
              <m:r>
                <m:rPr>
                  <m:sty m:val="p"/>
                </m:rPr>
                <m:t>:</m:t>
              </m:r>
              <m:r>
                <m:t>0</m:t>
              </m:r>
              <m:r>
                <m:rPr>
                  <m:sty m:val="p"/>
                </m:rPr>
                <m:t>&lt;</m:t>
              </m:r>
              <m:r>
                <m:t>γ</m:t>
              </m:r>
              <m:r>
                <m:rPr>
                  <m:sty m:val="p"/>
                </m:rPr>
                <m:t>≤</m:t>
              </m:r>
              <m:r>
                <m:t>T</m:t>
              </m:r>
              <m:r>
                <m:rPr>
                  <m:sty m:val="p"/>
                </m:rPr>
                <m:t>}</m:t>
              </m:r>
            </m:e>
          </m:d>
          <m:r>
            <m:rPr>
              <m:sty m:val="p"/>
            </m:rPr>
            <m:t>,</m:t>
          </m:r>
        </m:oMath>
      </m:oMathPara>
    </w:p>
    <w:p>
      <w:pPr>
        <w:pStyle w:val="FirstParagraph"/>
      </w:pPr>
      <w:r>
        <w:t xml:space="preserve">counted with multiplicity. The Riemann-von Mangoldt asymptotic is</w:t>
      </w:r>
    </w:p>
    <w:p>
      <w:pPr>
        <w:pStyle w:val="BodyText"/>
      </w:pPr>
      <m:oMathPara>
        <m:oMathParaPr>
          <m:jc m:val="center"/>
        </m:oMathParaPr>
        <m:oMath>
          <m:r>
            <m:t>N</m:t>
          </m:r>
          <m:d>
            <m:dPr>
              <m:begChr m:val="("/>
              <m:endChr m:val=")"/>
              <m:sepChr m:val=""/>
              <m:grow/>
            </m:dPr>
            <m:e>
              <m:r>
                <m:t>T</m:t>
              </m:r>
            </m:e>
          </m:d>
          <m:r>
            <m:rPr>
              <m:sty m:val="p"/>
            </m:rPr>
            <m:t>=</m:t>
          </m:r>
          <m:f>
            <m:fPr>
              <m:type m:val="bar"/>
            </m:fPr>
            <m:num>
              <m:r>
                <m:t>T</m:t>
              </m:r>
            </m:num>
            <m:den>
              <m:r>
                <m:t>2</m:t>
              </m:r>
              <m:r>
                <m:t>π</m:t>
              </m:r>
            </m:den>
          </m:f>
          <m:r>
            <m:rPr>
              <m:sty m:val="p"/>
            </m:rPr>
            <m:t>log</m:t>
          </m:r>
          <m:f>
            <m:fPr>
              <m:type m:val="bar"/>
            </m:fPr>
            <m:num>
              <m:r>
                <m:t>T</m:t>
              </m:r>
            </m:num>
            <m:den>
              <m:r>
                <m:t>2</m:t>
              </m:r>
              <m:r>
                <m:t>π</m:t>
              </m:r>
            </m:den>
          </m:f>
          <m:r>
            <m:rPr>
              <m:sty m:val="p"/>
            </m:rPr>
            <m:t>−</m:t>
          </m:r>
          <m:f>
            <m:fPr>
              <m:type m:val="bar"/>
            </m:fPr>
            <m:num>
              <m:r>
                <m:t>T</m:t>
              </m:r>
            </m:num>
            <m:den>
              <m:r>
                <m:t>2</m:t>
              </m:r>
              <m:r>
                <m:t>π</m:t>
              </m:r>
            </m:den>
          </m:f>
          <m:r>
            <m:rPr>
              <m:sty m:val="p"/>
            </m:rPr>
            <m:t>+</m:t>
          </m:r>
          <m:r>
            <m:t>O</m:t>
          </m:r>
          <m:d>
            <m:dPr>
              <m:begChr m:val="("/>
              <m:endChr m:val=")"/>
              <m:sepChr m:val=""/>
              <m:grow/>
            </m:dPr>
            <m:e>
              <m:r>
                <m:rPr>
                  <m:sty m:val="p"/>
                </m:rPr>
                <m:t>log</m:t>
              </m:r>
              <m:r>
                <m:t>T</m:t>
              </m:r>
            </m:e>
          </m:d>
          <m:r>
            <m:rPr>
              <m:sty m:val="p"/>
            </m:rPr>
            <m:t>.</m:t>
          </m:r>
        </m:oMath>
      </m:oMathPara>
    </w:p>
    <w:p>
      <w:pPr>
        <w:pStyle w:val="FirstParagraph"/>
      </w:pPr>
      <w:r>
        <w:t xml:space="preserve">The count on the critical line is often denoted</w:t>
      </w:r>
    </w:p>
    <w:p>
      <w:pPr>
        <w:pStyle w:val="BodyText"/>
      </w:pPr>
      <m:oMathPara>
        <m:oMathParaPr>
          <m:jc m:val="center"/>
        </m:oMathParaPr>
        <m:oMath>
          <m:sSub>
            <m:e>
              <m:r>
                <m:t>N</m:t>
              </m:r>
            </m:e>
            <m:sub>
              <m:r>
                <m:t>0</m:t>
              </m:r>
            </m:sub>
          </m:sSub>
          <m:d>
            <m:dPr>
              <m:begChr m:val="("/>
              <m:endChr m:val=")"/>
              <m:sepChr m:val=""/>
              <m:grow/>
            </m:dPr>
            <m:e>
              <m:r>
                <m:t>T</m:t>
              </m:r>
            </m:e>
          </m:d>
          <m:r>
            <m:rPr>
              <m:sty m:val="p"/>
            </m:rPr>
            <m:t>=</m:t>
          </m:r>
          <m:d>
            <m:dPr>
              <m:begChr m:val="|"/>
              <m:endChr m:val="|"/>
              <m:sepChr m:val=""/>
              <m:grow/>
            </m:dPr>
            <m:e>
              <m:r>
                <m:rPr>
                  <m:sty m:val="p"/>
                </m:rPr>
                <m:t>{</m:t>
              </m:r>
              <m:r>
                <m:t>ρ</m:t>
              </m:r>
              <m:r>
                <m:rPr>
                  <m:sty m:val="p"/>
                </m:rPr>
                <m:t>:</m:t>
              </m:r>
              <m:r>
                <m:t>0</m:t>
              </m:r>
              <m:r>
                <m:rPr>
                  <m:sty m:val="p"/>
                </m:rPr>
                <m:t>&lt;</m:t>
              </m:r>
              <m:r>
                <m:t>γ</m:t>
              </m:r>
              <m:r>
                <m:rPr>
                  <m:sty m:val="p"/>
                </m:rPr>
                <m:t>≤</m:t>
              </m:r>
              <m:r>
                <m:t>T</m:t>
              </m:r>
              <m:r>
                <m:rPr>
                  <m:sty m:val="p"/>
                </m:rPr>
                <m:t>,</m:t>
              </m:r>
              <m:r>
                <m:t> </m:t>
              </m:r>
              <m:r>
                <m:t>β</m:t>
              </m:r>
              <m:r>
                <m:rPr>
                  <m:sty m:val="p"/>
                </m:rPr>
                <m:t>=</m:t>
              </m:r>
              <m:r>
                <m:t>1</m:t>
              </m:r>
              <m:r>
                <m:rPr>
                  <m:sty m:val="p"/>
                </m:rPr>
                <m:t>/</m:t>
              </m:r>
              <m:r>
                <m:t>2</m:t>
              </m:r>
              <m:r>
                <m:rPr>
                  <m:sty m:val="p"/>
                </m:rPr>
                <m:t>}</m:t>
              </m:r>
            </m:e>
          </m:d>
          <m:r>
            <m:rPr>
              <m:sty m:val="p"/>
            </m:rPr>
            <m:t>.</m:t>
          </m:r>
        </m:oMath>
      </m:oMathPara>
    </w:p>
    <w:p>
      <w:pPr>
        <w:pStyle w:val="FirstParagraph"/>
      </w:pPr>
      <w:r>
        <w:t xml:space="preserve">A zero-density function is</w:t>
      </w:r>
    </w:p>
    <w:p>
      <w:pPr>
        <w:pStyle w:val="BodyText"/>
      </w:pPr>
      <m:oMathPara>
        <m:oMathParaPr>
          <m:jc m:val="center"/>
        </m:oMathParaPr>
        <m:oMath>
          <m:r>
            <m:t>N</m:t>
          </m:r>
          <m:d>
            <m:dPr>
              <m:begChr m:val="("/>
              <m:endChr m:val=")"/>
              <m:sepChr m:val=""/>
              <m:grow/>
            </m:dPr>
            <m:e>
              <m:r>
                <m:t>σ</m:t>
              </m:r>
              <m:r>
                <m:rPr>
                  <m:sty m:val="p"/>
                </m:rPr>
                <m:t>,</m:t>
              </m:r>
              <m:r>
                <m:t>T</m:t>
              </m:r>
            </m:e>
          </m:d>
          <m:r>
            <m:rPr>
              <m:sty m:val="p"/>
            </m:rPr>
            <m:t>=</m:t>
          </m:r>
          <m:d>
            <m:dPr>
              <m:begChr m:val="|"/>
              <m:endChr m:val="|"/>
              <m:sepChr m:val=""/>
              <m:grow/>
            </m:dPr>
            <m:e>
              <m:r>
                <m:rPr>
                  <m:sty m:val="p"/>
                </m:rPr>
                <m:t>{</m:t>
              </m:r>
              <m:r>
                <m:t>ρ</m:t>
              </m:r>
              <m:r>
                <m:rPr>
                  <m:sty m:val="p"/>
                </m:rPr>
                <m:t>:</m:t>
              </m:r>
              <m:r>
                <m:t>0</m:t>
              </m:r>
              <m:r>
                <m:rPr>
                  <m:sty m:val="p"/>
                </m:rPr>
                <m:t>&lt;</m:t>
              </m:r>
              <m:r>
                <m:t>γ</m:t>
              </m:r>
              <m:r>
                <m:rPr>
                  <m:sty m:val="p"/>
                </m:rPr>
                <m:t>≤</m:t>
              </m:r>
              <m:r>
                <m:t>T</m:t>
              </m:r>
              <m:r>
                <m:rPr>
                  <m:sty m:val="p"/>
                </m:rPr>
                <m:t>,</m:t>
              </m:r>
              <m:r>
                <m:t> </m:t>
              </m:r>
              <m:r>
                <m:t>β</m:t>
              </m:r>
              <m:r>
                <m:rPr>
                  <m:sty m:val="p"/>
                </m:rPr>
                <m:t>≥</m:t>
              </m:r>
              <m:r>
                <m:t>σ</m:t>
              </m:r>
              <m:r>
                <m:rPr>
                  <m:sty m:val="p"/>
                </m:rPr>
                <m:t>}</m:t>
              </m:r>
            </m:e>
          </m:d>
          <m:r>
            <m:rPr>
              <m:sty m:val="p"/>
            </m:rPr>
            <m:t>,</m:t>
          </m:r>
          <m:r>
            <m:t>  </m:t>
          </m:r>
          <m:f>
            <m:fPr>
              <m:type m:val="bar"/>
            </m:fPr>
            <m:num>
              <m:r>
                <m:t>1</m:t>
              </m:r>
            </m:num>
            <m:den>
              <m:r>
                <m:t>2</m:t>
              </m:r>
            </m:den>
          </m:f>
          <m:r>
            <m:rPr>
              <m:sty m:val="p"/>
            </m:rPr>
            <m:t>≤</m:t>
          </m:r>
          <m:r>
            <m:t>σ</m:t>
          </m:r>
          <m:r>
            <m:rPr>
              <m:sty m:val="p"/>
            </m:rPr>
            <m:t>≤</m:t>
          </m:r>
          <m:r>
            <m:t>1</m:t>
          </m:r>
          <m:r>
            <m:rPr>
              <m:sty m:val="p"/>
            </m:rPr>
            <m:t>.</m:t>
          </m:r>
        </m:oMath>
      </m:oMathPara>
    </w:p>
    <w:p>
      <w:pPr>
        <w:pStyle w:val="FirstParagraph"/>
      </w:pPr>
      <w:r>
        <w:t xml:space="preserve">These quantities answer different questions. A theorem such as</w:t>
      </w:r>
    </w:p>
    <w:p>
      <w:pPr>
        <w:pStyle w:val="BodyText"/>
      </w:pPr>
      <m:oMathPara>
        <m:oMathParaPr>
          <m:jc m:val="center"/>
        </m:oMathParaPr>
        <m:oMath>
          <m:f>
            <m:fPr>
              <m:type m:val="bar"/>
            </m:fPr>
            <m:num>
              <m:sSub>
                <m:e>
                  <m:r>
                    <m:t>N</m:t>
                  </m:r>
                </m:e>
                <m:sub>
                  <m:r>
                    <m:t>0</m:t>
                  </m:r>
                </m:sub>
              </m:sSub>
              <m:d>
                <m:dPr>
                  <m:begChr m:val="("/>
                  <m:endChr m:val=")"/>
                  <m:sepChr m:val=""/>
                  <m:grow/>
                </m:dPr>
                <m:e>
                  <m:r>
                    <m:t>T</m:t>
                  </m:r>
                </m:e>
              </m:d>
            </m:num>
            <m:den>
              <m:r>
                <m:t>N</m:t>
              </m:r>
              <m:d>
                <m:dPr>
                  <m:begChr m:val="("/>
                  <m:endChr m:val=")"/>
                  <m:sepChr m:val=""/>
                  <m:grow/>
                </m:dPr>
                <m:e>
                  <m:r>
                    <m:t>T</m:t>
                  </m:r>
                </m:e>
              </m:d>
            </m:den>
          </m:f>
          <m:r>
            <m:rPr>
              <m:sty m:val="p"/>
            </m:rPr>
            <m:t>→</m:t>
          </m:r>
          <m:r>
            <m:t>1</m:t>
          </m:r>
        </m:oMath>
      </m:oMathPara>
    </w:p>
    <w:p>
      <w:pPr>
        <w:pStyle w:val="FirstParagraph"/>
      </w:pPr>
      <w:r>
        <w:t xml:space="preserve">would say that asymptotically all zeros are on the line in a density sense, but it would still allow infinitely many off-line zeros provided they form a zero-density exceptional set. RH requires there to be</w:t>
      </w:r>
      <w:r>
        <w:t xml:space="preserve"> </w:t>
      </w:r>
      <w:r>
        <w:rPr>
          <w:b/>
          <w:bCs/>
        </w:rPr>
        <w:t xml:space="preserve">none</w:t>
      </w:r>
      <w:r>
        <w:t xml:space="preserve">. This distinction is one of the most common sources of overstatement in discussions of RH.</w:t>
      </w:r>
    </w:p>
    <w:bookmarkEnd w:id="22"/>
    <w:bookmarkStart w:id="23" w:name="X16d04b3405bfbf5c5c379b1128b53dbcbb5b52d"/>
    <w:p>
      <w:pPr>
        <w:pStyle w:val="Heading2"/>
      </w:pPr>
      <w:r>
        <w:t xml:space="preserve">1.3 The explicit formula as the central switchyard</w:t>
      </w:r>
    </w:p>
    <w:p>
      <w:pPr>
        <w:pStyle w:val="FirstParagraph"/>
      </w:pPr>
      <w:r>
        <w:t xml:space="preserve">A schematic explicit formula has the form</w:t>
      </w:r>
    </w:p>
    <w:p>
      <w:pPr>
        <w:pStyle w:val="BodyText"/>
      </w:pPr>
      <m:oMathPara>
        <m:oMathParaPr>
          <m:jc m:val="center"/>
        </m:oMathParaPr>
        <m:oMath>
          <m:r>
            <m:t>ψ</m:t>
          </m:r>
          <m:d>
            <m:dPr>
              <m:begChr m:val="("/>
              <m:endChr m:val=")"/>
              <m:sepChr m:val=""/>
              <m:grow/>
            </m:dPr>
            <m:e>
              <m:r>
                <m:t>x</m:t>
              </m:r>
            </m:e>
          </m:d>
          <m:r>
            <m:rPr>
              <m:sty m:val="p"/>
            </m:rPr>
            <m:t>=</m:t>
          </m:r>
          <m:r>
            <m:t>x</m:t>
          </m:r>
          <m:r>
            <m:rPr>
              <m:sty m:val="p"/>
            </m:rPr>
            <m:t>−</m:t>
          </m:r>
          <m:nary>
            <m:naryPr>
              <m:chr m:val="∑"/>
              <m:limLoc m:val="undOvr"/>
              <m:subHide m:val="off"/>
              <m:supHide m:val="on"/>
            </m:naryPr>
            <m:sub>
              <m:r>
                <m:t>ρ</m:t>
              </m:r>
            </m:sub>
            <m:sup>
              <m:r>
                <m:t>​</m:t>
              </m:r>
            </m:sup>
            <m:e>
              <m:f>
                <m:fPr>
                  <m:type m:val="bar"/>
                </m:fPr>
                <m:num>
                  <m:sSup>
                    <m:e>
                      <m:r>
                        <m:t>x</m:t>
                      </m:r>
                    </m:e>
                    <m:sup>
                      <m:r>
                        <m:t>ρ</m:t>
                      </m:r>
                    </m:sup>
                  </m:sSup>
                </m:num>
                <m:den>
                  <m:r>
                    <m:t>ρ</m:t>
                  </m:r>
                </m:den>
              </m:f>
            </m:e>
          </m:nary>
          <m:r>
            <m:rPr>
              <m:sty m:val="p"/>
            </m:rPr>
            <m:t>+</m:t>
          </m:r>
          <m:r>
            <m:rPr>
              <m:nor/>
              <m:sty m:val="p"/>
            </m:rPr>
            <m:t>elementary terms</m:t>
          </m:r>
          <m:r>
            <m:rPr>
              <m:sty m:val="p"/>
            </m:rPr>
            <m:t>,</m:t>
          </m:r>
        </m:oMath>
      </m:oMathPara>
    </w:p>
    <w:p>
      <w:pPr>
        <w:pStyle w:val="FirstParagraph"/>
      </w:pPr>
      <w:r>
        <w:t xml:space="preserve">where</w:t>
      </w:r>
    </w:p>
    <w:p>
      <w:pPr>
        <w:pStyle w:val="BodyText"/>
      </w:pPr>
      <m:oMathPara>
        <m:oMathParaPr>
          <m:jc m:val="center"/>
        </m:oMathParaPr>
        <m:oMath>
          <m:r>
            <m:t>ψ</m:t>
          </m:r>
          <m:d>
            <m:dPr>
              <m:begChr m:val="("/>
              <m:endChr m:val=")"/>
              <m:sepChr m:val=""/>
              <m:grow/>
            </m:dPr>
            <m:e>
              <m:r>
                <m:t>x</m:t>
              </m:r>
            </m:e>
          </m:d>
          <m:r>
            <m:rPr>
              <m:sty m:val="p"/>
            </m:rPr>
            <m:t>=</m:t>
          </m:r>
          <m:nary>
            <m:naryPr>
              <m:chr m:val="∑"/>
              <m:limLoc m:val="undOvr"/>
              <m:subHide m:val="off"/>
              <m:supHide m:val="on"/>
            </m:naryPr>
            <m:sub>
              <m:r>
                <m:t>n</m:t>
              </m:r>
              <m:r>
                <m:rPr>
                  <m:sty m:val="p"/>
                </m:rPr>
                <m:t>≤</m:t>
              </m:r>
              <m:r>
                <m:t>x</m:t>
              </m:r>
            </m:sub>
            <m:sup>
              <m:r>
                <m:t>​</m:t>
              </m:r>
            </m:sup>
            <m:e>
              <m:r>
                <m:t>Λ</m:t>
              </m:r>
            </m:e>
          </m:nary>
          <m:d>
            <m:dPr>
              <m:begChr m:val="("/>
              <m:endChr m:val=")"/>
              <m:sepChr m:val=""/>
              <m:grow/>
            </m:dPr>
            <m:e>
              <m:r>
                <m:t>n</m:t>
              </m:r>
            </m:e>
          </m:d>
          <m:r>
            <m:rPr>
              <m:sty m:val="p"/>
            </m:rPr>
            <m:t>.</m:t>
          </m:r>
        </m:oMath>
      </m:oMathPara>
    </w:p>
    <w:p>
      <w:pPr>
        <w:pStyle w:val="FirstParagraph"/>
      </w:pPr>
      <w:r>
        <w:t xml:space="preserve">This is why the map is densely connected. The same zero set that appears geometrically in the critical strip controls oscillations in prime counting. Conversely, sufficiently detailed statistics of primes can imply information about correlations between zeros. Weil’s explicit-formula framework [13], Goldston-Montgomery [26], and Gafni-Tao [74] are very different manifestations of this same transport mechanism.</w:t>
      </w:r>
    </w:p>
    <w:bookmarkEnd w:id="23"/>
    <w:bookmarkEnd w:id="24"/>
    <w:bookmarkStart w:id="27" w:name="Xd608136b011851d2cbcad34ada95dded2eebf53"/>
    <w:p>
      <w:pPr>
        <w:pStyle w:val="Heading1"/>
      </w:pPr>
      <w:r>
        <w:t xml:space="preserve">2. Corridor I: from PNT to zero-free regions and zero density</w:t>
      </w:r>
    </w:p>
    <w:p>
      <w:pPr>
        <w:pStyle w:val="FirstParagraph"/>
      </w:pPr>
      <w:r>
        <w:t xml:space="preserve">Hadamard [2] and de la Vallée Poussin [3] prove the PNT by excluding zeros on the line</w:t>
      </w:r>
      <w:r>
        <w:t xml:space="preserve"> </w:t>
      </w:r>
      <m:oMath>
        <m:r>
          <m:rPr>
            <m:sty m:val="p"/>
          </m:rPr>
          <m:t>Re</m:t>
        </m:r>
        <m:d>
          <m:dPr>
            <m:begChr m:val="("/>
            <m:endChr m:val=")"/>
            <m:sepChr m:val=""/>
            <m:grow/>
          </m:dPr>
          <m:e>
            <m:r>
              <m:t>s</m:t>
            </m:r>
          </m:e>
        </m:d>
        <m:r>
          <m:rPr>
            <m:sty m:val="p"/>
          </m:rPr>
          <m:t>=</m:t>
        </m:r>
        <m:r>
          <m:t>1</m:t>
        </m:r>
      </m:oMath>
      <w:r>
        <w:t xml:space="preserve">. They do not show that zeros sit on</w:t>
      </w:r>
      <w:r>
        <w:t xml:space="preserve"> </w:t>
      </w:r>
      <m:oMath>
        <m:r>
          <m:rPr>
            <m:sty m:val="p"/>
          </m:rPr>
          <m:t>Re</m:t>
        </m:r>
        <m:d>
          <m:dPr>
            <m:begChr m:val="("/>
            <m:endChr m:val=")"/>
            <m:sepChr m:val=""/>
            <m:grow/>
          </m:dPr>
          <m:e>
            <m:r>
              <m:t>s</m:t>
            </m:r>
          </m:e>
        </m:d>
        <m:r>
          <m:rPr>
            <m:sty m:val="p"/>
          </m:rPr>
          <m:t>=</m:t>
        </m:r>
        <m:r>
          <m:t>1</m:t>
        </m:r>
        <m:r>
          <m:rPr>
            <m:sty m:val="p"/>
          </m:rPr>
          <m:t>/</m:t>
        </m:r>
        <m:r>
          <m:t>2</m:t>
        </m:r>
      </m:oMath>
      <w:r>
        <w:t xml:space="preserve">; they show that the boundary threatening the PNT is zero-free.</w:t>
      </w:r>
    </w:p>
    <w:p>
      <w:pPr>
        <w:pStyle w:val="BodyText"/>
      </w:pPr>
      <w:r>
        <w:t xml:space="preserve">Zero-density theory asks a softer question than RH:</w:t>
      </w:r>
    </w:p>
    <w:p>
      <w:pPr>
        <w:pStyle w:val="BlockText"/>
      </w:pPr>
      <w:r>
        <w:t xml:space="preserve">How many zeros are allowed to sit to the right of a vertical line</w:t>
      </w:r>
      <w:r>
        <w:t xml:space="preserve"> </w:t>
      </w:r>
      <m:oMath>
        <m:r>
          <m:rPr>
            <m:sty m:val="p"/>
          </m:rPr>
          <m:t>Re</m:t>
        </m:r>
        <m:d>
          <m:dPr>
            <m:begChr m:val="("/>
            <m:endChr m:val=")"/>
            <m:sepChr m:val=""/>
            <m:grow/>
          </m:dPr>
          <m:e>
            <m:r>
              <m:t>s</m:t>
            </m:r>
          </m:e>
        </m:d>
        <m:r>
          <m:rPr>
            <m:sty m:val="p"/>
          </m:rPr>
          <m:t>=</m:t>
        </m:r>
        <m:r>
          <m:t>σ</m:t>
        </m:r>
      </m:oMath>
      <w:r>
        <w:t xml:space="preserve">?</w:t>
      </w:r>
    </w:p>
    <w:p>
      <w:pPr>
        <w:pStyle w:val="FirstParagraph"/>
      </w:pPr>
      <w:r>
        <w:t xml:space="preserve">The classical Ingham estimate [7] and later Huxley [19], Heath-Brown [22], Ivić [24], Kerr [51], Tao-Trudgian-Yang [63], and Guth-Maynard [71] form a long sequence of refinements. The typical output is a bound of the shape</w:t>
      </w:r>
    </w:p>
    <w:p>
      <w:pPr>
        <w:pStyle w:val="BodyText"/>
      </w:pPr>
      <m:oMathPara>
        <m:oMathParaPr>
          <m:jc m:val="center"/>
        </m:oMathParaPr>
        <m:oMath>
          <m:r>
            <m:t>N</m:t>
          </m:r>
          <m:d>
            <m:dPr>
              <m:begChr m:val="("/>
              <m:endChr m:val=")"/>
              <m:sepChr m:val=""/>
              <m:grow/>
            </m:dPr>
            <m:e>
              <m:r>
                <m:t>σ</m:t>
              </m:r>
              <m:r>
                <m:rPr>
                  <m:sty m:val="p"/>
                </m:rPr>
                <m:t>,</m:t>
              </m:r>
              <m:r>
                <m:t>T</m:t>
              </m:r>
            </m:e>
          </m:d>
          <m:r>
            <m:rPr>
              <m:sty m:val="p"/>
            </m:rPr>
            <m:t>≪</m:t>
          </m:r>
          <m:sSup>
            <m:e>
              <m:r>
                <m:t>T</m:t>
              </m:r>
            </m:e>
            <m:sup>
              <m:r>
                <m:t>A</m:t>
              </m:r>
              <m:d>
                <m:dPr>
                  <m:begChr m:val="("/>
                  <m:endChr m:val=")"/>
                  <m:sepChr m:val=""/>
                  <m:grow/>
                </m:dPr>
                <m:e>
                  <m:r>
                    <m:t>σ</m:t>
                  </m:r>
                </m:e>
              </m:d>
              <m:d>
                <m:dPr>
                  <m:begChr m:val="("/>
                  <m:endChr m:val=")"/>
                  <m:sepChr m:val=""/>
                  <m:grow/>
                </m:dPr>
                <m:e>
                  <m:r>
                    <m:t>1</m:t>
                  </m:r>
                  <m:r>
                    <m:rPr>
                      <m:sty m:val="p"/>
                    </m:rPr>
                    <m:t>−</m:t>
                  </m:r>
                  <m:r>
                    <m:t>σ</m:t>
                  </m:r>
                </m:e>
              </m:d>
              <m:r>
                <m:rPr>
                  <m:sty m:val="p"/>
                </m:rPr>
                <m:t>+</m:t>
              </m:r>
              <m:r>
                <m:t>o</m:t>
              </m:r>
              <m:d>
                <m:dPr>
                  <m:begChr m:val="("/>
                  <m:endChr m:val=")"/>
                  <m:sepChr m:val=""/>
                  <m:grow/>
                </m:dPr>
                <m:e>
                  <m:r>
                    <m:t>1</m:t>
                  </m:r>
                </m:e>
              </m:d>
            </m:sup>
          </m:sSup>
          <m:r>
            <m:rPr>
              <m:sty m:val="p"/>
            </m:rPr>
            <m:t>,</m:t>
          </m:r>
        </m:oMath>
      </m:oMathPara>
    </w:p>
    <w:p>
      <w:pPr>
        <w:pStyle w:val="FirstParagraph"/>
      </w:pPr>
      <w:r>
        <w:t xml:space="preserve">or an equivalent exponent notation. Better exponents mean that zeros away from the line are sparser.</w:t>
      </w:r>
    </w:p>
    <w:bookmarkStart w:id="25" w:name="why-dirichlet-polynomials-appear"/>
    <w:p>
      <w:pPr>
        <w:pStyle w:val="Heading2"/>
      </w:pPr>
      <w:r>
        <w:t xml:space="preserve">2.1 Why Dirichlet polynomials appear</w:t>
      </w:r>
    </w:p>
    <w:p>
      <w:pPr>
        <w:pStyle w:val="FirstParagraph"/>
      </w:pPr>
      <w:r>
        <w:t xml:space="preserve">A Dirichlet polynomial is</w:t>
      </w:r>
    </w:p>
    <w:p>
      <w:pPr>
        <w:pStyle w:val="BodyText"/>
      </w:pPr>
      <m:oMathPara>
        <m:oMathParaPr>
          <m:jc m:val="center"/>
        </m:oMathParaPr>
        <m:oMath>
          <m:r>
            <m:t>D</m:t>
          </m:r>
          <m:d>
            <m:dPr>
              <m:begChr m:val="("/>
              <m:endChr m:val=")"/>
              <m:sepChr m:val=""/>
              <m:grow/>
            </m:dPr>
            <m:e>
              <m:r>
                <m:t>t</m:t>
              </m:r>
            </m:e>
          </m:d>
          <m:r>
            <m:rPr>
              <m:sty m:val="p"/>
            </m:rPr>
            <m:t>=</m:t>
          </m:r>
          <m:nary>
            <m:naryPr>
              <m:chr m:val="∑"/>
              <m:limLoc m:val="undOvr"/>
              <m:subHide m:val="off"/>
              <m:supHide m:val="on"/>
            </m:naryPr>
            <m:sub>
              <m:r>
                <m:t>n</m:t>
              </m:r>
              <m:r>
                <m:rPr>
                  <m:sty m:val="p"/>
                </m:rPr>
                <m:t>∼</m:t>
              </m:r>
              <m:r>
                <m:t>N</m:t>
              </m:r>
            </m:sub>
            <m:sup>
              <m:r>
                <m:t>​</m:t>
              </m:r>
            </m:sup>
            <m:e>
              <m:sSub>
                <m:e>
                  <m:r>
                    <m:t>a</m:t>
                  </m:r>
                </m:e>
                <m:sub>
                  <m:r>
                    <m:t>n</m:t>
                  </m:r>
                </m:sub>
              </m:sSub>
            </m:e>
          </m:nary>
          <m:sSup>
            <m:e>
              <m:r>
                <m:t>n</m:t>
              </m:r>
            </m:e>
            <m:sup>
              <m:r>
                <m:rPr>
                  <m:sty m:val="p"/>
                </m:rPr>
                <m:t>−</m:t>
              </m:r>
              <m:r>
                <m:t>i</m:t>
              </m:r>
              <m:r>
                <m:t>t</m:t>
              </m:r>
            </m:sup>
          </m:sSup>
          <m:r>
            <m:rPr>
              <m:sty m:val="p"/>
            </m:rPr>
            <m:t>.</m:t>
          </m:r>
        </m:oMath>
      </m:oMathPara>
    </w:p>
    <w:p>
      <w:pPr>
        <w:pStyle w:val="FirstParagraph"/>
      </w:pPr>
      <w:r>
        <w:t xml:space="preserve">Zero-detection arguments turn the existence of many zeros in a region into the existence of many large values of such polynomials. Hence a theorem of the form</w:t>
      </w:r>
    </w:p>
    <w:p>
      <w:pPr>
        <w:pStyle w:val="BodyText"/>
      </w:pPr>
      <m:oMathPara>
        <m:oMathParaPr>
          <m:jc m:val="center"/>
        </m:oMathParaPr>
        <m:oMath>
          <m:d>
            <m:dPr>
              <m:begChr m:val="|"/>
              <m:endChr m:val="|"/>
              <m:sepChr m:val=""/>
              <m:grow/>
            </m:dPr>
            <m:e>
              <m:r>
                <m:rPr>
                  <m:sty m:val="p"/>
                </m:rPr>
                <m:t>{</m:t>
              </m:r>
              <m:sSub>
                <m:e>
                  <m:r>
                    <m:t>t</m:t>
                  </m:r>
                </m:e>
                <m:sub>
                  <m:r>
                    <m:t>r</m:t>
                  </m:r>
                </m:sub>
              </m:sSub>
              <m:r>
                <m:rPr>
                  <m:sty m:val="p"/>
                </m:rPr>
                <m:t>:</m:t>
              </m:r>
              <m:d>
                <m:dPr>
                  <m:begChr m:val="|"/>
                  <m:endChr m:val="|"/>
                  <m:sepChr m:val=""/>
                  <m:grow/>
                </m:dPr>
                <m:e>
                  <m:r>
                    <m:t>D</m:t>
                  </m:r>
                  <m:d>
                    <m:dPr>
                      <m:begChr m:val="("/>
                      <m:endChr m:val=")"/>
                      <m:sepChr m:val=""/>
                      <m:grow/>
                    </m:dPr>
                    <m:e>
                      <m:sSub>
                        <m:e>
                          <m:r>
                            <m:t>t</m:t>
                          </m:r>
                        </m:e>
                        <m:sub>
                          <m:r>
                            <m:t>r</m:t>
                          </m:r>
                        </m:sub>
                      </m:sSub>
                    </m:e>
                  </m:d>
                </m:e>
              </m:d>
              <m:r>
                <m:rPr>
                  <m:sty m:val="p"/>
                </m:rPr>
                <m:t>≥</m:t>
              </m:r>
              <m:r>
                <m:t>V</m:t>
              </m:r>
              <m:r>
                <m:rPr>
                  <m:sty m:val="p"/>
                </m:rPr>
                <m:t>}</m:t>
              </m:r>
            </m:e>
          </m:d>
          <m:r>
            <m:rPr>
              <m:sty m:val="p"/>
            </m:rPr>
            <m:t>≤</m:t>
          </m:r>
          <m:r>
            <m:rPr>
              <m:sty m:val="p"/>
              <m:scr m:val="script"/>
            </m:rPr>
            <m:t>B</m:t>
          </m:r>
          <m:d>
            <m:dPr>
              <m:begChr m:val="("/>
              <m:endChr m:val=")"/>
              <m:sepChr m:val=""/>
              <m:grow/>
            </m:dPr>
            <m:e>
              <m:r>
                <m:t>N</m:t>
              </m:r>
              <m:r>
                <m:rPr>
                  <m:sty m:val="p"/>
                </m:rPr>
                <m:t>,</m:t>
              </m:r>
              <m:r>
                <m:t>T</m:t>
              </m:r>
              <m:r>
                <m:rPr>
                  <m:sty m:val="p"/>
                </m:rPr>
                <m:t>,</m:t>
              </m:r>
              <m:r>
                <m:t>V</m:t>
              </m:r>
            </m:e>
          </m:d>
        </m:oMath>
      </m:oMathPara>
    </w:p>
    <w:p>
      <w:pPr>
        <w:pStyle w:val="FirstParagraph"/>
      </w:pPr>
      <w:r>
        <w:t xml:space="preserve">can become a zero-density theorem. This is the corridor on which Huxley [19], Heath-Brown [22], Kerr [51], and Guth-Maynard [71] travel.</w:t>
      </w:r>
    </w:p>
    <w:bookmarkEnd w:id="25"/>
    <w:bookmarkStart w:id="26" w:name="guth-maynard-as-a-modern-hub"/>
    <w:p>
      <w:pPr>
        <w:pStyle w:val="Heading2"/>
      </w:pPr>
      <w:r>
        <w:t xml:space="preserve">2.2 Guth-Maynard as a modern hub</w:t>
      </w:r>
    </w:p>
    <w:p>
      <w:pPr>
        <w:pStyle w:val="FirstParagraph"/>
      </w:pPr>
      <w:r>
        <w:t xml:space="preserve">Guth-Maynard [71] prove new large-value bounds in the regime where a Dirichlet polynomial of length</w:t>
      </w:r>
      <w:r>
        <w:t xml:space="preserve"> </w:t>
      </w:r>
      <m:oMath>
        <m:r>
          <m:t>N</m:t>
        </m:r>
      </m:oMath>
      <w:r>
        <w:t xml:space="preserve"> </w:t>
      </w:r>
      <w:r>
        <w:t xml:space="preserve">takes values near the scale</w:t>
      </w:r>
      <w:r>
        <w:t xml:space="preserve"> </w:t>
      </w:r>
      <m:oMath>
        <m:sSup>
          <m:e>
            <m:r>
              <m:t>N</m:t>
            </m:r>
          </m:e>
          <m:sup>
            <m:r>
              <m:t>3</m:t>
            </m:r>
            <m:r>
              <m:rPr>
                <m:sty m:val="p"/>
              </m:rPr>
              <m:t>/</m:t>
            </m:r>
            <m:r>
              <m:t>4</m:t>
            </m:r>
          </m:sup>
        </m:sSup>
      </m:oMath>
      <w:r>
        <w:t xml:space="preserve">. Among their consequences is</w:t>
      </w:r>
    </w:p>
    <w:p>
      <w:pPr>
        <w:pStyle w:val="BodyText"/>
      </w:pPr>
      <m:oMathPara>
        <m:oMathParaPr>
          <m:jc m:val="center"/>
        </m:oMathParaPr>
        <m:oMath>
          <m:r>
            <m:t>N</m:t>
          </m:r>
          <m:d>
            <m:dPr>
              <m:begChr m:val="("/>
              <m:endChr m:val=")"/>
              <m:sepChr m:val=""/>
              <m:grow/>
            </m:dPr>
            <m:e>
              <m:r>
                <m:t>σ</m:t>
              </m:r>
              <m:r>
                <m:rPr>
                  <m:sty m:val="p"/>
                </m:rPr>
                <m:t>,</m:t>
              </m:r>
              <m:r>
                <m:t>T</m:t>
              </m:r>
            </m:e>
          </m:d>
          <m:r>
            <m:rPr>
              <m:sty m:val="p"/>
            </m:rPr>
            <m:t>≤</m:t>
          </m:r>
          <m:sSup>
            <m:e>
              <m:r>
                <m:t>T</m:t>
              </m:r>
            </m:e>
            <m:sup>
              <m:f>
                <m:fPr>
                  <m:type m:val="bar"/>
                </m:fPr>
                <m:num>
                  <m:r>
                    <m:t>30</m:t>
                  </m:r>
                </m:num>
                <m:den>
                  <m:r>
                    <m:t>13</m:t>
                  </m:r>
                </m:den>
              </m:f>
              <m:d>
                <m:dPr>
                  <m:begChr m:val="("/>
                  <m:endChr m:val=")"/>
                  <m:sepChr m:val=""/>
                  <m:grow/>
                </m:dPr>
                <m:e>
                  <m:r>
                    <m:t>1</m:t>
                  </m:r>
                  <m:r>
                    <m:rPr>
                      <m:sty m:val="p"/>
                    </m:rPr>
                    <m:t>−</m:t>
                  </m:r>
                  <m:r>
                    <m:t>σ</m:t>
                  </m:r>
                </m:e>
              </m:d>
              <m:r>
                <m:rPr>
                  <m:sty m:val="p"/>
                </m:rPr>
                <m:t>+</m:t>
              </m:r>
              <m:r>
                <m:t>o</m:t>
              </m:r>
              <m:d>
                <m:dPr>
                  <m:begChr m:val="("/>
                  <m:endChr m:val=")"/>
                  <m:sepChr m:val=""/>
                  <m:grow/>
                </m:dPr>
                <m:e>
                  <m:r>
                    <m:t>1</m:t>
                  </m:r>
                </m:e>
              </m:d>
            </m:sup>
          </m:sSup>
        </m:oMath>
      </m:oMathPara>
    </w:p>
    <w:p>
      <w:pPr>
        <w:pStyle w:val="FirstParagraph"/>
      </w:pPr>
      <w:r>
        <w:t xml:space="preserve">in the uniform form advertised by the Annals paper, together with sharper piecewise information in parts of the strip. The same machinery also improves prime results in short intervals. This is why node [71] should be read as a transport hub, not merely as a single zero-density inequality.</w:t>
      </w:r>
    </w:p>
    <w:p>
      <w:pPr>
        <w:pStyle w:val="BodyText"/>
      </w:pPr>
      <w:r>
        <w:t xml:space="preserve">A key lesson is that the</w:t>
      </w:r>
      <w:r>
        <w:t xml:space="preserve"> </w:t>
      </w:r>
      <w:r>
        <w:rPr>
          <w:b/>
          <w:bCs/>
        </w:rPr>
        <w:t xml:space="preserve">machinery below a theorem can have more outgoing edges than the theorem statement itself</w:t>
      </w:r>
      <w:r>
        <w:t xml:space="preserve">. Large-value estimates, mean values, matrix arguments, Poisson/reflection transforms, energy estimates, and Type I/II decompositions may be reusable in problems that do not look like zero density at first sight.</w:t>
      </w:r>
    </w:p>
    <w:bookmarkEnd w:id="26"/>
    <w:bookmarkEnd w:id="27"/>
    <w:bookmarkStart w:id="31" w:name="X6b75a6390ff2d65992ee6bf4e0df7c64e38561c"/>
    <w:p>
      <w:pPr>
        <w:pStyle w:val="Heading1"/>
      </w:pPr>
      <w:r>
        <w:t xml:space="preserve">3. Corridor II: zeros back to primes in short intervals</w:t>
      </w:r>
    </w:p>
    <w:p>
      <w:pPr>
        <w:pStyle w:val="FirstParagraph"/>
      </w:pPr>
      <w:r>
        <w:t xml:space="preserve">A short-interval PNT asks whether</w:t>
      </w:r>
    </w:p>
    <w:p>
      <w:pPr>
        <w:pStyle w:val="BodyText"/>
      </w:pPr>
      <m:oMathPara>
        <m:oMathParaPr>
          <m:jc m:val="center"/>
        </m:oMathParaPr>
        <m:oMath>
          <m:r>
            <m:t>ψ</m:t>
          </m:r>
          <m:d>
            <m:dPr>
              <m:begChr m:val="("/>
              <m:endChr m:val=")"/>
              <m:sepChr m:val=""/>
              <m:grow/>
            </m:dPr>
            <m:e>
              <m:r>
                <m:t>x</m:t>
              </m:r>
              <m:r>
                <m:rPr>
                  <m:sty m:val="p"/>
                </m:rPr>
                <m:t>+</m:t>
              </m:r>
              <m:r>
                <m:t>h</m:t>
              </m:r>
            </m:e>
          </m:d>
          <m:r>
            <m:rPr>
              <m:sty m:val="p"/>
            </m:rPr>
            <m:t>−</m:t>
          </m:r>
          <m:r>
            <m:t>ψ</m:t>
          </m:r>
          <m:d>
            <m:dPr>
              <m:begChr m:val="("/>
              <m:endChr m:val=")"/>
              <m:sepChr m:val=""/>
              <m:grow/>
            </m:dPr>
            <m:e>
              <m:r>
                <m:t>x</m:t>
              </m:r>
            </m:e>
          </m:d>
          <m:r>
            <m:rPr>
              <m:sty m:val="p"/>
            </m:rPr>
            <m:t>∼</m:t>
          </m:r>
          <m:r>
            <m:t>h</m:t>
          </m:r>
        </m:oMath>
      </m:oMathPara>
    </w:p>
    <w:p>
      <w:pPr>
        <w:pStyle w:val="FirstParagraph"/>
      </w:pPr>
      <w:r>
        <w:t xml:space="preserve">when</w:t>
      </w:r>
      <w:r>
        <w:t xml:space="preserve"> </w:t>
      </w:r>
      <m:oMath>
        <m:r>
          <m:t>h</m:t>
        </m:r>
        <m:r>
          <m:rPr>
            <m:sty m:val="p"/>
          </m:rPr>
          <m:t>=</m:t>
        </m:r>
        <m:sSup>
          <m:e>
            <m:r>
              <m:t>x</m:t>
            </m:r>
          </m:e>
          <m:sup>
            <m:r>
              <m:t>θ</m:t>
            </m:r>
          </m:sup>
        </m:sSup>
      </m:oMath>
      <w:r>
        <w:t xml:space="preserve"> </w:t>
      </w:r>
      <w:r>
        <w:t xml:space="preserve">is much smaller than</w:t>
      </w:r>
      <w:r>
        <w:t xml:space="preserve"> </w:t>
      </w:r>
      <m:oMath>
        <m:r>
          <m:t>x</m:t>
        </m:r>
      </m:oMath>
      <w:r>
        <w:t xml:space="preserve">. There are several levels of strength:</w:t>
      </w:r>
    </w:p>
    <w:p>
      <w:pPr>
        <w:pStyle w:val="Compact"/>
        <w:numPr>
          <w:ilvl w:val="0"/>
          <w:numId w:val="1002"/>
        </w:numPr>
      </w:pPr>
      <w:r>
        <w:t xml:space="preserve">the asymptotic holds for</w:t>
      </w:r>
      <w:r>
        <w:t xml:space="preserve"> </w:t>
      </w:r>
      <w:r>
        <w:rPr>
          <w:b/>
          <w:bCs/>
        </w:rPr>
        <w:t xml:space="preserve">every</w:t>
      </w:r>
      <w:r>
        <w:t xml:space="preserve"> </w:t>
      </w:r>
      <w:r>
        <w:t xml:space="preserve">large</w:t>
      </w:r>
      <w:r>
        <w:t xml:space="preserve"> </w:t>
      </w:r>
      <m:oMath>
        <m:r>
          <m:t>x</m:t>
        </m:r>
      </m:oMath>
      <w:r>
        <w:t xml:space="preserve">;</w:t>
      </w:r>
    </w:p>
    <w:p>
      <w:pPr>
        <w:pStyle w:val="Compact"/>
        <w:numPr>
          <w:ilvl w:val="0"/>
          <w:numId w:val="1002"/>
        </w:numPr>
      </w:pPr>
      <w:r>
        <w:t xml:space="preserve">it holds for</w:t>
      </w:r>
      <w:r>
        <w:t xml:space="preserve"> </w:t>
      </w:r>
      <w:r>
        <w:rPr>
          <w:b/>
          <w:bCs/>
        </w:rPr>
        <w:t xml:space="preserve">almost all</w:t>
      </w:r>
      <w:r>
        <w:t xml:space="preserve"> </w:t>
      </w:r>
      <m:oMath>
        <m:r>
          <m:t>x</m:t>
        </m:r>
      </m:oMath>
      <w:r>
        <w:t xml:space="preserve">;</w:t>
      </w:r>
    </w:p>
    <w:p>
      <w:pPr>
        <w:pStyle w:val="Compact"/>
        <w:numPr>
          <w:ilvl w:val="0"/>
          <w:numId w:val="1002"/>
        </w:numPr>
      </w:pPr>
      <w:r>
        <w:t xml:space="preserve">one has a quantitative estimate for the exceptional set where it fails.</w:t>
      </w:r>
    </w:p>
    <w:p>
      <w:pPr>
        <w:pStyle w:val="FirstParagraph"/>
      </w:pPr>
      <w:r>
        <w:t xml:space="preserve">These are different nodes in the network.</w:t>
      </w:r>
    </w:p>
    <w:bookmarkStart w:id="28" w:name="X4b40ba8ef2b60b415fd37f40fd5cd9ddcb11869"/>
    <w:p>
      <w:pPr>
        <w:pStyle w:val="Heading2"/>
      </w:pPr>
      <w:r>
        <w:t xml:space="preserve">3.1 Gallagher-Mueller and Goldston-Montgomery</w:t>
      </w:r>
    </w:p>
    <w:p>
      <w:pPr>
        <w:pStyle w:val="FirstParagraph"/>
      </w:pPr>
      <w:r>
        <w:t xml:space="preserve">Gallagher-Mueller [21] and Goldston-Montgomery [26] establish deep relationships between zero statistics and primes in short intervals. In one direction, pair-correlation information controls variance in prime counts. In the other, sufficiently strong variance statements imply pair-correlation information. This is one of the clearest examples of an almost bidirectional corridor.</w:t>
      </w:r>
    </w:p>
    <w:bookmarkEnd w:id="28"/>
    <w:bookmarkStart w:id="29" w:name="bazzanella-perelli-to-gafni-tao"/>
    <w:p>
      <w:pPr>
        <w:pStyle w:val="Heading2"/>
      </w:pPr>
      <w:r>
        <w:t xml:space="preserve">3.2 Bazzanella-Perelli to Gafni-Tao</w:t>
      </w:r>
    </w:p>
    <w:p>
      <w:pPr>
        <w:pStyle w:val="FirstParagraph"/>
      </w:pPr>
      <w:r>
        <w:t xml:space="preserve">Bazzanella-Perelli [36] study the exceptional set for the short-interval PNT. Gafni-Tao [74] revisit that problem with the much stronger modern zero-density landscape and with explicit use of</w:t>
      </w:r>
      <w:r>
        <w:t xml:space="preserve"> </w:t>
      </w:r>
      <w:r>
        <w:rPr>
          <w:b/>
          <w:bCs/>
        </w:rPr>
        <w:t xml:space="preserve">zero additive energy</w:t>
      </w:r>
      <w:r>
        <w:t xml:space="preserve">.</w:t>
      </w:r>
    </w:p>
    <w:p>
      <w:pPr>
        <w:pStyle w:val="BodyText"/>
      </w:pPr>
      <w:r>
        <w:t xml:space="preserve">Gafni-Tao define a zero-density exponent function</w:t>
      </w:r>
      <w:r>
        <w:t xml:space="preserve"> </w:t>
      </w:r>
      <m:oMath>
        <m:r>
          <m:t>A</m:t>
        </m:r>
        <m:d>
          <m:dPr>
            <m:begChr m:val="("/>
            <m:endChr m:val=")"/>
            <m:sepChr m:val=""/>
            <m:grow/>
          </m:dPr>
          <m:e>
            <m:r>
              <m:t>σ</m:t>
            </m:r>
          </m:e>
        </m:d>
      </m:oMath>
      <w:r>
        <w:t xml:space="preserve"> </w:t>
      </w:r>
      <w:r>
        <w:t xml:space="preserve">through estimates of the form</w:t>
      </w:r>
    </w:p>
    <w:p>
      <w:pPr>
        <w:pStyle w:val="BodyText"/>
      </w:pPr>
      <m:oMathPara>
        <m:oMathParaPr>
          <m:jc m:val="center"/>
        </m:oMathParaPr>
        <m:oMath>
          <m:r>
            <m:t>N</m:t>
          </m:r>
          <m:d>
            <m:dPr>
              <m:begChr m:val="("/>
              <m:endChr m:val=")"/>
              <m:sepChr m:val=""/>
              <m:grow/>
            </m:dPr>
            <m:e>
              <m:r>
                <m:t>σ</m:t>
              </m:r>
              <m:r>
                <m:rPr>
                  <m:sty m:val="p"/>
                </m:rPr>
                <m:t>,</m:t>
              </m:r>
              <m:r>
                <m:t>T</m:t>
              </m:r>
            </m:e>
          </m:d>
          <m:r>
            <m:rPr>
              <m:sty m:val="p"/>
            </m:rPr>
            <m:t>≤</m:t>
          </m:r>
          <m:sSup>
            <m:e>
              <m:r>
                <m:t>T</m:t>
              </m:r>
            </m:e>
            <m:sup>
              <m:r>
                <m:t>A</m:t>
              </m:r>
              <m:d>
                <m:dPr>
                  <m:begChr m:val="("/>
                  <m:endChr m:val=")"/>
                  <m:sepChr m:val=""/>
                  <m:grow/>
                </m:dPr>
                <m:e>
                  <m:r>
                    <m:t>σ</m:t>
                  </m:r>
                </m:e>
              </m:d>
              <m:d>
                <m:dPr>
                  <m:begChr m:val="("/>
                  <m:endChr m:val=")"/>
                  <m:sepChr m:val=""/>
                  <m:grow/>
                </m:dPr>
                <m:e>
                  <m:r>
                    <m:t>1</m:t>
                  </m:r>
                  <m:r>
                    <m:rPr>
                      <m:sty m:val="p"/>
                    </m:rPr>
                    <m:t>−</m:t>
                  </m:r>
                  <m:r>
                    <m:t>σ</m:t>
                  </m:r>
                </m:e>
              </m:d>
              <m:r>
                <m:rPr>
                  <m:sty m:val="p"/>
                </m:rPr>
                <m:t>+</m:t>
              </m:r>
              <m:r>
                <m:t>o</m:t>
              </m:r>
              <m:d>
                <m:dPr>
                  <m:begChr m:val="("/>
                  <m:endChr m:val=")"/>
                  <m:sepChr m:val=""/>
                  <m:grow/>
                </m:dPr>
                <m:e>
                  <m:r>
                    <m:t>1</m:t>
                  </m:r>
                </m:e>
              </m:d>
            </m:sup>
          </m:sSup>
          <m:r>
            <m:rPr>
              <m:sty m:val="p"/>
            </m:rPr>
            <m:t>.</m:t>
          </m:r>
        </m:oMath>
      </m:oMathPara>
    </w:p>
    <w:p>
      <w:pPr>
        <w:pStyle w:val="FirstParagraph"/>
      </w:pPr>
      <w:r>
        <w:t xml:space="preserve">They also use a fourth-order zero statistic</w:t>
      </w:r>
      <w:r>
        <w:t xml:space="preserve"> </w:t>
      </w:r>
      <m:oMath>
        <m:sSup>
          <m:e>
            <m:r>
              <m:t>A</m:t>
            </m:r>
          </m:e>
          <m:sup>
            <m:r>
              <m:rPr>
                <m:sty m:val="p"/>
              </m:rPr>
              <m:t>*</m:t>
            </m:r>
          </m:sup>
        </m:sSup>
        <m:d>
          <m:dPr>
            <m:begChr m:val="("/>
            <m:endChr m:val=")"/>
            <m:sepChr m:val=""/>
            <m:grow/>
          </m:dPr>
          <m:e>
            <m:r>
              <m:t>σ</m:t>
            </m:r>
          </m:e>
        </m:d>
      </m:oMath>
      <w:r>
        <w:t xml:space="preserve">, measuring a multiplicity-weighted additive energy of zeros. Very schematically, one counts ordered quadruples satisfying a near-additive relation among ordinates. The trivial relation between the two exponents is roughly</w:t>
      </w:r>
    </w:p>
    <w:p>
      <w:pPr>
        <w:pStyle w:val="BodyText"/>
      </w:pPr>
      <m:oMathPara>
        <m:oMathParaPr>
          <m:jc m:val="center"/>
        </m:oMathParaPr>
        <m:oMath>
          <m:sSup>
            <m:e>
              <m:r>
                <m:t>A</m:t>
              </m:r>
            </m:e>
            <m:sup>
              <m:r>
                <m:rPr>
                  <m:sty m:val="p"/>
                </m:rPr>
                <m:t>*</m:t>
              </m:r>
            </m:sup>
          </m:sSup>
          <m:d>
            <m:dPr>
              <m:begChr m:val="("/>
              <m:endChr m:val=")"/>
              <m:sepChr m:val=""/>
              <m:grow/>
            </m:dPr>
            <m:e>
              <m:r>
                <m:t>σ</m:t>
              </m:r>
            </m:e>
          </m:d>
          <m:r>
            <m:rPr>
              <m:sty m:val="p"/>
            </m:rPr>
            <m:t>≤</m:t>
          </m:r>
          <m:r>
            <m:t>3</m:t>
          </m:r>
          <m:r>
            <m:t>A</m:t>
          </m:r>
          <m:d>
            <m:dPr>
              <m:begChr m:val="("/>
              <m:endChr m:val=")"/>
              <m:sepChr m:val=""/>
              <m:grow/>
            </m:dPr>
            <m:e>
              <m:r>
                <m:t>σ</m:t>
              </m:r>
            </m:e>
          </m:d>
          <m:r>
            <m:rPr>
              <m:sty m:val="p"/>
            </m:rPr>
            <m:t>,</m:t>
          </m:r>
        </m:oMath>
      </m:oMathPara>
    </w:p>
    <w:p>
      <w:pPr>
        <w:pStyle w:val="FirstParagraph"/>
      </w:pPr>
      <w:r>
        <w:t xml:space="preserve">but work such as Heath-Brown [22] and Tao-Trudgian-Yang [63] supplies better bounds in significant ranges.</w:t>
      </w:r>
    </w:p>
    <w:p>
      <w:pPr>
        <w:pStyle w:val="BodyText"/>
      </w:pPr>
      <w:r>
        <w:t xml:space="preserve">For a short interval length</w:t>
      </w:r>
      <w:r>
        <w:t xml:space="preserve"> </w:t>
      </w:r>
      <m:oMath>
        <m:sSup>
          <m:e>
            <m:r>
              <m:t>x</m:t>
            </m:r>
          </m:e>
          <m:sup>
            <m:r>
              <m:t>θ</m:t>
            </m:r>
          </m:sup>
        </m:sSup>
      </m:oMath>
      <w:r>
        <w:t xml:space="preserve">, Gafni-Tao encode the size of the exceptional set by an exponent</w:t>
      </w:r>
      <w:r>
        <w:t xml:space="preserve"> </w:t>
      </w:r>
      <m:oMath>
        <m:r>
          <m:t>μ</m:t>
        </m:r>
        <m:d>
          <m:dPr>
            <m:begChr m:val="("/>
            <m:endChr m:val=")"/>
            <m:sepChr m:val=""/>
            <m:grow/>
          </m:dPr>
          <m:e>
            <m:r>
              <m:t>θ</m:t>
            </m:r>
          </m:e>
        </m:d>
      </m:oMath>
      <w:r>
        <w:t xml:space="preserve">. Their general theorem [74] bounds</w:t>
      </w:r>
      <w:r>
        <w:t xml:space="preserve"> </w:t>
      </w:r>
      <m:oMath>
        <m:r>
          <m:t>μ</m:t>
        </m:r>
        <m:d>
          <m:dPr>
            <m:begChr m:val="("/>
            <m:endChr m:val=")"/>
            <m:sepChr m:val=""/>
            <m:grow/>
          </m:dPr>
          <m:e>
            <m:r>
              <m:t>θ</m:t>
            </m:r>
          </m:e>
        </m:d>
      </m:oMath>
      <w:r>
        <w:t xml:space="preserve"> </w:t>
      </w:r>
      <w:r>
        <w:t xml:space="preserve">using the admissible zero-density profile. The refined theorem also consumes</w:t>
      </w:r>
      <w:r>
        <w:t xml:space="preserve"> </w:t>
      </w:r>
      <m:oMath>
        <m:sSup>
          <m:e>
            <m:r>
              <m:t>A</m:t>
            </m:r>
          </m:e>
          <m:sup>
            <m:r>
              <m:rPr>
                <m:sty m:val="p"/>
              </m:rPr>
              <m:t>*</m:t>
            </m:r>
          </m:sup>
        </m:sSup>
        <m:d>
          <m:dPr>
            <m:begChr m:val="("/>
            <m:endChr m:val=")"/>
            <m:sepChr m:val=""/>
            <m:grow/>
          </m:dPr>
          <m:e>
            <m:r>
              <m:t>σ</m:t>
            </m:r>
          </m:e>
        </m:d>
      </m:oMath>
      <w:r>
        <w:t xml:space="preserve">, using</w:t>
      </w:r>
      <w:r>
        <w:t xml:space="preserve"> </w:t>
      </w:r>
      <m:oMath>
        <m:sSup>
          <m:e>
            <m:r>
              <m:t>L</m:t>
            </m:r>
          </m:e>
          <m:sup>
            <m:r>
              <m:rPr>
                <m:sty m:val="p"/>
              </m:rPr>
              <m:t>∞</m:t>
            </m:r>
          </m:sup>
        </m:sSup>
      </m:oMath>
      <w:r>
        <w:t xml:space="preserve">,</w:t>
      </w:r>
      <w:r>
        <w:t xml:space="preserve"> </w:t>
      </w:r>
      <m:oMath>
        <m:sSup>
          <m:e>
            <m:r>
              <m:t>L</m:t>
            </m:r>
          </m:e>
          <m:sup>
            <m:r>
              <m:t>2</m:t>
            </m:r>
          </m:sup>
        </m:sSup>
      </m:oMath>
      <w:r>
        <w:t xml:space="preserve">, and</w:t>
      </w:r>
      <w:r>
        <w:t xml:space="preserve"> </w:t>
      </w:r>
      <m:oMath>
        <m:sSup>
          <m:e>
            <m:r>
              <m:t>L</m:t>
            </m:r>
          </m:e>
          <m:sup>
            <m:r>
              <m:t>4</m:t>
            </m:r>
          </m:sup>
        </m:sSup>
      </m:oMath>
      <w:r>
        <w:t xml:space="preserve"> </w:t>
      </w:r>
      <w:r>
        <w:t xml:space="preserve">estimates after an explicit-formula decomposition.</w:t>
      </w:r>
    </w:p>
    <w:p>
      <w:pPr>
        <w:pStyle w:val="BodyText"/>
      </w:pPr>
      <w:r>
        <w:t xml:space="preserve">The conceptual arrow is therefore</w:t>
      </w:r>
    </w:p>
    <w:p>
      <w:pPr>
        <w:pStyle w:val="BodyText"/>
      </w:pPr>
      <m:oMathPara>
        <m:oMathParaPr>
          <m:jc m:val="center"/>
        </m:oMathParaPr>
        <m:oMath>
          <m:d>
            <m:dPr>
              <m:begChr m:val="("/>
              <m:endChr m:val=")"/>
              <m:sepChr m:val=""/>
              <m:grow/>
            </m:dPr>
            <m:e>
              <m:r>
                <m:t>A</m:t>
              </m:r>
              <m:d>
                <m:dPr>
                  <m:begChr m:val="("/>
                  <m:endChr m:val=")"/>
                  <m:sepChr m:val=""/>
                  <m:grow/>
                </m:dPr>
                <m:e>
                  <m:r>
                    <m:t>σ</m:t>
                  </m:r>
                </m:e>
              </m:d>
              <m:r>
                <m:rPr>
                  <m:sty m:val="p"/>
                </m:rPr>
                <m:t>,</m:t>
              </m:r>
              <m:sSup>
                <m:e>
                  <m:r>
                    <m:t>A</m:t>
                  </m:r>
                </m:e>
                <m:sup>
                  <m:r>
                    <m:rPr>
                      <m:sty m:val="p"/>
                    </m:rPr>
                    <m:t>*</m:t>
                  </m:r>
                </m:sup>
              </m:sSup>
              <m:d>
                <m:dPr>
                  <m:begChr m:val="("/>
                  <m:endChr m:val=")"/>
                  <m:sepChr m:val=""/>
                  <m:grow/>
                </m:dPr>
                <m:e>
                  <m:r>
                    <m:t>σ</m:t>
                  </m:r>
                </m:e>
              </m:d>
            </m:e>
          </m:d>
          <m:r>
            <m:rPr>
              <m:sty m:val="p"/>
            </m:rPr>
            <m:t>→</m:t>
          </m:r>
          <m:r>
            <m:t>μ</m:t>
          </m:r>
          <m:d>
            <m:dPr>
              <m:begChr m:val="("/>
              <m:endChr m:val=")"/>
              <m:sepChr m:val=""/>
              <m:grow/>
            </m:dPr>
            <m:e>
              <m:r>
                <m:t>θ</m:t>
              </m:r>
            </m:e>
          </m:d>
          <m:r>
            <m:rPr>
              <m:sty m:val="p"/>
            </m:rPr>
            <m:t>.</m:t>
          </m:r>
        </m:oMath>
      </m:oMathPara>
    </w:p>
    <w:p>
      <w:pPr>
        <w:pStyle w:val="FirstParagraph"/>
      </w:pPr>
      <w:r>
        <w:t xml:space="preserve">That arrow matters because it is a reusable transfer theorem: any future improvement in zero density or zero additive energy can be inserted without rebuilding the whole prime-interval argument.</w:t>
      </w:r>
    </w:p>
    <w:bookmarkEnd w:id="29"/>
    <w:bookmarkStart w:id="30" w:name="a-real-2026-downstream-consumer"/>
    <w:p>
      <w:pPr>
        <w:pStyle w:val="Heading2"/>
      </w:pPr>
      <w:r>
        <w:t xml:space="preserve">3.3 A real 2026 downstream consumer</w:t>
      </w:r>
    </w:p>
    <w:p>
      <w:pPr>
        <w:pStyle w:val="FirstParagraph"/>
      </w:pPr>
      <w:r>
        <w:t xml:space="preserve">Tao’s 2026 paper [73] uses a short-interval prime statement obtained from Guth-Maynard [71] together with the Gafni-Tao [74] or Bazzanella-Perelli [36] exceptional-set machinery. In the paper, a proposition states that for</w:t>
      </w:r>
      <w:r>
        <w:t xml:space="preserve"> </w:t>
      </w:r>
      <m:oMath>
        <m:r>
          <m:t>θ</m:t>
        </m:r>
        <m:r>
          <m:rPr>
            <m:sty m:val="p"/>
          </m:rPr>
          <m:t>&gt;</m:t>
        </m:r>
        <m:r>
          <m:t>2</m:t>
        </m:r>
        <m:r>
          <m:rPr>
            <m:sty m:val="p"/>
          </m:rPr>
          <m:t>/</m:t>
        </m:r>
        <m:r>
          <m:t>15</m:t>
        </m:r>
      </m:oMath>
      <w:r>
        <w:t xml:space="preserve">, the set of starting points whose interval of length</w:t>
      </w:r>
      <w:r>
        <w:t xml:space="preserve"> </w:t>
      </w:r>
      <m:oMath>
        <m:sSup>
          <m:e>
            <m:r>
              <m:t>x</m:t>
            </m:r>
          </m:e>
          <m:sup>
            <m:r>
              <m:t>θ</m:t>
            </m:r>
          </m:sup>
        </m:sSup>
      </m:oMath>
      <w:r>
        <w:t xml:space="preserve"> </w:t>
      </w:r>
      <w:r>
        <w:t xml:space="preserve">contains no prime has a power-saving exceptional measure. Tao explicitly notes that the fact one can go below</w:t>
      </w:r>
      <w:r>
        <w:t xml:space="preserve"> </w:t>
      </w:r>
      <m:oMath>
        <m:r>
          <m:t>1</m:t>
        </m:r>
        <m:r>
          <m:rPr>
            <m:sty m:val="p"/>
          </m:rPr>
          <m:t>/</m:t>
        </m:r>
        <m:r>
          <m:t>6</m:t>
        </m:r>
      </m:oMath>
      <w:r>
        <w:t xml:space="preserve"> </w:t>
      </w:r>
      <w:r>
        <w:t xml:space="preserve">depends on the recent Guth-Maynard improvement.</w:t>
      </w:r>
    </w:p>
    <w:p>
      <w:pPr>
        <w:pStyle w:val="BodyText"/>
      </w:pPr>
      <w:r>
        <w:t xml:space="preserve">So the modern corridor is not hypothetical:</w:t>
      </w:r>
    </w:p>
    <w:p>
      <w:pPr>
        <w:pStyle w:val="BodyText"/>
      </w:pPr>
      <m:oMathPara>
        <m:oMathParaPr>
          <m:jc m:val="center"/>
        </m:oMathParaPr>
        <m:oMath>
          <m:borderBox>
            <m:e>
              <m:r>
                <m:rPr>
                  <m:nor/>
                  <m:sty m:val="p"/>
                </m:rPr>
                <m:t>Guth-Maynard [71]</m:t>
              </m:r>
              <m:r>
                <m:rPr>
                  <m:sty m:val="p"/>
                </m:rPr>
                <m:t>→</m:t>
              </m:r>
              <m:r>
                <m:rPr>
                  <m:nor/>
                  <m:sty m:val="p"/>
                </m:rPr>
                <m:t>Gafni-Tao [74]</m:t>
              </m:r>
              <m:r>
                <m:rPr>
                  <m:sty m:val="p"/>
                </m:rPr>
                <m:t>→</m:t>
              </m:r>
              <m:r>
                <m:rPr>
                  <m:nor/>
                  <m:sty m:val="p"/>
                </m:rPr>
                <m:t>Tao [73]</m:t>
              </m:r>
              <m:r>
                <m:rPr>
                  <m:sty m:val="p"/>
                </m:rPr>
                <m:t>.</m:t>
              </m:r>
            </m:e>
          </m:borderBox>
        </m:oMath>
      </m:oMathPara>
    </w:p>
    <w:p>
      <w:pPr>
        <w:pStyle w:val="FirstParagraph"/>
      </w:pPr>
      <w:r>
        <w:t xml:space="preserve">The endpoint [73] is not closer to RH in the narrow sense of locating zeta zeros. It demonstrates something different and very useful: Gafni-Tao is a genuine</w:t>
      </w:r>
      <w:r>
        <w:t xml:space="preserve"> </w:t>
      </w:r>
      <w:r>
        <w:rPr>
          <w:b/>
          <w:bCs/>
        </w:rPr>
        <w:t xml:space="preserve">consumer-facing transfer node</w:t>
      </w:r>
      <w:r>
        <w:t xml:space="preserve"> </w:t>
      </w:r>
      <w:r>
        <w:t xml:space="preserve">with applications elsewhere in analytic and multiplicative number theory.</w:t>
      </w:r>
    </w:p>
    <w:bookmarkEnd w:id="30"/>
    <w:bookmarkEnd w:id="31"/>
    <w:bookmarkStart w:id="34" w:name="Xb835377fd57f2b7226840775aa96d625a61d766"/>
    <w:p>
      <w:pPr>
        <w:pStyle w:val="Heading1"/>
      </w:pPr>
      <w:r>
        <w:t xml:space="preserve">4. Corridor III: critical-line zeros and mollifiers</w:t>
      </w:r>
    </w:p>
    <w:p>
      <w:pPr>
        <w:pStyle w:val="FirstParagraph"/>
      </w:pPr>
      <w:r>
        <w:t xml:space="preserve">Hardy [4] proves infinitely many zeros lie on the critical line. Hardy-Littlewood [5] strengthen the quantitative picture. Selberg [8,9] proves a positive proportion.</w:t>
      </w:r>
    </w:p>
    <w:p>
      <w:pPr>
        <w:pStyle w:val="BodyText"/>
      </w:pPr>
      <w:r>
        <w:t xml:space="preserve">The modern proportion problem asks for lower bounds on</w:t>
      </w:r>
    </w:p>
    <w:p>
      <w:pPr>
        <w:pStyle w:val="BodyText"/>
      </w:pPr>
      <m:oMathPara>
        <m:oMathParaPr>
          <m:jc m:val="center"/>
        </m:oMathParaPr>
        <m:oMath>
          <m:r>
            <m:t>κ</m:t>
          </m:r>
          <m:r>
            <m:rPr>
              <m:sty m:val="p"/>
            </m:rPr>
            <m:t>=</m:t>
          </m:r>
          <m:limLow>
            <m:e>
              <m:r>
                <m:rPr>
                  <m:sty m:val="p"/>
                </m:rPr>
                <m:t>liminf</m:t>
              </m:r>
            </m:e>
            <m:lim>
              <m:r>
                <m:t>T</m:t>
              </m:r>
              <m:r>
                <m:rPr>
                  <m:sty m:val="p"/>
                </m:rPr>
                <m:t>→</m:t>
              </m:r>
              <m:r>
                <m:rPr>
                  <m:sty m:val="p"/>
                </m:rPr>
                <m:t>∞</m:t>
              </m:r>
            </m:lim>
          </m:limLow>
          <m:f>
            <m:fPr>
              <m:type m:val="bar"/>
            </m:fPr>
            <m:num>
              <m:sSub>
                <m:e>
                  <m:r>
                    <m:t>N</m:t>
                  </m:r>
                </m:e>
                <m:sub>
                  <m:r>
                    <m:t>0</m:t>
                  </m:r>
                </m:sub>
              </m:sSub>
              <m:d>
                <m:dPr>
                  <m:begChr m:val="("/>
                  <m:endChr m:val=")"/>
                  <m:sepChr m:val=""/>
                  <m:grow/>
                </m:dPr>
                <m:e>
                  <m:r>
                    <m:t>T</m:t>
                  </m:r>
                </m:e>
              </m:d>
            </m:num>
            <m:den>
              <m:r>
                <m:t>N</m:t>
              </m:r>
              <m:d>
                <m:dPr>
                  <m:begChr m:val="("/>
                  <m:endChr m:val=")"/>
                  <m:sepChr m:val=""/>
                  <m:grow/>
                </m:dPr>
                <m:e>
                  <m:r>
                    <m:t>T</m:t>
                  </m:r>
                </m:e>
              </m:d>
            </m:den>
          </m:f>
          <m:r>
            <m:rPr>
              <m:sty m:val="p"/>
            </m:rPr>
            <m:t>.</m:t>
          </m:r>
        </m:oMath>
      </m:oMathPara>
    </w:p>
    <w:p>
      <w:pPr>
        <w:pStyle w:val="FirstParagraph"/>
      </w:pPr>
      <w:r>
        <w:t xml:space="preserve">Levinson [17] obtains more than one third. Conrey [28] passes two fifths. Bui-Conrey-Young [46], Feng [47], and Pratt-Robles-Zaharescu-Zeindler [54] continue the line of improvement and refinement.</w:t>
      </w:r>
    </w:p>
    <w:bookmarkStart w:id="32" w:name="what-a-mollifier-does"/>
    <w:p>
      <w:pPr>
        <w:pStyle w:val="Heading2"/>
      </w:pPr>
      <w:r>
        <w:t xml:space="preserve">4.1 What a mollifier does</w:t>
      </w:r>
    </w:p>
    <w:p>
      <w:pPr>
        <w:pStyle w:val="FirstParagraph"/>
      </w:pPr>
      <w:r>
        <w:t xml:space="preserve">A mollifier is a short Dirichlet polynomial designed to approximate</w:t>
      </w:r>
      <w:r>
        <w:t xml:space="preserve"> </w:t>
      </w:r>
      <m:oMath>
        <m:r>
          <m:t>1</m:t>
        </m:r>
        <m:r>
          <m:rPr>
            <m:sty m:val="p"/>
          </m:rPr>
          <m:t>/</m:t>
        </m:r>
        <m:r>
          <m:t>ζ</m:t>
        </m:r>
        <m:d>
          <m:dPr>
            <m:begChr m:val="("/>
            <m:endChr m:val=")"/>
            <m:sepChr m:val=""/>
            <m:grow/>
          </m:dPr>
          <m:e>
            <m:r>
              <m:t>s</m:t>
            </m:r>
          </m:e>
        </m:d>
      </m:oMath>
      <w:r>
        <w:t xml:space="preserve"> </w:t>
      </w:r>
      <w:r>
        <w:t xml:space="preserve">or a related inverse. One studies a mollified moment such as</w:t>
      </w:r>
    </w:p>
    <w:p>
      <w:pPr>
        <w:pStyle w:val="BodyText"/>
      </w:pPr>
      <m:oMathPara>
        <m:oMathParaPr>
          <m:jc m:val="center"/>
        </m:oMathParaPr>
        <m:oMath>
          <m:nary>
            <m:naryPr>
              <m:chr m:val="∫"/>
              <m:limLoc m:val="subSup"/>
              <m:subHide m:val="off"/>
              <m:supHide m:val="off"/>
            </m:naryPr>
            <m:sub>
              <m:r>
                <m:t>T</m:t>
              </m:r>
            </m:sub>
            <m:sup>
              <m:r>
                <m:t>2</m:t>
              </m:r>
              <m:r>
                <m:t>T</m:t>
              </m:r>
            </m:sup>
            <m:e>
              <m:sSup>
                <m:e>
                  <m:d>
                    <m:dPr>
                      <m:begChr m:val="|"/>
                      <m:endChr m:val="|"/>
                      <m:sepChr m:val=""/>
                      <m:grow/>
                    </m:dPr>
                    <m:e>
                      <m:r>
                        <m:t>ζ</m:t>
                      </m:r>
                      <m:d>
                        <m:dPr>
                          <m:begChr m:val="("/>
                          <m:endChr m:val=")"/>
                          <m:sepChr m:val=""/>
                          <m:grow/>
                        </m:dPr>
                        <m:e>
                          <m:r>
                            <m:t>σ</m:t>
                          </m:r>
                          <m:r>
                            <m:rPr>
                              <m:sty m:val="p"/>
                            </m:rPr>
                            <m:t>+</m:t>
                          </m:r>
                          <m:r>
                            <m:t>i</m:t>
                          </m:r>
                          <m:r>
                            <m:t>t</m:t>
                          </m:r>
                        </m:e>
                      </m:d>
                      <m:r>
                        <m:t>M</m:t>
                      </m:r>
                      <m:d>
                        <m:dPr>
                          <m:begChr m:val="("/>
                          <m:endChr m:val=")"/>
                          <m:sepChr m:val=""/>
                          <m:grow/>
                        </m:dPr>
                        <m:e>
                          <m:r>
                            <m:t>σ</m:t>
                          </m:r>
                          <m:r>
                            <m:rPr>
                              <m:sty m:val="p"/>
                            </m:rPr>
                            <m:t>+</m:t>
                          </m:r>
                          <m:r>
                            <m:t>i</m:t>
                          </m:r>
                          <m:r>
                            <m:t>t</m:t>
                          </m:r>
                        </m:e>
                      </m:d>
                    </m:e>
                  </m:d>
                </m:e>
                <m:sup>
                  <m:r>
                    <m:t>2</m:t>
                  </m:r>
                </m:sup>
              </m:sSup>
            </m:e>
          </m:nary>
          <m:r>
            <m:t>d</m:t>
          </m:r>
          <m:r>
            <m:t>t</m:t>
          </m:r>
          <m:r>
            <m:rPr>
              <m:sty m:val="p"/>
            </m:rPr>
            <m:t>.</m:t>
          </m:r>
        </m:oMath>
      </m:oMathPara>
    </w:p>
    <w:p>
      <w:pPr>
        <w:pStyle w:val="FirstParagraph"/>
      </w:pPr>
      <w:r>
        <w:t xml:space="preserve">If the mollifier neutralizes typical large fluctuations of zeta well enough, an argument principle or zero-detection calculation turns the moment into a lower bound for critical-line zeros.</w:t>
      </w:r>
    </w:p>
    <w:p>
      <w:pPr>
        <w:pStyle w:val="BodyText"/>
      </w:pPr>
      <w:r>
        <w:t xml:space="preserve">The difficulty is arithmetic: longer or more elaborate mollifiers require increasingly difficult twisted moment evaluations. This makes the critical-line corridor tightly connected to Dirichlet-polynomial technology, shifted convolution sums, spectral methods, and additive divisor problems.</w:t>
      </w:r>
    </w:p>
    <w:bookmarkEnd w:id="32"/>
    <w:bookmarkStart w:id="33" w:name="short-mollifiers-new-optimization"/>
    <w:p>
      <w:pPr>
        <w:pStyle w:val="Heading2"/>
      </w:pPr>
      <w:r>
        <w:t xml:space="preserve">4.2 Short mollifiers, new optimization</w:t>
      </w:r>
    </w:p>
    <w:p>
      <w:pPr>
        <w:pStyle w:val="FirstParagraph"/>
      </w:pPr>
      <w:r>
        <w:t xml:space="preserve">Conrey-Farmer-Kwan-Lin-Turnage-Butterbaugh [67] revisit Levinson-type constructions using calculus of variations to optimize linear combinations of derivatives. The point is methodological: some gains may come from optimizing the</w:t>
      </w:r>
      <w:r>
        <w:t xml:space="preserve"> </w:t>
      </w:r>
      <w:r>
        <w:rPr>
          <w:b/>
          <w:bCs/>
        </w:rPr>
        <w:t xml:space="preserve">functional form of the detector</w:t>
      </w:r>
      <w:r>
        <w:t xml:space="preserve">, not only from making the mollifier longer.</w:t>
      </w:r>
    </w:p>
    <w:p>
      <w:pPr>
        <w:pStyle w:val="BodyText"/>
      </w:pPr>
      <w:r>
        <w:t xml:space="preserve">This is relevant to any formal research program because it suggests separating two interfaces:</w:t>
      </w:r>
    </w:p>
    <w:p>
      <w:pPr>
        <w:pStyle w:val="BodyText"/>
      </w:pPr>
      <m:oMathPara>
        <m:oMathParaPr>
          <m:jc m:val="center"/>
        </m:oMathParaPr>
        <m:oMath>
          <m:r>
            <m:rPr>
              <m:nor/>
              <m:sty m:val="p"/>
            </m:rPr>
            <m:t>arithmetic moment input</m:t>
          </m:r>
          <m:r>
            <m:t> </m:t>
          </m:r>
          <m:r>
            <m:rPr>
              <m:nor/>
              <m:sty m:val="p"/>
            </m:rPr>
            <m:t>and</m:t>
          </m:r>
          <m:r>
            <m:t> </m:t>
          </m:r>
          <m:r>
            <m:rPr>
              <m:nor/>
              <m:sty m:val="p"/>
            </m:rPr>
            <m:t>analytic/spectral optimizer</m:t>
          </m:r>
          <m:r>
            <m:rPr>
              <m:sty m:val="p"/>
            </m:rPr>
            <m:t>.</m:t>
          </m:r>
        </m:oMath>
      </m:oMathPara>
    </w:p>
    <w:p>
      <w:pPr>
        <w:pStyle w:val="FirstParagraph"/>
      </w:pPr>
      <w:r>
        <w:t xml:space="preserve">A machine can then ask how much a fixed arithmetic input is worth under a better optimizer before anyone spends resources proving a stronger arithmetic theorem.</w:t>
      </w:r>
    </w:p>
    <w:bookmarkEnd w:id="33"/>
    <w:bookmarkEnd w:id="34"/>
    <w:bookmarkStart w:id="37" w:name="Xfe557e06323899ed229d95baafa1e3bb31131b6"/>
    <w:p>
      <w:pPr>
        <w:pStyle w:val="Heading1"/>
      </w:pPr>
      <w:r>
        <w:t xml:space="preserve">5. Corridor IV: pair correlation and zero statistics</w:t>
      </w:r>
    </w:p>
    <w:p>
      <w:pPr>
        <w:pStyle w:val="FirstParagraph"/>
      </w:pPr>
      <w:r>
        <w:t xml:space="preserve">Montgomery [16] studies the normalized difference of zero ordinates. A standard pair-correlation function can be written schematically as</w:t>
      </w:r>
    </w:p>
    <w:p>
      <w:pPr>
        <w:pStyle w:val="BodyText"/>
      </w:pPr>
      <m:oMathPara>
        <m:oMathParaPr>
          <m:jc m:val="center"/>
        </m:oMathParaPr>
        <m:oMath>
          <m:r>
            <m:t>F</m:t>
          </m:r>
          <m:d>
            <m:dPr>
              <m:begChr m:val="("/>
              <m:endChr m:val=")"/>
              <m:sepChr m:val=""/>
              <m:grow/>
            </m:dPr>
            <m:e>
              <m:r>
                <m:t>α</m:t>
              </m:r>
              <m:r>
                <m:rPr>
                  <m:sty m:val="p"/>
                </m:rPr>
                <m:t>,</m:t>
              </m:r>
              <m:r>
                <m:t>T</m:t>
              </m:r>
            </m:e>
          </m:d>
          <m:r>
            <m:rPr>
              <m:sty m:val="p"/>
            </m:rPr>
            <m:t>=</m:t>
          </m:r>
          <m:f>
            <m:fPr>
              <m:type m:val="bar"/>
            </m:fPr>
            <m:num>
              <m:r>
                <m:t>1</m:t>
              </m:r>
            </m:num>
            <m:den>
              <m:r>
                <m:t>N</m:t>
              </m:r>
              <m:d>
                <m:dPr>
                  <m:begChr m:val="("/>
                  <m:endChr m:val=")"/>
                  <m:sepChr m:val=""/>
                  <m:grow/>
                </m:dPr>
                <m:e>
                  <m:r>
                    <m:t>T</m:t>
                  </m:r>
                </m:e>
              </m:d>
            </m:den>
          </m:f>
          <m:nary>
            <m:naryPr>
              <m:chr m:val="∑"/>
              <m:limLoc m:val="undOvr"/>
              <m:subHide m:val="off"/>
              <m:supHide m:val="on"/>
            </m:naryPr>
            <m:sub>
              <m:r>
                <m:t>γ</m:t>
              </m:r>
              <m:r>
                <m:rPr>
                  <m:sty m:val="p"/>
                </m:rPr>
                <m:t>,</m:t>
              </m:r>
              <m:r>
                <m:t>γ</m:t>
              </m:r>
              <m:r>
                <m:rPr>
                  <m:sty m:val="p"/>
                </m:rPr>
                <m:t>′</m:t>
              </m:r>
            </m:sub>
            <m:sup>
              <m:r>
                <m:t>​</m:t>
              </m:r>
            </m:sup>
            <m:e>
              <m:sSup>
                <m:e>
                  <m:r>
                    <m:t>T</m:t>
                  </m:r>
                </m:e>
                <m:sup>
                  <m:r>
                    <m:t>i</m:t>
                  </m:r>
                  <m:r>
                    <m:t>α</m:t>
                  </m:r>
                  <m:d>
                    <m:dPr>
                      <m:begChr m:val="("/>
                      <m:endChr m:val=")"/>
                      <m:sepChr m:val=""/>
                      <m:grow/>
                    </m:dPr>
                    <m:e>
                      <m:r>
                        <m:t>γ</m:t>
                      </m:r>
                      <m:r>
                        <m:rPr>
                          <m:sty m:val="p"/>
                        </m:rPr>
                        <m:t>−</m:t>
                      </m:r>
                      <m:r>
                        <m:t>γ</m:t>
                      </m:r>
                      <m:r>
                        <m:rPr>
                          <m:sty m:val="p"/>
                        </m:rPr>
                        <m:t>′</m:t>
                      </m:r>
                    </m:e>
                  </m:d>
                </m:sup>
              </m:sSup>
            </m:e>
          </m:nary>
          <m:r>
            <m:t>w</m:t>
          </m:r>
          <m:d>
            <m:dPr>
              <m:begChr m:val="("/>
              <m:endChr m:val=")"/>
              <m:sepChr m:val=""/>
              <m:grow/>
            </m:dPr>
            <m:e>
              <m:r>
                <m:t>γ</m:t>
              </m:r>
              <m:r>
                <m:rPr>
                  <m:sty m:val="p"/>
                </m:rPr>
                <m:t>−</m:t>
              </m:r>
              <m:r>
                <m:t>γ</m:t>
              </m:r>
              <m:r>
                <m:rPr>
                  <m:sty m:val="p"/>
                </m:rPr>
                <m:t>′</m:t>
              </m:r>
            </m:e>
          </m:d>
          <m:r>
            <m:rPr>
              <m:sty m:val="p"/>
            </m:rPr>
            <m:t>,</m:t>
          </m:r>
        </m:oMath>
      </m:oMathPara>
    </w:p>
    <w:p>
      <w:pPr>
        <w:pStyle w:val="FirstParagraph"/>
      </w:pPr>
      <w:r>
        <w:t xml:space="preserve">with an appropriate weight</w:t>
      </w:r>
      <w:r>
        <w:t xml:space="preserve"> </w:t>
      </w:r>
      <m:oMath>
        <m:r>
          <m:t>w</m:t>
        </m:r>
      </m:oMath>
      <w:r>
        <w:t xml:space="preserve">. Under RH, Montgomery proved a theorem in a restricted Fourier-support range and conjectured the larger pair-correlation law. Dyson recognized the same local law as the pair statistics of the Gaussian Unitary Ensemble.</w:t>
      </w:r>
    </w:p>
    <w:p>
      <w:pPr>
        <w:pStyle w:val="BodyText"/>
      </w:pPr>
      <w:r>
        <w:t xml:space="preserve">Odlyzko’s computations [27] provide spectacular numerical agreement with the GUE picture. Berry [25], Berry-Keating [33], Keating-Snaith [38], and Fyodorov-Keating [49] turn this statistical similarity into a broad quantum-chaos and random-matrix research program.</w:t>
      </w:r>
    </w:p>
    <w:bookmarkStart w:id="35" w:name="pair-correlation-is-not-rh"/>
    <w:p>
      <w:pPr>
        <w:pStyle w:val="Heading2"/>
      </w:pPr>
      <w:r>
        <w:t xml:space="preserve">5.1 Pair correlation is not RH</w:t>
      </w:r>
    </w:p>
    <w:p>
      <w:pPr>
        <w:pStyle w:val="FirstParagraph"/>
      </w:pPr>
      <w:r>
        <w:t xml:space="preserve">Pair correlation describes how zeros are spaced. RH describes where their real parts are located. Historically, many pair-correlation formulas were proved or interpreted assuming RH, so the two questions were entangled.</w:t>
      </w:r>
    </w:p>
    <w:p>
      <w:pPr>
        <w:pStyle w:val="BodyText"/>
      </w:pPr>
      <w:r>
        <w:t xml:space="preserve">The modern papers [62], [64], [65], [68], [72], and [76] are important because they progressively separate the vertical and horizontal issues.</w:t>
      </w:r>
    </w:p>
    <w:p>
      <w:pPr>
        <w:pStyle w:val="BodyText"/>
      </w:pPr>
      <w:r>
        <w:t xml:space="preserve">Baluyot-Goldston-Suriajaya-Turnage-Butterbaugh [62] establish an unconditional Montgomery-type theorem that can accommodate off-line zeros. Goldston-Lee-Schettler-Suriajaya [65] show that the full Pair Correlation Conjecture itself would force asymptotically 100% of zeros to be simple and on the critical line, without needing RH as an additional hypothesis.</w:t>
      </w:r>
    </w:p>
    <w:p>
      <w:pPr>
        <w:pStyle w:val="BodyText"/>
      </w:pPr>
      <w:r>
        <w:t xml:space="preserve">The logical conclusion is</w:t>
      </w:r>
    </w:p>
    <w:p>
      <w:pPr>
        <w:pStyle w:val="BodyText"/>
      </w:pPr>
      <m:oMathPara>
        <m:oMathParaPr>
          <m:jc m:val="center"/>
        </m:oMathParaPr>
        <m:oMath>
          <m:r>
            <m:rPr>
              <m:sty m:val="p"/>
            </m:rPr>
            <m:t>P</m:t>
          </m:r>
          <m:r>
            <m:rPr>
              <m:sty m:val="p"/>
            </m:rPr>
            <m:t>C</m:t>
          </m:r>
          <m:r>
            <m:rPr>
              <m:sty m:val="p"/>
            </m:rPr>
            <m:t>C</m:t>
          </m:r>
          <m:r>
            <m:rPr>
              <m:sty m:val="p"/>
            </m:rPr>
            <m:t>⇒</m:t>
          </m:r>
          <m:f>
            <m:fPr>
              <m:type m:val="bar"/>
            </m:fPr>
            <m:num>
              <m:sSubSup>
                <m:e>
                  <m:r>
                    <m:t>N</m:t>
                  </m:r>
                </m:e>
                <m:sub>
                  <m:r>
                    <m:t>0</m:t>
                  </m:r>
                </m:sub>
                <m:sup>
                  <m:r>
                    <m:rPr>
                      <m:sty m:val="p"/>
                    </m:rPr>
                    <m:t>s</m:t>
                  </m:r>
                  <m:r>
                    <m:rPr>
                      <m:sty m:val="p"/>
                    </m:rPr>
                    <m:t>i</m:t>
                  </m:r>
                  <m:r>
                    <m:rPr>
                      <m:sty m:val="p"/>
                    </m:rPr>
                    <m:t>m</m:t>
                  </m:r>
                  <m:r>
                    <m:rPr>
                      <m:sty m:val="p"/>
                    </m:rPr>
                    <m:t>p</m:t>
                  </m:r>
                  <m:r>
                    <m:rPr>
                      <m:sty m:val="p"/>
                    </m:rPr>
                    <m:t>l</m:t>
                  </m:r>
                  <m:r>
                    <m:rPr>
                      <m:sty m:val="p"/>
                    </m:rPr>
                    <m:t>e</m:t>
                  </m:r>
                </m:sup>
              </m:sSubSup>
              <m:d>
                <m:dPr>
                  <m:begChr m:val="("/>
                  <m:endChr m:val=")"/>
                  <m:sepChr m:val=""/>
                  <m:grow/>
                </m:dPr>
                <m:e>
                  <m:r>
                    <m:t>T</m:t>
                  </m:r>
                </m:e>
              </m:d>
            </m:num>
            <m:den>
              <m:r>
                <m:t>N</m:t>
              </m:r>
              <m:d>
                <m:dPr>
                  <m:begChr m:val="("/>
                  <m:endChr m:val=")"/>
                  <m:sepChr m:val=""/>
                  <m:grow/>
                </m:dPr>
                <m:e>
                  <m:r>
                    <m:t>T</m:t>
                  </m:r>
                </m:e>
              </m:d>
            </m:den>
          </m:f>
          <m:r>
            <m:rPr>
              <m:sty m:val="p"/>
            </m:rPr>
            <m:t>→</m:t>
          </m:r>
          <m:r>
            <m:t>1</m:t>
          </m:r>
          <m:r>
            <m:rPr>
              <m:sty m:val="p"/>
            </m:rPr>
            <m:t>.</m:t>
          </m:r>
        </m:oMath>
      </m:oMathPara>
    </w:p>
    <w:p>
      <w:pPr>
        <w:pStyle w:val="FirstParagraph"/>
      </w:pPr>
      <w:r>
        <w:t xml:space="preserve">It is still not RH, because a zero-density exceptional set could remain off the line.</w:t>
      </w:r>
    </w:p>
    <w:bookmarkEnd w:id="35"/>
    <w:bookmarkStart w:id="36" w:name="the-2026-weil-forminertia-merger"/>
    <w:p>
      <w:pPr>
        <w:pStyle w:val="Heading2"/>
      </w:pPr>
      <w:r>
        <w:t xml:space="preserve">5.2 The 2026 Weil-form/inertia merger</w:t>
      </w:r>
    </w:p>
    <w:p>
      <w:pPr>
        <w:pStyle w:val="FirstParagraph"/>
      </w:pPr>
      <w:r>
        <w:t xml:space="preserve">Alpöge-Furman [76] merge modern pair-correlation input with Weil’s Hermitian-form viewpoint. The classical obstacle is that, without RH, the zero side of a Weil-form calculation is not a positive sum over real ordinates. Their method replaces unavailable global positivity with a finite-dimensional matrix compression and uses inertia/rank inequalities to control the contribution of off-line zero pairs.</w:t>
      </w:r>
    </w:p>
    <w:p>
      <w:pPr>
        <w:pStyle w:val="BodyText"/>
      </w:pPr>
      <w:r>
        <w:t xml:space="preserve">The result is unconditional: more than two thirds of nontrivial zeros are simple and lie on the critical line, with optimized constants around</w:t>
      </w:r>
      <w:r>
        <w:t xml:space="preserve"> </w:t>
      </w:r>
      <m:oMath>
        <m:r>
          <m:t>0.6725</m:t>
        </m:r>
      </m:oMath>
      <w:r>
        <w:t xml:space="preserve"> </w:t>
      </w:r>
      <w:r>
        <w:t xml:space="preserve">for the simple-critical statistic in the stated setup.</w:t>
      </w:r>
    </w:p>
    <w:p>
      <w:pPr>
        <w:pStyle w:val="BodyText"/>
      </w:pPr>
      <w:r>
        <w:t xml:space="preserve">This node is noteworthy because it connects corridors that used to be discussed separately:</w:t>
      </w:r>
    </w:p>
    <w:p>
      <w:pPr>
        <w:pStyle w:val="BodyText"/>
      </w:pPr>
      <m:oMathPara>
        <m:oMathParaPr>
          <m:jc m:val="center"/>
        </m:oMathParaPr>
        <m:oMath>
          <m:r>
            <m:rPr>
              <m:nor/>
              <m:sty m:val="p"/>
            </m:rPr>
            <m:t>pair correlation</m:t>
          </m:r>
          <m:r>
            <m:rPr>
              <m:sty m:val="p"/>
            </m:rPr>
            <m:t>+</m:t>
          </m:r>
          <m:r>
            <m:rPr>
              <m:nor/>
              <m:sty m:val="p"/>
            </m:rPr>
            <m:t>Weil explicit formula</m:t>
          </m:r>
          <m:r>
            <m:rPr>
              <m:sty m:val="p"/>
            </m:rPr>
            <m:t>+</m:t>
          </m:r>
          <m:r>
            <m:rPr>
              <m:nor/>
              <m:sty m:val="p"/>
            </m:rPr>
            <m:t>finite-dimensional spectral algebra</m:t>
          </m:r>
          <m:r>
            <m:rPr>
              <m:sty m:val="p"/>
            </m:rPr>
            <m:t>→</m:t>
          </m:r>
          <m:r>
            <m:rPr>
              <m:nor/>
              <m:sty m:val="p"/>
            </m:rPr>
            <m:t>critical-line proportion</m:t>
          </m:r>
          <m:r>
            <m:rPr>
              <m:sty m:val="p"/>
            </m:rPr>
            <m:t>.</m:t>
          </m:r>
        </m:oMath>
      </m:oMathPara>
    </w:p>
    <w:p>
      <w:pPr>
        <w:pStyle w:val="FirstParagraph"/>
      </w:pPr>
      <w:r>
        <w:t xml:space="preserve">It is also an example of a good formalization target architecture: the analytic estimates and the finite-dimensional optimizer can be separated, allowing one to ask which new arithmetic estimate would actually change the final constant.</w:t>
      </w:r>
    </w:p>
    <w:bookmarkEnd w:id="36"/>
    <w:bookmarkEnd w:id="37"/>
    <w:bookmarkStart w:id="38" w:name="X6202500684433dee4bbbdf7009824153312efbd"/>
    <w:p>
      <w:pPr>
        <w:pStyle w:val="Heading1"/>
      </w:pPr>
      <w:r>
        <w:t xml:space="preserve">6. Corridor V: Weil positivity and RH-equivalent quadratic forms</w:t>
      </w:r>
    </w:p>
    <w:p>
      <w:pPr>
        <w:pStyle w:val="FirstParagraph"/>
      </w:pPr>
      <w:r>
        <w:t xml:space="preserve">Weil [13] recasts RH through positivity of an explicit-formula quadratic form on a suitable class of test functions. Bombieri [39,43] develops this variational/functional viewpoint further.</w:t>
      </w:r>
    </w:p>
    <w:p>
      <w:pPr>
        <w:pStyle w:val="BodyText"/>
      </w:pPr>
      <w:r>
        <w:t xml:space="preserve">Very schematically, the explicit formula pairs a test function with primes on one side and zeros on the other. Under the right symmetry and normalization, RH is equivalent to positivity of the associated quadratic form:</w:t>
      </w:r>
    </w:p>
    <w:p>
      <w:pPr>
        <w:pStyle w:val="BodyText"/>
      </w:pPr>
      <m:oMathPara>
        <m:oMathParaPr>
          <m:jc m:val="center"/>
        </m:oMathParaPr>
        <m:oMath>
          <m:r>
            <m:t>Q</m:t>
          </m:r>
          <m:d>
            <m:dPr>
              <m:begChr m:val="("/>
              <m:endChr m:val=")"/>
              <m:sepChr m:val=""/>
              <m:grow/>
            </m:dPr>
            <m:e>
              <m:r>
                <m:t>f</m:t>
              </m:r>
            </m:e>
          </m:d>
          <m:r>
            <m:rPr>
              <m:sty m:val="p"/>
            </m:rPr>
            <m:t>≥</m:t>
          </m:r>
          <m:r>
            <m:t>0</m:t>
          </m:r>
          <m:r>
            <m:t> </m:t>
          </m:r>
          <m:r>
            <m:rPr>
              <m:nor/>
              <m:sty m:val="p"/>
            </m:rPr>
            <m:t>for all admissible </m:t>
          </m:r>
          <m:r>
            <m:t>f</m:t>
          </m:r>
          <m:r>
            <m:rPr>
              <m:sty m:val="p"/>
            </m:rPr>
            <m:t>.</m:t>
          </m:r>
        </m:oMath>
      </m:oMathPara>
    </w:p>
    <w:p>
      <w:pPr>
        <w:pStyle w:val="FirstParagraph"/>
      </w:pPr>
      <w:r>
        <w:t xml:space="preserve">This is stronger than a statistical theorem about most zeros. It is an</w:t>
      </w:r>
      <w:r>
        <w:t xml:space="preserve"> </w:t>
      </w:r>
      <w:r>
        <w:rPr>
          <w:b/>
          <w:bCs/>
        </w:rPr>
        <w:t xml:space="preserve">all-test-functions</w:t>
      </w:r>
      <w:r>
        <w:t xml:space="preserve"> </w:t>
      </w:r>
      <w:r>
        <w:t xml:space="preserve">positivity statement and therefore has enough rigidity to be equivalent to RH.</w:t>
      </w:r>
    </w:p>
    <w:p>
      <w:pPr>
        <w:pStyle w:val="BodyText"/>
      </w:pPr>
      <w:r>
        <w:t xml:space="preserve">The contrast with [76] is instructive. Alpöge-Furman do not prove the full Weil positivity criterion. They compress the form to a finite-dimensional space and use signature information rather than global positivity. That weaker input can force a large proportion of zeros onto the line, but not all of them.</w:t>
      </w:r>
    </w:p>
    <w:p>
      <w:pPr>
        <w:pStyle w:val="BodyText"/>
      </w:pPr>
      <w:r>
        <w:t xml:space="preserve">This gives a useful hierarchy:</w:t>
      </w:r>
    </w:p>
    <w:p>
      <w:pPr>
        <w:pStyle w:val="BodyText"/>
      </w:pPr>
      <m:oMathPara>
        <m:oMathParaPr>
          <m:jc m:val="center"/>
        </m:oMathParaPr>
        <m:oMath>
          <m:r>
            <m:rPr>
              <m:nor/>
              <m:sty m:val="p"/>
            </m:rPr>
            <m:t>finite trace/rank information</m:t>
          </m:r>
          <m:r>
            <m:rPr>
              <m:sty m:val="p"/>
            </m:rPr>
            <m:t>&lt;</m:t>
          </m:r>
          <m:r>
            <m:rPr>
              <m:nor/>
              <m:sty m:val="p"/>
            </m:rPr>
            <m:t>strong finite-dimensional positivity</m:t>
          </m:r>
          <m:r>
            <m:rPr>
              <m:sty m:val="p"/>
            </m:rPr>
            <m:t>&lt;</m:t>
          </m:r>
          <m:r>
            <m:rPr>
              <m:nor/>
              <m:sty m:val="p"/>
            </m:rPr>
            <m:t>global Weil positivity</m:t>
          </m:r>
          <m:r>
            <m:rPr>
              <m:sty m:val="p"/>
            </m:rPr>
            <m:t>⇔</m:t>
          </m:r>
          <m:r>
            <m:rPr>
              <m:sty m:val="p"/>
            </m:rPr>
            <m:t>R</m:t>
          </m:r>
          <m:r>
            <m:rPr>
              <m:sty m:val="p"/>
            </m:rPr>
            <m:t>H</m:t>
          </m:r>
          <m:r>
            <m:rPr>
              <m:sty m:val="p"/>
            </m:rPr>
            <m:t>.</m:t>
          </m:r>
        </m:oMath>
      </m:oMathPara>
    </w:p>
    <w:bookmarkEnd w:id="38"/>
    <w:bookmarkStart w:id="45" w:name="corridor-vi-equivalent-criteria"/>
    <w:p>
      <w:pPr>
        <w:pStyle w:val="Heading1"/>
      </w:pPr>
      <w:r>
        <w:t xml:space="preserve">7. Corridor VI: equivalent criteria</w:t>
      </w:r>
    </w:p>
    <w:p>
      <w:pPr>
        <w:pStyle w:val="FirstParagraph"/>
      </w:pPr>
      <w:r>
        <w:t xml:space="preserve">Equivalent criteria are logically powerful but can be misleading as a research map. They replace RH with another statement, but they do not automatically make the problem easier.</w:t>
      </w:r>
    </w:p>
    <w:bookmarkStart w:id="39" w:name="speiser"/>
    <w:p>
      <w:pPr>
        <w:pStyle w:val="Heading2"/>
      </w:pPr>
      <w:r>
        <w:t xml:space="preserve">7.1 Speiser</w:t>
      </w:r>
    </w:p>
    <w:p>
      <w:pPr>
        <w:pStyle w:val="FirstParagraph"/>
      </w:pPr>
      <w:r>
        <w:t xml:space="preserve">Speiser [6] relates RH to the zeros of</w:t>
      </w:r>
      <w:r>
        <w:t xml:space="preserve"> </w:t>
      </w:r>
      <m:oMath>
        <m:r>
          <m:t>ζ</m:t>
        </m:r>
        <m:r>
          <m:rPr>
            <m:sty m:val="p"/>
          </m:rPr>
          <m:t>′</m:t>
        </m:r>
        <m:d>
          <m:dPr>
            <m:begChr m:val="("/>
            <m:endChr m:val=")"/>
            <m:sepChr m:val=""/>
            <m:grow/>
          </m:dPr>
          <m:e>
            <m:r>
              <m:t>s</m:t>
            </m:r>
          </m:e>
        </m:d>
      </m:oMath>
      <w:r>
        <w:t xml:space="preserve">. In one common formulation, RH is equivalent to the absence of nonreal zeros of</w:t>
      </w:r>
      <w:r>
        <w:t xml:space="preserve"> </w:t>
      </w:r>
      <m:oMath>
        <m:r>
          <m:t>ζ</m:t>
        </m:r>
        <m:r>
          <m:rPr>
            <m:sty m:val="p"/>
          </m:rPr>
          <m:t>′</m:t>
        </m:r>
      </m:oMath>
      <w:r>
        <w:t xml:space="preserve"> </w:t>
      </w:r>
      <w:r>
        <w:t xml:space="preserve">to the left of the critical line. This changes the geometric object but not the depth of the problem.</w:t>
      </w:r>
    </w:p>
    <w:bookmarkEnd w:id="39"/>
    <w:bookmarkStart w:id="40" w:name="nyman-beurling-and-báez-duarte"/>
    <w:p>
      <w:pPr>
        <w:pStyle w:val="Heading2"/>
      </w:pPr>
      <w:r>
        <w:t xml:space="preserve">7.2 Nyman-Beurling and Báez-Duarte</w:t>
      </w:r>
    </w:p>
    <w:p>
      <w:pPr>
        <w:pStyle w:val="FirstParagraph"/>
      </w:pPr>
      <w:r>
        <w:t xml:space="preserve">Nyman [11] and Beurling [15] recast RH as a closure problem in a Hilbert/function space. Báez-Duarte [42] supplies a strengthened/discrete formulation. The corridor is</w:t>
      </w:r>
    </w:p>
    <w:p>
      <w:pPr>
        <w:pStyle w:val="BodyText"/>
      </w:pPr>
      <m:oMathPara>
        <m:oMathParaPr>
          <m:jc m:val="center"/>
        </m:oMathParaPr>
        <m:oMath>
          <m:r>
            <m:rPr>
              <m:sty m:val="p"/>
            </m:rPr>
            <m:t>R</m:t>
          </m:r>
          <m:r>
            <m:rPr>
              <m:sty m:val="p"/>
            </m:rPr>
            <m:t>H</m:t>
          </m:r>
          <m:r>
            <m:rPr>
              <m:sty m:val="p"/>
            </m:rPr>
            <m:t>⇔</m:t>
          </m:r>
          <m:r>
            <m:rPr>
              <m:nor/>
              <m:sty m:val="p"/>
            </m:rPr>
            <m:t>a certain target function lies in the closure of a span of fractional-part functions</m:t>
          </m:r>
          <m:r>
            <m:rPr>
              <m:sty m:val="p"/>
            </m:rPr>
            <m:t>.</m:t>
          </m:r>
        </m:oMath>
      </m:oMathPara>
    </w:p>
    <w:p>
      <w:pPr>
        <w:pStyle w:val="FirstParagraph"/>
      </w:pPr>
      <w:r>
        <w:t xml:space="preserve">This opens approximation theory, operator theory, and functional analysis as possible tools.</w:t>
      </w:r>
    </w:p>
    <w:bookmarkEnd w:id="40"/>
    <w:bookmarkStart w:id="41" w:name="robin-and-lagarias"/>
    <w:p>
      <w:pPr>
        <w:pStyle w:val="Heading2"/>
      </w:pPr>
      <w:r>
        <w:t xml:space="preserve">7.3 Robin and Lagarias</w:t>
      </w:r>
    </w:p>
    <w:p>
      <w:pPr>
        <w:pStyle w:val="FirstParagraph"/>
      </w:pPr>
      <w:r>
        <w:t xml:space="preserve">Robin [23] gives an RH-equivalent inequality involving the sum-of-divisors function. Lagarias [40] gives an elementary-looking harmonic-number reformulation. The striking lesson is that an elementary statement can encode all of RH. Elementary syntax is not evidence of an easy proof.</w:t>
      </w:r>
    </w:p>
    <w:bookmarkEnd w:id="41"/>
    <w:bookmarkStart w:id="42" w:name="li-and-bombieri-lagarias"/>
    <w:p>
      <w:pPr>
        <w:pStyle w:val="Heading2"/>
      </w:pPr>
      <w:r>
        <w:t xml:space="preserve">7.4 Li and Bombieri-Lagarias</w:t>
      </w:r>
    </w:p>
    <w:p>
      <w:pPr>
        <w:pStyle w:val="FirstParagraph"/>
      </w:pPr>
      <w:r>
        <w:t xml:space="preserve">Li [31] defines a sequence of coefficients</w:t>
      </w:r>
      <w:r>
        <w:t xml:space="preserve"> </w:t>
      </w:r>
      <m:oMath>
        <m:sSub>
          <m:e>
            <m:r>
              <m:t>λ</m:t>
            </m:r>
          </m:e>
          <m:sub>
            <m:r>
              <m:t>n</m:t>
            </m:r>
          </m:sub>
        </m:sSub>
      </m:oMath>
      <w:r>
        <w:t xml:space="preserve"> </w:t>
      </w:r>
      <w:r>
        <w:t xml:space="preserve">constructed from derivatives of the completed zeta function. RH is equivalent to</w:t>
      </w:r>
    </w:p>
    <w:p>
      <w:pPr>
        <w:pStyle w:val="BodyText"/>
      </w:pPr>
      <m:oMathPara>
        <m:oMathParaPr>
          <m:jc m:val="center"/>
        </m:oMathParaPr>
        <m:oMath>
          <m:sSub>
            <m:e>
              <m:r>
                <m:t>λ</m:t>
              </m:r>
            </m:e>
            <m:sub>
              <m:r>
                <m:t>n</m:t>
              </m:r>
            </m:sub>
          </m:sSub>
          <m:r>
            <m:rPr>
              <m:sty m:val="p"/>
            </m:rPr>
            <m:t>≥</m:t>
          </m:r>
          <m:r>
            <m:t>0</m:t>
          </m:r>
          <m:r>
            <m:t>  </m:t>
          </m:r>
          <m:r>
            <m:rPr>
              <m:nor/>
              <m:sty m:val="p"/>
            </m:rPr>
            <m:t>for every </m:t>
          </m:r>
          <m:r>
            <m:t>n</m:t>
          </m:r>
          <m:r>
            <m:rPr>
              <m:sty m:val="p"/>
            </m:rPr>
            <m:t>≥</m:t>
          </m:r>
          <m:r>
            <m:t>1</m:t>
          </m:r>
          <m:r>
            <m:rPr>
              <m:sty m:val="p"/>
            </m:rPr>
            <m:t>.</m:t>
          </m:r>
        </m:oMath>
      </m:oMathPara>
    </w:p>
    <w:p>
      <w:pPr>
        <w:pStyle w:val="FirstParagraph"/>
      </w:pPr>
      <w:r>
        <w:t xml:space="preserve">Bombieri-Lagarias [35] generalize and clarify the positivity mechanism. This is another instance of a global positivity family equivalent to RH.</w:t>
      </w:r>
    </w:p>
    <w:bookmarkEnd w:id="42"/>
    <w:bookmarkStart w:id="43" w:name="balazard-saias-yor"/>
    <w:p>
      <w:pPr>
        <w:pStyle w:val="Heading2"/>
      </w:pPr>
      <w:r>
        <w:t xml:space="preserve">7.5 Balazard-Saias-Yor</w:t>
      </w:r>
    </w:p>
    <w:p>
      <w:pPr>
        <w:pStyle w:val="FirstParagraph"/>
      </w:pPr>
      <w:r>
        <w:t xml:space="preserve">Balazard-Saias-Yor [32] give an integral criterion, often written in a form involving</w:t>
      </w:r>
    </w:p>
    <w:p>
      <w:pPr>
        <w:pStyle w:val="BodyText"/>
      </w:pPr>
      <m:oMathPara>
        <m:oMathParaPr>
          <m:jc m:val="center"/>
        </m:oMathParaPr>
        <m:oMath>
          <m:nary>
            <m:naryPr>
              <m:chr m:val="∫"/>
              <m:limLoc m:val="subSup"/>
              <m:subHide m:val="off"/>
              <m:supHide m:val="off"/>
            </m:naryPr>
            <m:sub>
              <m:r>
                <m:rPr>
                  <m:sty m:val="p"/>
                </m:rPr>
                <m:t>−</m:t>
              </m:r>
              <m:r>
                <m:rPr>
                  <m:sty m:val="p"/>
                </m:rPr>
                <m:t>∞</m:t>
              </m:r>
            </m:sub>
            <m:sup>
              <m:r>
                <m:rPr>
                  <m:sty m:val="p"/>
                </m:rPr>
                <m:t>∞</m:t>
              </m:r>
            </m:sup>
            <m:e>
              <m:f>
                <m:fPr>
                  <m:type m:val="bar"/>
                </m:fPr>
                <m:num>
                  <m:r>
                    <m:rPr>
                      <m:sty m:val="p"/>
                    </m:rPr>
                    <m:t>log</m:t>
                  </m:r>
                  <m:d>
                    <m:dPr>
                      <m:begChr m:val="|"/>
                      <m:endChr m:val="|"/>
                      <m:sepChr m:val=""/>
                      <m:grow/>
                    </m:dPr>
                    <m:e>
                      <m:r>
                        <m:t>ζ</m:t>
                      </m:r>
                      <m:d>
                        <m:dPr>
                          <m:begChr m:val="("/>
                          <m:endChr m:val=")"/>
                          <m:sepChr m:val=""/>
                          <m:grow/>
                        </m:dPr>
                        <m:e>
                          <m:r>
                            <m:t>1</m:t>
                          </m:r>
                          <m:r>
                            <m:rPr>
                              <m:sty m:val="p"/>
                            </m:rPr>
                            <m:t>/</m:t>
                          </m:r>
                          <m:r>
                            <m:t>2</m:t>
                          </m:r>
                          <m:r>
                            <m:rPr>
                              <m:sty m:val="p"/>
                            </m:rPr>
                            <m:t>+</m:t>
                          </m:r>
                          <m:r>
                            <m:t>i</m:t>
                          </m:r>
                          <m:r>
                            <m:t>t</m:t>
                          </m:r>
                        </m:e>
                      </m:d>
                    </m:e>
                  </m:d>
                </m:num>
                <m:den>
                  <m:r>
                    <m:t>1</m:t>
                  </m:r>
                  <m:r>
                    <m:rPr>
                      <m:sty m:val="p"/>
                    </m:rPr>
                    <m:t>/</m:t>
                  </m:r>
                  <m:r>
                    <m:t>4</m:t>
                  </m:r>
                  <m:r>
                    <m:rPr>
                      <m:sty m:val="p"/>
                    </m:rPr>
                    <m:t>+</m:t>
                  </m:r>
                  <m:sSup>
                    <m:e>
                      <m:r>
                        <m:t>t</m:t>
                      </m:r>
                    </m:e>
                    <m:sup>
                      <m:r>
                        <m:t>2</m:t>
                      </m:r>
                    </m:sup>
                  </m:sSup>
                </m:den>
              </m:f>
            </m:e>
          </m:nary>
          <m:r>
            <m:t> </m:t>
          </m:r>
          <m:r>
            <m:t>d</m:t>
          </m:r>
          <m:r>
            <m:t>t</m:t>
          </m:r>
          <m:r>
            <m:rPr>
              <m:sty m:val="p"/>
            </m:rPr>
            <m:t>.</m:t>
          </m:r>
        </m:oMath>
      </m:oMathPara>
    </w:p>
    <w:p>
      <w:pPr>
        <w:pStyle w:val="FirstParagraph"/>
      </w:pPr>
      <w:r>
        <w:t xml:space="preserve">The exact identity characterizes RH. Again, the problem is transferred into a different analytic quantity rather than weakened.</w:t>
      </w:r>
    </w:p>
    <w:bookmarkEnd w:id="43"/>
    <w:bookmarkStart w:id="44" w:name="conreys-character-sum-criterion"/>
    <w:p>
      <w:pPr>
        <w:pStyle w:val="Heading2"/>
      </w:pPr>
      <w:r>
        <w:t xml:space="preserve">7.6 Conrey’s character-sum criterion</w:t>
      </w:r>
    </w:p>
    <w:p>
      <w:pPr>
        <w:pStyle w:val="FirstParagraph"/>
      </w:pPr>
      <w:r>
        <w:t xml:space="preserve">Conrey [60] identifies a character-sum inequality sufficient for RH. It is attractive because it connects RH to finite arithmetic sums, but the missing inequality is itself very strong. The right research question is not whether the criterion is equivalent-looking, but whether modern character-sum or trace-function machinery has a path to the required uniformity.</w:t>
      </w:r>
    </w:p>
    <w:bookmarkEnd w:id="44"/>
    <w:bookmarkEnd w:id="45"/>
    <w:bookmarkStart w:id="46" w:name="X245ff241812c733b3275f7936ffae5e5d30587f"/>
    <w:p>
      <w:pPr>
        <w:pStyle w:val="Heading1"/>
      </w:pPr>
      <w:r>
        <w:t xml:space="preserve">8. Corridor VII: the de Bruijn-Newman constant</w:t>
      </w:r>
    </w:p>
    <w:p>
      <w:pPr>
        <w:pStyle w:val="FirstParagraph"/>
      </w:pPr>
      <w:r>
        <w:t xml:space="preserve">The de Bruijn-Newman program deforms the Fourier representation of the xi function by a heat-flow parameter</w:t>
      </w:r>
      <w:r>
        <w:t xml:space="preserve"> </w:t>
      </w:r>
      <w:r>
        <w:rPr>
          <w:rStyle w:val="VerbatimChar"/>
        </w:rPr>
        <w:t xml:space="preserve">t</w:t>
      </w:r>
      <w:r>
        <w:t xml:space="preserve">. One obtains entire functions</w:t>
      </w:r>
      <w:r>
        <w:t xml:space="preserve"> </w:t>
      </w:r>
      <m:oMath>
        <m:sSub>
          <m:e>
            <m:r>
              <m:t>H</m:t>
            </m:r>
          </m:e>
          <m:sub>
            <m:r>
              <m:t>t</m:t>
            </m:r>
          </m:sub>
        </m:sSub>
        <m:d>
          <m:dPr>
            <m:begChr m:val="("/>
            <m:endChr m:val=")"/>
            <m:sepChr m:val=""/>
            <m:grow/>
          </m:dPr>
          <m:e>
            <m:r>
              <m:t>z</m:t>
            </m:r>
          </m:e>
        </m:d>
      </m:oMath>
      <w:r>
        <w:t xml:space="preserve"> </w:t>
      </w:r>
      <w:r>
        <w:t xml:space="preserve">such that there is a real constant</w:t>
      </w:r>
      <w:r>
        <w:t xml:space="preserve"> </w:t>
      </w:r>
      <m:oMath>
        <m:r>
          <m:t>Λ</m:t>
        </m:r>
      </m:oMath>
      <w:r>
        <w:t xml:space="preserve"> </w:t>
      </w:r>
      <w:r>
        <w:t xml:space="preserve">with the property that all zeros of</w:t>
      </w:r>
      <w:r>
        <w:t xml:space="preserve"> </w:t>
      </w:r>
      <w:r>
        <w:rPr>
          <w:rStyle w:val="VerbatimChar"/>
        </w:rPr>
        <w:t xml:space="preserve">H_t</w:t>
      </w:r>
      <w:r>
        <w:t xml:space="preserve"> </w:t>
      </w:r>
      <w:r>
        <w:t xml:space="preserve">are real exactly when</w:t>
      </w:r>
      <w:r>
        <w:t xml:space="preserve"> </w:t>
      </w:r>
      <m:oMath>
        <m:r>
          <m:t>t</m:t>
        </m:r>
        <m:r>
          <m:rPr>
            <m:sty m:val="p"/>
          </m:rPr>
          <m:t>≥</m:t>
        </m:r>
        <m:r>
          <m:t>Λ</m:t>
        </m:r>
      </m:oMath>
      <w:r>
        <w:t xml:space="preserve">.</w:t>
      </w:r>
    </w:p>
    <w:p>
      <w:pPr>
        <w:pStyle w:val="BodyText"/>
      </w:pPr>
      <w:r>
        <w:t xml:space="preserve">De Bruijn [12] and Newman [20] establish the basic theory. The Riemann Hypothesis is equivalent to</w:t>
      </w:r>
    </w:p>
    <w:p>
      <w:pPr>
        <w:pStyle w:val="BodyText"/>
      </w:pPr>
      <m:oMathPara>
        <m:oMathParaPr>
          <m:jc m:val="center"/>
        </m:oMathParaPr>
        <m:oMath>
          <m:r>
            <m:t>Λ</m:t>
          </m:r>
          <m:r>
            <m:rPr>
              <m:sty m:val="p"/>
            </m:rPr>
            <m:t>≤</m:t>
          </m:r>
          <m:r>
            <m:t>0</m:t>
          </m:r>
          <m:r>
            <m:rPr>
              <m:sty m:val="p"/>
            </m:rPr>
            <m:t>.</m:t>
          </m:r>
        </m:oMath>
      </m:oMathPara>
    </w:p>
    <w:p>
      <w:pPr>
        <w:pStyle w:val="FirstParagraph"/>
      </w:pPr>
      <w:r>
        <w:t xml:space="preserve">Newman’s philosophy was that if RH is true, it should be</w:t>
      </w:r>
      <w:r>
        <w:t xml:space="preserve"> </w:t>
      </w:r>
      <w:r>
        <w:t xml:space="preserve">“</w:t>
      </w:r>
      <w:r>
        <w:t xml:space="preserve">barely true</w:t>
      </w:r>
      <w:r>
        <w:t xml:space="preserve">”</w:t>
      </w:r>
      <w:r>
        <w:t xml:space="preserve">. Rodgers-Tao [55] prove</w:t>
      </w:r>
    </w:p>
    <w:p>
      <w:pPr>
        <w:pStyle w:val="BodyText"/>
      </w:pPr>
      <m:oMathPara>
        <m:oMathParaPr>
          <m:jc m:val="center"/>
        </m:oMathParaPr>
        <m:oMath>
          <m:r>
            <m:t>Λ</m:t>
          </m:r>
          <m:r>
            <m:rPr>
              <m:sty m:val="p"/>
            </m:rPr>
            <m:t>≥</m:t>
          </m:r>
          <m:r>
            <m:t>0</m:t>
          </m:r>
          <m:r>
            <m:rPr>
              <m:sty m:val="p"/>
            </m:rPr>
            <m:t>.</m:t>
          </m:r>
        </m:oMath>
      </m:oMathPara>
    </w:p>
    <w:p>
      <w:pPr>
        <w:pStyle w:val="FirstParagraph"/>
      </w:pPr>
      <w:r>
        <w:t xml:space="preserve">Consequently RH is now equivalent to the sharp equality</w:t>
      </w:r>
    </w:p>
    <w:p>
      <w:pPr>
        <w:pStyle w:val="BodyText"/>
      </w:pPr>
      <m:oMathPara>
        <m:oMathParaPr>
          <m:jc m:val="center"/>
        </m:oMathParaPr>
        <m:oMath>
          <m:borderBox>
            <m:e>
              <m:r>
                <m:t>Λ</m:t>
              </m:r>
              <m:r>
                <m:rPr>
                  <m:sty m:val="p"/>
                </m:rPr>
                <m:t>=</m:t>
              </m:r>
              <m:r>
                <m:t>0</m:t>
              </m:r>
              <m:r>
                <m:rPr>
                  <m:sty m:val="p"/>
                </m:rPr>
                <m:t>.</m:t>
              </m:r>
            </m:e>
          </m:borderBox>
        </m:oMath>
      </m:oMathPara>
    </w:p>
    <w:p>
      <w:pPr>
        <w:pStyle w:val="FirstParagraph"/>
      </w:pPr>
      <w:r>
        <w:t xml:space="preserve">Ki-Kim-Lee [45] and the Polymath project [52] improve the opposite, upper-bound side.</w:t>
      </w:r>
    </w:p>
    <w:p>
      <w:pPr>
        <w:pStyle w:val="BodyText"/>
      </w:pPr>
      <w:r>
        <w:t xml:space="preserve">This is one of the cleanest examples of dimensional compression in the RH landscape: an infinite zero-location statement becomes an exact question about one real constant. That does not imply the compressed problem is easier. It does, however, create a distinct analytic corridor involving heat flow, zero dynamics, and near-collisions such as Lehmer pairs [30].</w:t>
      </w:r>
    </w:p>
    <w:bookmarkEnd w:id="46"/>
    <w:bookmarkStart w:id="47" w:name="X8008c324357de499dc13cce5933fa084cab5cf9"/>
    <w:p>
      <w:pPr>
        <w:pStyle w:val="Heading1"/>
      </w:pPr>
      <w:r>
        <w:t xml:space="preserve">9. Corridor VIII: arithmetic geometry and the proved finite-field analogue</w:t>
      </w:r>
    </w:p>
    <w:p>
      <w:pPr>
        <w:pStyle w:val="FirstParagraph"/>
      </w:pPr>
      <w:r>
        <w:t xml:space="preserve">Weil [10] formulates and proves major cases of the finite-field zeta-function conjectures. Deligne [18] proves the remaining Weil conjectures, including the relevant RH-type purity statement.</w:t>
      </w:r>
    </w:p>
    <w:p>
      <w:pPr>
        <w:pStyle w:val="BodyText"/>
      </w:pPr>
      <w:r>
        <w:t xml:space="preserve">For a smooth projective variety over a finite field, the zeta function can be expressed in terms of characteristic polynomials of Frobenius acting on cohomology. The analogue of RH becomes a statement about absolute values of Frobenius eigenvalues. Purity gives exactly the spectral constraint needed.</w:t>
      </w:r>
    </w:p>
    <w:p>
      <w:pPr>
        <w:pStyle w:val="BodyText"/>
      </w:pPr>
      <w:r>
        <w:t xml:space="preserve">This is a genuine proof of an RH analogue, not evidence in the statistical sense.</w:t>
      </w:r>
    </w:p>
    <w:p>
      <w:pPr>
        <w:pStyle w:val="BodyText"/>
      </w:pPr>
      <w:r>
        <w:t xml:space="preserve">The classical zeta function lacks an accepted object playing the same role as:</w:t>
      </w:r>
    </w:p>
    <w:p>
      <w:pPr>
        <w:pStyle w:val="Compact"/>
        <w:numPr>
          <w:ilvl w:val="0"/>
          <w:numId w:val="1003"/>
        </w:numPr>
      </w:pPr>
      <w:r>
        <w:t xml:space="preserve">a cohomology theory attached to an arithmetic space over the integers;</w:t>
      </w:r>
    </w:p>
    <w:p>
      <w:pPr>
        <w:pStyle w:val="Compact"/>
        <w:numPr>
          <w:ilvl w:val="0"/>
          <w:numId w:val="1003"/>
        </w:numPr>
      </w:pPr>
      <w:r>
        <w:t xml:space="preserve">a Frobenius-like operator;</w:t>
      </w:r>
    </w:p>
    <w:p>
      <w:pPr>
        <w:pStyle w:val="Compact"/>
        <w:numPr>
          <w:ilvl w:val="0"/>
          <w:numId w:val="1003"/>
        </w:numPr>
      </w:pPr>
      <w:r>
        <w:t xml:space="preserve">a positivity/purity theorem forcing the spectrum onto the correct line.</w:t>
      </w:r>
    </w:p>
    <w:p>
      <w:pPr>
        <w:pStyle w:val="FirstParagraph"/>
      </w:pPr>
      <w:r>
        <w:t xml:space="preserve">Deninger [29], Connes [34], Connes-Consani [48], and Connes’s 2026 survey/research perspective [70] explore different attempts to construct or interpret such missing structures.</w:t>
      </w:r>
    </w:p>
    <w:p>
      <w:pPr>
        <w:pStyle w:val="BodyText"/>
      </w:pPr>
      <w:r>
        <w:t xml:space="preserve">The map arrow from Deligne to classical RH is therefore an</w:t>
      </w:r>
      <w:r>
        <w:t xml:space="preserve"> </w:t>
      </w:r>
      <w:r>
        <w:rPr>
          <w:b/>
          <w:bCs/>
        </w:rPr>
        <w:t xml:space="preserve">analogy arrow</w:t>
      </w:r>
      <w:r>
        <w:t xml:space="preserve">, not a theorem arrow.</w:t>
      </w:r>
    </w:p>
    <w:bookmarkEnd w:id="47"/>
    <w:bookmarkStart w:id="48" w:name="X441820bb4c266b32303127bc61076431e8f5317"/>
    <w:p>
      <w:pPr>
        <w:pStyle w:val="Heading1"/>
      </w:pPr>
      <w:r>
        <w:t xml:space="preserve">10. Corridor IX: Hilbert-Pólya and spectral physics</w:t>
      </w:r>
    </w:p>
    <w:p>
      <w:pPr>
        <w:pStyle w:val="FirstParagraph"/>
      </w:pPr>
      <w:r>
        <w:t xml:space="preserve">The Hilbert-Pólya dream is to find a self-adjoint operator</w:t>
      </w:r>
      <w:r>
        <w:t xml:space="preserve"> </w:t>
      </w:r>
      <m:oMath>
        <m:r>
          <m:t>H</m:t>
        </m:r>
      </m:oMath>
      <w:r>
        <w:t xml:space="preserve"> </w:t>
      </w:r>
      <w:r>
        <w:t xml:space="preserve">whose eigenvalues are the imaginary parts of zeta zeros:</w:t>
      </w:r>
    </w:p>
    <w:p>
      <w:pPr>
        <w:pStyle w:val="BodyText"/>
      </w:pPr>
      <m:oMathPara>
        <m:oMathParaPr>
          <m:jc m:val="center"/>
        </m:oMathParaPr>
        <m:oMath>
          <m:r>
            <m:rPr>
              <m:sty m:val="p"/>
            </m:rPr>
            <m:t>Spec</m:t>
          </m:r>
          <m:d>
            <m:dPr>
              <m:begChr m:val="("/>
              <m:endChr m:val=")"/>
              <m:sepChr m:val=""/>
              <m:grow/>
            </m:dPr>
            <m:e>
              <m:r>
                <m:t>H</m:t>
              </m:r>
            </m:e>
          </m:d>
          <m:r>
            <m:rPr>
              <m:sty m:val="p"/>
            </m:rPr>
            <m:t>=</m:t>
          </m:r>
          <m:r>
            <m:rPr>
              <m:sty m:val="p"/>
            </m:rPr>
            <m:t>{</m:t>
          </m:r>
          <m:r>
            <m:t>γ</m:t>
          </m:r>
          <m:r>
            <m:rPr>
              <m:sty m:val="p"/>
            </m:rPr>
            <m:t>:</m:t>
          </m:r>
          <m:r>
            <m:t>ζ</m:t>
          </m:r>
          <m:d>
            <m:dPr>
              <m:begChr m:val="("/>
              <m:endChr m:val=")"/>
              <m:sepChr m:val=""/>
              <m:grow/>
            </m:dPr>
            <m:e>
              <m:r>
                <m:t>1</m:t>
              </m:r>
              <m:r>
                <m:rPr>
                  <m:sty m:val="p"/>
                </m:rPr>
                <m:t>/</m:t>
              </m:r>
              <m:r>
                <m:t>2</m:t>
              </m:r>
              <m:r>
                <m:rPr>
                  <m:sty m:val="p"/>
                </m:rPr>
                <m:t>+</m:t>
              </m:r>
              <m:r>
                <m:t>i</m:t>
              </m:r>
              <m:r>
                <m:t>γ</m:t>
              </m:r>
            </m:e>
          </m:d>
          <m:r>
            <m:rPr>
              <m:sty m:val="p"/>
            </m:rPr>
            <m:t>=</m:t>
          </m:r>
          <m:r>
            <m:t>0</m:t>
          </m:r>
          <m:r>
            <m:rPr>
              <m:sty m:val="p"/>
            </m:rPr>
            <m:t>}</m:t>
          </m:r>
          <m:r>
            <m:rPr>
              <m:sty m:val="p"/>
            </m:rPr>
            <m:t>.</m:t>
          </m:r>
        </m:oMath>
      </m:oMathPara>
    </w:p>
    <w:p>
      <w:pPr>
        <w:pStyle w:val="FirstParagraph"/>
      </w:pPr>
      <w:r>
        <w:t xml:space="preserve">Self-adjointness would force the spectrum to be real, which would correspond to zeros having real part</w:t>
      </w:r>
      <w:r>
        <w:t xml:space="preserve"> </w:t>
      </w:r>
      <m:oMath>
        <m:r>
          <m:t>1</m:t>
        </m:r>
        <m:r>
          <m:rPr>
            <m:sty m:val="p"/>
          </m:rPr>
          <m:t>/</m:t>
        </m:r>
        <m:r>
          <m:t>2</m:t>
        </m:r>
      </m:oMath>
      <w:r>
        <w:t xml:space="preserve"> </w:t>
      </w:r>
      <w:r>
        <w:t xml:space="preserve">in a properly constructed spectral dictionary.</w:t>
      </w:r>
    </w:p>
    <w:p>
      <w:pPr>
        <w:pStyle w:val="BodyText"/>
      </w:pPr>
      <w:r>
        <w:t xml:space="preserve">The difficulty is not writing down a formal operator with a suggestive spectrum. The difficulty is proving that:</w:t>
      </w:r>
    </w:p>
    <w:p>
      <w:pPr>
        <w:pStyle w:val="Compact"/>
        <w:numPr>
          <w:ilvl w:val="0"/>
          <w:numId w:val="1004"/>
        </w:numPr>
      </w:pPr>
      <w:r>
        <w:t xml:space="preserve">the operator is well-defined on a suitable domain;</w:t>
      </w:r>
    </w:p>
    <w:p>
      <w:pPr>
        <w:pStyle w:val="Compact"/>
        <w:numPr>
          <w:ilvl w:val="0"/>
          <w:numId w:val="1004"/>
        </w:numPr>
      </w:pPr>
      <w:r>
        <w:t xml:space="preserve">it is genuinely self-adjoint or has the correct spectral property;</w:t>
      </w:r>
    </w:p>
    <w:p>
      <w:pPr>
        <w:pStyle w:val="Compact"/>
        <w:numPr>
          <w:ilvl w:val="0"/>
          <w:numId w:val="1004"/>
        </w:numPr>
      </w:pPr>
      <w:r>
        <w:t xml:space="preserve">its spectrum is exactly the zeta-zero spectrum, with correct multiplicities;</w:t>
      </w:r>
    </w:p>
    <w:p>
      <w:pPr>
        <w:pStyle w:val="Compact"/>
        <w:numPr>
          <w:ilvl w:val="0"/>
          <w:numId w:val="1004"/>
        </w:numPr>
      </w:pPr>
      <w:r>
        <w:t xml:space="preserve">no spurious eigenvalues occur;</w:t>
      </w:r>
    </w:p>
    <w:p>
      <w:pPr>
        <w:pStyle w:val="Compact"/>
        <w:numPr>
          <w:ilvl w:val="0"/>
          <w:numId w:val="1004"/>
        </w:numPr>
      </w:pPr>
      <w:r>
        <w:t xml:space="preserve">the construction is not circular, meaning it does not encode the zeros by hand.</w:t>
      </w:r>
    </w:p>
    <w:p>
      <w:pPr>
        <w:pStyle w:val="FirstParagraph"/>
      </w:pPr>
      <w:r>
        <w:t xml:space="preserve">Berry [25] and Berry-Keating [33] connect zero statistics to quantum chaos and semiclassical eigenvalue counting. Bender-Brody-Müller [50] propose a concrete Hamiltonian construction. Kapustin [59] studies Hilbert-Pólya operators in Krein spaces. LeClair-Mussardo [61] model zeros as quantized scattering energies. Hedenmalm [75] gives a 2026 second-order differential spectral interpretation involving the Jacobi theta function and an adapted notion of self-adjointness of an operator pair.</w:t>
      </w:r>
    </w:p>
    <w:p>
      <w:pPr>
        <w:pStyle w:val="BodyText"/>
      </w:pPr>
      <w:r>
        <w:t xml:space="preserve">These nodes are serious mathematical physics or operator-theory programs. None currently supplies the complete positive self-adjoint realization that would prove RH.</w:t>
      </w:r>
    </w:p>
    <w:bookmarkEnd w:id="48"/>
    <w:bookmarkStart w:id="49" w:name="X76bde47e119d3a421673f2b7f05d139f7f01e54"/>
    <w:p>
      <w:pPr>
        <w:pStyle w:val="Heading1"/>
      </w:pPr>
      <w:r>
        <w:t xml:space="preserve">11. Corridor X: random matrices and statistical mechanics</w:t>
      </w:r>
    </w:p>
    <w:p>
      <w:pPr>
        <w:pStyle w:val="FirstParagraph"/>
      </w:pPr>
      <w:r>
        <w:t xml:space="preserve">Montgomery [16] creates the bridge. Dyson recognizes GUE statistics. Odlyzko [27] tests them numerically high in the critical strip. Berry [25] supplies the quantum-chaos narrative. Keating-Snaith [38] use random matrix characteristic polynomials to model moments of zeta. Fyodorov-Keating [49] connect extreme values to freezing transitions in disordered systems.</w:t>
      </w:r>
    </w:p>
    <w:p>
      <w:pPr>
        <w:pStyle w:val="BodyText"/>
      </w:pPr>
      <w:r>
        <w:t xml:space="preserve">Random matrix theory is remarkably predictive. It can forecast:</w:t>
      </w:r>
    </w:p>
    <w:p>
      <w:pPr>
        <w:pStyle w:val="Compact"/>
        <w:numPr>
          <w:ilvl w:val="0"/>
          <w:numId w:val="1005"/>
        </w:numPr>
      </w:pPr>
      <w:r>
        <w:t xml:space="preserve">local spacing distributions;</w:t>
      </w:r>
    </w:p>
    <w:p>
      <w:pPr>
        <w:pStyle w:val="Compact"/>
        <w:numPr>
          <w:ilvl w:val="0"/>
          <w:numId w:val="1005"/>
        </w:numPr>
      </w:pPr>
      <w:r>
        <w:t xml:space="preserve">moment constants;</w:t>
      </w:r>
    </w:p>
    <w:p>
      <w:pPr>
        <w:pStyle w:val="Compact"/>
        <w:numPr>
          <w:ilvl w:val="0"/>
          <w:numId w:val="1005"/>
        </w:numPr>
      </w:pPr>
      <w:r>
        <w:t xml:space="preserve">extreme-value behavior;</w:t>
      </w:r>
    </w:p>
    <w:p>
      <w:pPr>
        <w:pStyle w:val="Compact"/>
        <w:numPr>
          <w:ilvl w:val="0"/>
          <w:numId w:val="1005"/>
        </w:numPr>
      </w:pPr>
      <w:r>
        <w:t xml:space="preserve">correlations and lower-order patterns.</w:t>
      </w:r>
    </w:p>
    <w:p>
      <w:pPr>
        <w:pStyle w:val="FirstParagraph"/>
      </w:pPr>
      <w:r>
        <w:t xml:space="preserve">But a random-matrix model is not itself a proof of RH. The missing step is arithmetic rigidity. One needs a theorem showing that the actual zeta function is constrained by an operator, geometry, or positivity structure that enforces the predicted spectral law and the critical-line location.</w:t>
      </w:r>
    </w:p>
    <w:p>
      <w:pPr>
        <w:pStyle w:val="BodyText"/>
      </w:pPr>
      <w:r>
        <w:t xml:space="preserve">The statistical models are best treated as a</w:t>
      </w:r>
      <w:r>
        <w:t xml:space="preserve"> </w:t>
      </w:r>
      <w:r>
        <w:rPr>
          <w:b/>
          <w:bCs/>
        </w:rPr>
        <w:t xml:space="preserve">conjecture generator and asymptotic design tool</w:t>
      </w:r>
      <w:r>
        <w:t xml:space="preserve">. They tell analytic number theorists what formula to try to prove and which constants to expect.</w:t>
      </w:r>
    </w:p>
    <w:bookmarkEnd w:id="49"/>
    <w:bookmarkStart w:id="50" w:name="corridor-xi-computation"/>
    <w:p>
      <w:pPr>
        <w:pStyle w:val="Heading1"/>
      </w:pPr>
      <w:r>
        <w:t xml:space="preserve">12. Corridor XI: computation</w:t>
      </w:r>
    </w:p>
    <w:p>
      <w:pPr>
        <w:pStyle w:val="FirstParagraph"/>
      </w:pPr>
      <w:r>
        <w:t xml:space="preserve">Turing [14] creates a rigorous method to verify that all zeros up to a given height have been located. Platt-Trudgian [56] establish RH up to height</w:t>
      </w:r>
      <w:r>
        <w:t xml:space="preserve"> </w:t>
      </w:r>
      <m:oMath>
        <m:r>
          <m:t>3</m:t>
        </m:r>
        <m:r>
          <m:rPr>
            <m:sty m:val="p"/>
          </m:rPr>
          <m:t>×</m:t>
        </m:r>
        <m:sSup>
          <m:e>
            <m:r>
              <m:t>10</m:t>
            </m:r>
          </m:e>
          <m:sup>
            <m:r>
              <m:t>12</m:t>
            </m:r>
          </m:sup>
        </m:sSup>
      </m:oMath>
      <w:r>
        <w:t xml:space="preserve">.</w:t>
      </w:r>
    </w:p>
    <w:p>
      <w:pPr>
        <w:pStyle w:val="BodyText"/>
      </w:pPr>
      <w:r>
        <w:t xml:space="preserve">Finite verification can rule out low-height counterexamples and test conjectural statistics. It cannot prove RH because RH quantifies over infinitely many zeros.</w:t>
      </w:r>
    </w:p>
    <w:p>
      <w:pPr>
        <w:pStyle w:val="BodyText"/>
      </w:pPr>
      <w:r>
        <w:t xml:space="preserve">Computation nevertheless has three strategic roles:</w:t>
      </w:r>
    </w:p>
    <w:p>
      <w:pPr>
        <w:pStyle w:val="Compact"/>
        <w:numPr>
          <w:ilvl w:val="0"/>
          <w:numId w:val="1006"/>
        </w:numPr>
      </w:pPr>
      <w:r>
        <w:rPr>
          <w:b/>
          <w:bCs/>
        </w:rPr>
        <w:t xml:space="preserve">validation:</w:t>
      </w:r>
      <w:r>
        <w:t xml:space="preserve"> </w:t>
      </w:r>
      <w:r>
        <w:t xml:space="preserve">catch false conjectures or mistaken constants quickly;</w:t>
      </w:r>
    </w:p>
    <w:p>
      <w:pPr>
        <w:pStyle w:val="Compact"/>
        <w:numPr>
          <w:ilvl w:val="0"/>
          <w:numId w:val="1006"/>
        </w:numPr>
      </w:pPr>
      <w:r>
        <w:rPr>
          <w:b/>
          <w:bCs/>
        </w:rPr>
        <w:t xml:space="preserve">optimization:</w:t>
      </w:r>
      <w:r>
        <w:t xml:space="preserve"> </w:t>
      </w:r>
      <w:r>
        <w:t xml:space="preserve">search finite-dimensional certificates, mollifiers, kernels, and semidefinite programs;</w:t>
      </w:r>
    </w:p>
    <w:p>
      <w:pPr>
        <w:pStyle w:val="Compact"/>
        <w:numPr>
          <w:ilvl w:val="0"/>
          <w:numId w:val="1006"/>
        </w:numPr>
      </w:pPr>
      <w:r>
        <w:rPr>
          <w:b/>
          <w:bCs/>
        </w:rPr>
        <w:t xml:space="preserve">rigorous finite certification:</w:t>
      </w:r>
      <w:r>
        <w:t xml:space="preserve"> </w:t>
      </w:r>
      <w:r>
        <w:t xml:space="preserve">turn numerical search output into exact interval/rational proofs.</w:t>
      </w:r>
    </w:p>
    <w:p>
      <w:pPr>
        <w:pStyle w:val="FirstParagraph"/>
      </w:pPr>
      <w:r>
        <w:t xml:space="preserve">Chirre-Gonçalves-de Laat [53] demonstrate the second role through semidefinite programming for pair-correlation estimates.</w:t>
      </w:r>
    </w:p>
    <w:bookmarkEnd w:id="50"/>
    <w:bookmarkStart w:id="57" w:name="the-networks-main-transfer-stations"/>
    <w:p>
      <w:pPr>
        <w:pStyle w:val="Heading1"/>
      </w:pPr>
      <w:r>
        <w:t xml:space="preserve">13. The network’s main transfer stations</w:t>
      </w:r>
    </w:p>
    <w:bookmarkStart w:id="51" w:name="explicit-formula"/>
    <w:p>
      <w:pPr>
        <w:pStyle w:val="Heading2"/>
      </w:pPr>
      <w:r>
        <w:t xml:space="preserve">13.1 Explicit formula</w:t>
      </w:r>
    </w:p>
    <w:p>
      <w:pPr>
        <w:pStyle w:val="FirstParagraph"/>
      </w:pPr>
      <w:r>
        <w:t xml:space="preserve">Input: zeros.</w:t>
      </w:r>
    </w:p>
    <w:p>
      <w:pPr>
        <w:pStyle w:val="BodyText"/>
      </w:pPr>
      <w:r>
        <w:t xml:space="preserve">Output: prime-counting errors, short-interval fluctuations, weighted prime sums.</w:t>
      </w:r>
    </w:p>
    <w:p>
      <w:pPr>
        <w:pStyle w:val="BodyText"/>
      </w:pPr>
      <w:r>
        <w:t xml:space="preserve">Representative nodes: [1], [13], [21], [26], [39], [43], [74], [76].</w:t>
      </w:r>
    </w:p>
    <w:bookmarkEnd w:id="51"/>
    <w:bookmarkStart w:id="52" w:name="dirichlet-polynomial-large-values"/>
    <w:p>
      <w:pPr>
        <w:pStyle w:val="Heading2"/>
      </w:pPr>
      <w:r>
        <w:t xml:space="preserve">13.2 Dirichlet-polynomial large values</w:t>
      </w:r>
    </w:p>
    <w:p>
      <w:pPr>
        <w:pStyle w:val="FirstParagraph"/>
      </w:pPr>
      <w:r>
        <w:t xml:space="preserve">Input: large-value or mean-value estimates for finite Dirichlet sums.</w:t>
      </w:r>
    </w:p>
    <w:p>
      <w:pPr>
        <w:pStyle w:val="BodyText"/>
      </w:pPr>
      <w:r>
        <w:t xml:space="preserve">Output: zero-density estimates, moment control, prime-distribution theorems.</w:t>
      </w:r>
    </w:p>
    <w:p>
      <w:pPr>
        <w:pStyle w:val="BodyText"/>
      </w:pPr>
      <w:r>
        <w:t xml:space="preserve">Representative nodes: [7], [19], [22], [24], [51], [63], [71].</w:t>
      </w:r>
    </w:p>
    <w:bookmarkEnd w:id="52"/>
    <w:bookmarkStart w:id="53" w:name="mollified-moments"/>
    <w:p>
      <w:pPr>
        <w:pStyle w:val="Heading2"/>
      </w:pPr>
      <w:r>
        <w:t xml:space="preserve">13.3 Mollified moments</w:t>
      </w:r>
    </w:p>
    <w:p>
      <w:pPr>
        <w:pStyle w:val="FirstParagraph"/>
      </w:pPr>
      <w:r>
        <w:t xml:space="preserve">Input: twisted/mollified zeta moments.</w:t>
      </w:r>
    </w:p>
    <w:p>
      <w:pPr>
        <w:pStyle w:val="BodyText"/>
      </w:pPr>
      <w:r>
        <w:t xml:space="preserve">Output: lower bounds on critical-line zeros.</w:t>
      </w:r>
    </w:p>
    <w:p>
      <w:pPr>
        <w:pStyle w:val="BodyText"/>
      </w:pPr>
      <w:r>
        <w:t xml:space="preserve">Representative nodes: [17], [28], [46], [47], [54], [67].</w:t>
      </w:r>
    </w:p>
    <w:bookmarkEnd w:id="53"/>
    <w:bookmarkStart w:id="54" w:name="pair-statistics"/>
    <w:p>
      <w:pPr>
        <w:pStyle w:val="Heading2"/>
      </w:pPr>
      <w:r>
        <w:t xml:space="preserve">13.4 Pair statistics</w:t>
      </w:r>
    </w:p>
    <w:p>
      <w:pPr>
        <w:pStyle w:val="FirstParagraph"/>
      </w:pPr>
      <w:r>
        <w:t xml:space="preserve">Input: two-zero correlation information.</w:t>
      </w:r>
    </w:p>
    <w:p>
      <w:pPr>
        <w:pStyle w:val="BodyText"/>
      </w:pPr>
      <w:r>
        <w:t xml:space="preserve">Output: spacing laws, simplicity bounds, critical-zero proportions, prime variance.</w:t>
      </w:r>
    </w:p>
    <w:p>
      <w:pPr>
        <w:pStyle w:val="BodyText"/>
      </w:pPr>
      <w:r>
        <w:t xml:space="preserve">Representative nodes: [16], [21], [26], [37], [41], [62], [64], [65], [68], [72], [76].</w:t>
      </w:r>
    </w:p>
    <w:bookmarkEnd w:id="54"/>
    <w:bookmarkStart w:id="55" w:name="positivity"/>
    <w:p>
      <w:pPr>
        <w:pStyle w:val="Heading2"/>
      </w:pPr>
      <w:r>
        <w:t xml:space="preserve">13.5 Positivity</w:t>
      </w:r>
    </w:p>
    <w:p>
      <w:pPr>
        <w:pStyle w:val="FirstParagraph"/>
      </w:pPr>
      <w:r>
        <w:t xml:space="preserve">Input: positivity of a family of quadratic forms, coefficients, or operators.</w:t>
      </w:r>
    </w:p>
    <w:p>
      <w:pPr>
        <w:pStyle w:val="BodyText"/>
      </w:pPr>
      <w:r>
        <w:t xml:space="preserve">Output: in the strongest forms, RH equivalence.</w:t>
      </w:r>
    </w:p>
    <w:p>
      <w:pPr>
        <w:pStyle w:val="BodyText"/>
      </w:pPr>
      <w:r>
        <w:t xml:space="preserve">Representative nodes: [13], [31], [35], [39], [43].</w:t>
      </w:r>
    </w:p>
    <w:bookmarkEnd w:id="55"/>
    <w:bookmarkStart w:id="56" w:name="geometryspectrum"/>
    <w:p>
      <w:pPr>
        <w:pStyle w:val="Heading2"/>
      </w:pPr>
      <w:r>
        <w:t xml:space="preserve">13.6 Geometry/spectrum</w:t>
      </w:r>
    </w:p>
    <w:p>
      <w:pPr>
        <w:pStyle w:val="FirstParagraph"/>
      </w:pPr>
      <w:r>
        <w:t xml:space="preserve">Input: a cohomology or self-adjoint spectral object.</w:t>
      </w:r>
    </w:p>
    <w:p>
      <w:pPr>
        <w:pStyle w:val="BodyText"/>
      </w:pPr>
      <w:r>
        <w:t xml:space="preserve">Output: if the correct object and positivity/purity theorem exist, zero-location rigidity.</w:t>
      </w:r>
    </w:p>
    <w:p>
      <w:pPr>
        <w:pStyle w:val="BodyText"/>
      </w:pPr>
      <w:r>
        <w:t xml:space="preserve">Representative nodes: [10], [18], [29], [33], [34], [48], [50], [59], [61], [70], [75].</w:t>
      </w:r>
    </w:p>
    <w:bookmarkEnd w:id="56"/>
    <w:bookmarkEnd w:id="57"/>
    <w:bookmarkStart w:id="63" w:name="X9a4f6c9708b9d9106cf894d7d9355af3913bf6f"/>
    <w:p>
      <w:pPr>
        <w:pStyle w:val="Heading1"/>
      </w:pPr>
      <w:r>
        <w:t xml:space="preserve">14. Cross-corridor arrows worth watching in 2026</w:t>
      </w:r>
    </w:p>
    <w:bookmarkStart w:id="58" w:name="guth-maynard-to-gafni-tao"/>
    <w:p>
      <w:pPr>
        <w:pStyle w:val="Heading2"/>
      </w:pPr>
      <w:r>
        <w:t xml:space="preserve">14.1 Guth-Maynard to Gafni-Tao</w:t>
      </w:r>
    </w:p>
    <w:p>
      <w:pPr>
        <w:pStyle w:val="FirstParagraph"/>
      </w:pPr>
      <w:r>
        <w:t xml:space="preserve">This is a theorem-input arrow. Guth-Maynard [71] improve</w:t>
      </w:r>
      <w:r>
        <w:t xml:space="preserve"> </w:t>
      </w:r>
      <m:oMath>
        <m:r>
          <m:t>A</m:t>
        </m:r>
        <m:d>
          <m:dPr>
            <m:begChr m:val="("/>
            <m:endChr m:val=")"/>
            <m:sepChr m:val=""/>
            <m:grow/>
          </m:dPr>
          <m:e>
            <m:r>
              <m:t>σ</m:t>
            </m:r>
          </m:e>
        </m:d>
      </m:oMath>
      <w:r>
        <w:t xml:space="preserve">. Gafni-Tao [74] are designed to consume an</w:t>
      </w:r>
      <w:r>
        <w:t xml:space="preserve"> </w:t>
      </w:r>
      <m:oMath>
        <m:r>
          <m:t>A</m:t>
        </m:r>
        <m:d>
          <m:dPr>
            <m:begChr m:val="("/>
            <m:endChr m:val=")"/>
            <m:sepChr m:val=""/>
            <m:grow/>
          </m:dPr>
          <m:e>
            <m:r>
              <m:t>σ</m:t>
            </m:r>
          </m:e>
        </m:d>
      </m:oMath>
      <w:r>
        <w:t xml:space="preserve"> </w:t>
      </w:r>
      <w:r>
        <w:t xml:space="preserve">envelope and, in the refined theorem,</w:t>
      </w:r>
      <w:r>
        <w:t xml:space="preserve"> </w:t>
      </w:r>
      <m:oMath>
        <m:sSup>
          <m:e>
            <m:r>
              <m:t>A</m:t>
            </m:r>
          </m:e>
          <m:sup>
            <m:r>
              <m:rPr>
                <m:sty m:val="p"/>
              </m:rPr>
              <m:t>*</m:t>
            </m:r>
          </m:sup>
        </m:sSup>
        <m:d>
          <m:dPr>
            <m:begChr m:val="("/>
            <m:endChr m:val=")"/>
            <m:sepChr m:val=""/>
            <m:grow/>
          </m:dPr>
          <m:e>
            <m:r>
              <m:t>σ</m:t>
            </m:r>
          </m:e>
        </m:d>
      </m:oMath>
      <w:r>
        <w:t xml:space="preserve">.</w:t>
      </w:r>
    </w:p>
    <w:p>
      <w:pPr>
        <w:pStyle w:val="BodyText"/>
      </w:pPr>
      <w:r>
        <w:t xml:space="preserve">The transfer is modular:</w:t>
      </w:r>
    </w:p>
    <w:p>
      <w:pPr>
        <w:pStyle w:val="BodyText"/>
      </w:pPr>
      <m:oMathPara>
        <m:oMathParaPr>
          <m:jc m:val="center"/>
        </m:oMathParaPr>
        <m:oMath>
          <m:r>
            <m:rPr>
              <m:nor/>
              <m:sty m:val="p"/>
            </m:rPr>
            <m:t>better zero exponents</m:t>
          </m:r>
          <m:r>
            <m:rPr>
              <m:sty m:val="p"/>
            </m:rPr>
            <m:t>→</m:t>
          </m:r>
          <m:r>
            <m:rPr>
              <m:nor/>
              <m:sty m:val="p"/>
            </m:rPr>
            <m:t>better exceptional-set exponents</m:t>
          </m:r>
          <m:r>
            <m:rPr>
              <m:sty m:val="p"/>
            </m:rPr>
            <m:t>.</m:t>
          </m:r>
        </m:oMath>
      </m:oMathPara>
    </w:p>
    <w:bookmarkEnd w:id="58"/>
    <w:bookmarkStart w:id="59" w:name="tao-trudgian-yang-to-gafni-tao"/>
    <w:p>
      <w:pPr>
        <w:pStyle w:val="Heading2"/>
      </w:pPr>
      <w:r>
        <w:t xml:space="preserve">14.2 Tao-Trudgian-Yang to Gafni-Tao</w:t>
      </w:r>
    </w:p>
    <w:p>
      <w:pPr>
        <w:pStyle w:val="FirstParagraph"/>
      </w:pPr>
      <w:r>
        <w:t xml:space="preserve">Tao-Trudgian-Yang [63] provide systematic zero-density and zero additive-energy estimates. Gafni-Tao [74] explicitly tabulate and consume such</w:t>
      </w:r>
      <w:r>
        <w:t xml:space="preserve"> </w:t>
      </w:r>
      <m:oMath>
        <m:sSup>
          <m:e>
            <m:r>
              <m:t>A</m:t>
            </m:r>
          </m:e>
          <m:sup>
            <m:r>
              <m:rPr>
                <m:sty m:val="p"/>
              </m:rPr>
              <m:t>*</m:t>
            </m:r>
          </m:sup>
        </m:sSup>
        <m:d>
          <m:dPr>
            <m:begChr m:val="("/>
            <m:endChr m:val=")"/>
            <m:sepChr m:val=""/>
            <m:grow/>
          </m:dPr>
          <m:e>
            <m:r>
              <m:t>σ</m:t>
            </m:r>
          </m:e>
        </m:d>
      </m:oMath>
      <w:r>
        <w:t xml:space="preserve"> </w:t>
      </w:r>
      <w:r>
        <w:t xml:space="preserve">information. This is why fourth-order zero information has a prime-distribution consumer even before it has a direct RH consequence.</w:t>
      </w:r>
    </w:p>
    <w:bookmarkEnd w:id="59"/>
    <w:bookmarkStart w:id="60" w:name="gafni-tao-to-tao-2026"/>
    <w:p>
      <w:pPr>
        <w:pStyle w:val="Heading2"/>
      </w:pPr>
      <w:r>
        <w:t xml:space="preserve">14.3 Gafni-Tao to Tao 2026</w:t>
      </w:r>
    </w:p>
    <w:p>
      <w:pPr>
        <w:pStyle w:val="FirstParagraph"/>
      </w:pPr>
      <w:r>
        <w:t xml:space="preserve">As discussed above, Tao [73] uses a short-interval prime consequence derived from Guth-Maynard combined with Gafni-Tao/Bazzanella-Perelli arguments. This proves that the exceptional-set machinery is not terminal.</w:t>
      </w:r>
    </w:p>
    <w:bookmarkEnd w:id="60"/>
    <w:bookmarkStart w:id="61" w:name="X8295838a4ee493f25354956433b421644a7054c"/>
    <w:p>
      <w:pPr>
        <w:pStyle w:val="Heading2"/>
      </w:pPr>
      <w:r>
        <w:t xml:space="preserve">14.4 Unconditional pair correlation to Alpöge-Furman</w:t>
      </w:r>
    </w:p>
    <w:p>
      <w:pPr>
        <w:pStyle w:val="FirstParagraph"/>
      </w:pPr>
      <w:r>
        <w:t xml:space="preserve">Baluyot et al. [62] and Aryan [57] provide analytic inputs that let [76] run a pair/Weil-form argument without assuming RH. The conceptual advance is not only a better constant. It is the removal of RH from a classically RH-conditioned statistical deduction.</w:t>
      </w:r>
    </w:p>
    <w:bookmarkEnd w:id="61"/>
    <w:bookmarkStart w:id="62" w:name="X40b34f806422ac18930668963f0fa174e805583"/>
    <w:p>
      <w:pPr>
        <w:pStyle w:val="Heading2"/>
      </w:pPr>
      <w:r>
        <w:t xml:space="preserve">14.5 Pair Correlation Conjecture to density one</w:t>
      </w:r>
    </w:p>
    <w:p>
      <w:pPr>
        <w:pStyle w:val="FirstParagraph"/>
      </w:pPr>
      <w:r>
        <w:t xml:space="preserve">Goldston-Lee-Schettler-Suriajaya [65] establish the conditional theorem</w:t>
      </w:r>
    </w:p>
    <w:p>
      <w:pPr>
        <w:pStyle w:val="BodyText"/>
      </w:pPr>
      <m:oMathPara>
        <m:oMathParaPr>
          <m:jc m:val="center"/>
        </m:oMathParaPr>
        <m:oMath>
          <m:r>
            <m:rPr>
              <m:sty m:val="p"/>
            </m:rPr>
            <m:t>P</m:t>
          </m:r>
          <m:r>
            <m:rPr>
              <m:sty m:val="p"/>
            </m:rPr>
            <m:t>C</m:t>
          </m:r>
          <m:r>
            <m:rPr>
              <m:sty m:val="p"/>
            </m:rPr>
            <m:t>C</m:t>
          </m:r>
          <m:r>
            <m:rPr>
              <m:sty m:val="p"/>
            </m:rPr>
            <m:t>⇒</m:t>
          </m:r>
          <m:r>
            <m:t>100</m:t>
          </m:r>
          <m:r>
            <m:rPr>
              <m:sty m:val="p"/>
            </m:rPr>
            <m:t>%</m:t>
          </m:r>
          <m:r>
            <m:rPr>
              <m:nor/>
              <m:sty m:val="p"/>
            </m:rPr>
            <m:t> simple and critical in density</m:t>
          </m:r>
          <m:r>
            <m:rPr>
              <m:sty m:val="p"/>
            </m:rPr>
            <m:t>.</m:t>
          </m:r>
        </m:oMath>
      </m:oMathPara>
    </w:p>
    <w:p>
      <w:pPr>
        <w:pStyle w:val="FirstParagraph"/>
      </w:pPr>
      <w:r>
        <w:t xml:space="preserve">This creates a clear intermediate red-zone target, but it also exposes the remaining gap:</w:t>
      </w:r>
    </w:p>
    <w:p>
      <w:pPr>
        <w:pStyle w:val="BodyText"/>
      </w:pPr>
      <w:r>
        <w:rPr>
          <w:b/>
          <w:bCs/>
        </w:rPr>
        <w:t xml:space="preserve">100% in density does not imply 100% pointwise.</w:t>
      </w:r>
    </w:p>
    <w:p>
      <w:pPr>
        <w:pStyle w:val="BodyText"/>
      </w:pPr>
      <w:r>
        <w:t xml:space="preserve">A final RH proof would need a rigidity mechanism eliminating every residual exceptional zero.</w:t>
      </w:r>
    </w:p>
    <w:bookmarkEnd w:id="62"/>
    <w:bookmarkEnd w:id="63"/>
    <w:bookmarkStart w:id="70" w:name="X24ec74428e7f273226866c8aabb33b203d131c4"/>
    <w:p>
      <w:pPr>
        <w:pStyle w:val="Heading1"/>
      </w:pPr>
      <w:r>
        <w:t xml:space="preserve">15. What would count as genuinely stronger progress?</w:t>
      </w:r>
    </w:p>
    <w:p>
      <w:pPr>
        <w:pStyle w:val="FirstParagraph"/>
      </w:pPr>
      <w:r>
        <w:t xml:space="preserve">It is useful to order outputs by logical strength.</w:t>
      </w:r>
    </w:p>
    <w:bookmarkStart w:id="64" w:name="level-a-better-prime-estimates"/>
    <w:p>
      <w:pPr>
        <w:pStyle w:val="Heading3"/>
      </w:pPr>
      <w:r>
        <w:t xml:space="preserve">Level A: better prime estimates</w:t>
      </w:r>
    </w:p>
    <w:p>
      <w:pPr>
        <w:pStyle w:val="FirstParagraph"/>
      </w:pPr>
      <w:r>
        <w:t xml:space="preserve">Examples: shorter intervals, smaller exceptional sets, stronger PNT error terms.</w:t>
      </w:r>
    </w:p>
    <w:p>
      <w:pPr>
        <w:pStyle w:val="BodyText"/>
      </w:pPr>
      <w:r>
        <w:t xml:space="preserve">These can be major mathematics without moving a zero directly toward the line.</w:t>
      </w:r>
    </w:p>
    <w:bookmarkEnd w:id="64"/>
    <w:bookmarkStart w:id="65" w:name="level-b-stronger-zero-density-exponents"/>
    <w:p>
      <w:pPr>
        <w:pStyle w:val="Heading3"/>
      </w:pPr>
      <w:r>
        <w:t xml:space="preserve">Level B: stronger zero-density exponents</w:t>
      </w:r>
    </w:p>
    <w:p>
      <w:pPr>
        <w:pStyle w:val="FirstParagraph"/>
      </w:pPr>
      <w:r>
        <w:t xml:space="preserve">One proves fewer zeros can live far to the right. Guth-Maynard [71] is here.</w:t>
      </w:r>
    </w:p>
    <w:bookmarkEnd w:id="65"/>
    <w:bookmarkStart w:id="66" w:name="level-c-larger-critical-line-proportion"/>
    <w:p>
      <w:pPr>
        <w:pStyle w:val="Heading3"/>
      </w:pPr>
      <w:r>
        <w:t xml:space="preserve">Level C: larger critical-line proportion</w:t>
      </w:r>
    </w:p>
    <w:p>
      <w:pPr>
        <w:pStyle w:val="FirstParagraph"/>
      </w:pPr>
      <w:r>
        <w:t xml:space="preserve">One proves a larger fraction of zeros are on the line. Levinson-Conrey descendants and [76] are here.</w:t>
      </w:r>
    </w:p>
    <w:bookmarkEnd w:id="66"/>
    <w:bookmarkStart w:id="67" w:name="level-d-density-one-on-the-line"/>
    <w:p>
      <w:pPr>
        <w:pStyle w:val="Heading3"/>
      </w:pPr>
      <w:r>
        <w:t xml:space="preserve">Level D: density one on the line</w:t>
      </w:r>
    </w:p>
    <w:p>
      <w:pPr>
        <w:pStyle w:val="FirstParagraph"/>
      </w:pPr>
      <w:r>
        <w:t xml:space="preserve">One proves</w:t>
      </w:r>
    </w:p>
    <w:p>
      <w:pPr>
        <w:pStyle w:val="BodyText"/>
      </w:pPr>
      <m:oMathPara>
        <m:oMathParaPr>
          <m:jc m:val="center"/>
        </m:oMathParaPr>
        <m:oMath>
          <m:f>
            <m:fPr>
              <m:type m:val="bar"/>
            </m:fPr>
            <m:num>
              <m:sSub>
                <m:e>
                  <m:r>
                    <m:t>N</m:t>
                  </m:r>
                </m:e>
                <m:sub>
                  <m:r>
                    <m:t>0</m:t>
                  </m:r>
                </m:sub>
              </m:sSub>
              <m:d>
                <m:dPr>
                  <m:begChr m:val="("/>
                  <m:endChr m:val=")"/>
                  <m:sepChr m:val=""/>
                  <m:grow/>
                </m:dPr>
                <m:e>
                  <m:r>
                    <m:t>T</m:t>
                  </m:r>
                </m:e>
              </m:d>
            </m:num>
            <m:den>
              <m:r>
                <m:t>N</m:t>
              </m:r>
              <m:d>
                <m:dPr>
                  <m:begChr m:val="("/>
                  <m:endChr m:val=")"/>
                  <m:sepChr m:val=""/>
                  <m:grow/>
                </m:dPr>
                <m:e>
                  <m:r>
                    <m:t>T</m:t>
                  </m:r>
                </m:e>
              </m:d>
            </m:den>
          </m:f>
          <m:r>
            <m:rPr>
              <m:sty m:val="p"/>
            </m:rPr>
            <m:t>→</m:t>
          </m:r>
          <m:r>
            <m:t>1</m:t>
          </m:r>
          <m:r>
            <m:rPr>
              <m:sty m:val="p"/>
            </m:rPr>
            <m:t>.</m:t>
          </m:r>
        </m:oMath>
      </m:oMathPara>
    </w:p>
    <w:p>
      <w:pPr>
        <w:pStyle w:val="FirstParagraph"/>
      </w:pPr>
      <w:r>
        <w:t xml:space="preserve">The full PCC would imply a strong version of this [65]. Still not RH.</w:t>
      </w:r>
    </w:p>
    <w:bookmarkEnd w:id="67"/>
    <w:bookmarkStart w:id="68" w:name="Xbd0689ceefd12101c1a99575b2116355f39e36f"/>
    <w:p>
      <w:pPr>
        <w:pStyle w:val="Heading3"/>
      </w:pPr>
      <w:r>
        <w:t xml:space="preserve">Level E: a global equivalence criterion is verified</w:t>
      </w:r>
    </w:p>
    <w:p>
      <w:pPr>
        <w:pStyle w:val="FirstParagraph"/>
      </w:pPr>
      <w:r>
        <w:t xml:space="preserve">Examples: Weil positivity for every admissible test function, all Li coefficients nonnegative, an exact Nyman-Beurling closure statement, or</w:t>
      </w:r>
      <w:r>
        <w:t xml:space="preserve"> </w:t>
      </w:r>
      <m:oMath>
        <m:r>
          <m:t>Λ</m:t>
        </m:r>
        <m:r>
          <m:rPr>
            <m:sty m:val="p"/>
          </m:rPr>
          <m:t>=</m:t>
        </m:r>
        <m:r>
          <m:t>0</m:t>
        </m:r>
      </m:oMath>
      <w:r>
        <w:t xml:space="preserve"> </w:t>
      </w:r>
      <w:r>
        <w:t xml:space="preserve">in the de Bruijn-Newman program.</w:t>
      </w:r>
    </w:p>
    <w:p>
      <w:pPr>
        <w:pStyle w:val="BodyText"/>
      </w:pPr>
      <w:r>
        <w:t xml:space="preserve">This level would prove RH because these are equivalent formulations.</w:t>
      </w:r>
    </w:p>
    <w:bookmarkEnd w:id="68"/>
    <w:bookmarkStart w:id="69" w:name="level-f-structural-proof"/>
    <w:p>
      <w:pPr>
        <w:pStyle w:val="Heading3"/>
      </w:pPr>
      <w:r>
        <w:t xml:space="preserve">Level F: structural proof</w:t>
      </w:r>
    </w:p>
    <w:p>
      <w:pPr>
        <w:pStyle w:val="FirstParagraph"/>
      </w:pPr>
      <w:r>
        <w:t xml:space="preserve">A genuine Hilbert-Pólya operator or a classical-zeta analogue of Deligne’s purity would likely be a structural proof. No accepted construction currently reaches this level.</w:t>
      </w:r>
    </w:p>
    <w:bookmarkEnd w:id="69"/>
    <w:bookmarkEnd w:id="70"/>
    <w:bookmarkStart w:id="71" w:name="why-density-one-is-not-the-finish-line"/>
    <w:p>
      <w:pPr>
        <w:pStyle w:val="Heading1"/>
      </w:pPr>
      <w:r>
        <w:t xml:space="preserve">16. Why density one is not the finish line</w:t>
      </w:r>
    </w:p>
    <w:p>
      <w:pPr>
        <w:pStyle w:val="FirstParagraph"/>
      </w:pPr>
      <w:r>
        <w:t xml:space="preserve">Suppose one proves</w:t>
      </w:r>
    </w:p>
    <w:p>
      <w:pPr>
        <w:pStyle w:val="BodyText"/>
      </w:pPr>
      <m:oMathPara>
        <m:oMathParaPr>
          <m:jc m:val="center"/>
        </m:oMathParaPr>
        <m:oMath>
          <m:r>
            <m:t>N</m:t>
          </m:r>
          <m:d>
            <m:dPr>
              <m:begChr m:val="("/>
              <m:endChr m:val=")"/>
              <m:sepChr m:val=""/>
              <m:grow/>
            </m:dPr>
            <m:e>
              <m:r>
                <m:t>T</m:t>
              </m:r>
            </m:e>
          </m:d>
          <m:r>
            <m:rPr>
              <m:sty m:val="p"/>
            </m:rPr>
            <m:t>−</m:t>
          </m:r>
          <m:sSub>
            <m:e>
              <m:r>
                <m:t>N</m:t>
              </m:r>
            </m:e>
            <m:sub>
              <m:r>
                <m:t>0</m:t>
              </m:r>
            </m:sub>
          </m:sSub>
          <m:d>
            <m:dPr>
              <m:begChr m:val="("/>
              <m:endChr m:val=")"/>
              <m:sepChr m:val=""/>
              <m:grow/>
            </m:dPr>
            <m:e>
              <m:r>
                <m:t>T</m:t>
              </m:r>
            </m:e>
          </m:d>
          <m:r>
            <m:rPr>
              <m:sty m:val="p"/>
            </m:rPr>
            <m:t>=</m:t>
          </m:r>
          <m:r>
            <m:t>o</m:t>
          </m:r>
          <m:d>
            <m:dPr>
              <m:begChr m:val="("/>
              <m:endChr m:val=")"/>
              <m:sepChr m:val=""/>
              <m:grow/>
            </m:dPr>
            <m:e>
              <m:r>
                <m:t>N</m:t>
              </m:r>
              <m:d>
                <m:dPr>
                  <m:begChr m:val="("/>
                  <m:endChr m:val=")"/>
                  <m:sepChr m:val=""/>
                  <m:grow/>
                </m:dPr>
                <m:e>
                  <m:r>
                    <m:t>T</m:t>
                  </m:r>
                </m:e>
              </m:d>
            </m:e>
          </m:d>
          <m:r>
            <m:rPr>
              <m:sty m:val="p"/>
            </m:rPr>
            <m:t>.</m:t>
          </m:r>
        </m:oMath>
      </m:oMathPara>
    </w:p>
    <w:p>
      <w:pPr>
        <w:pStyle w:val="FirstParagraph"/>
      </w:pPr>
      <w:r>
        <w:t xml:space="preserve">This permits, for example, one off-line zero in each enormous height window. Such zeros could be infinite in number while remaining asymptotically negligible.</w:t>
      </w:r>
    </w:p>
    <w:p>
      <w:pPr>
        <w:pStyle w:val="BodyText"/>
      </w:pPr>
      <w:r>
        <w:t xml:space="preserve">To turn density one into RH, one would need some principle of the following flavor:</w:t>
      </w:r>
    </w:p>
    <w:p>
      <w:pPr>
        <w:pStyle w:val="BodyText"/>
      </w:pPr>
      <m:oMathPara>
        <m:oMathParaPr>
          <m:jc m:val="center"/>
        </m:oMathParaPr>
        <m:oMath>
          <m:r>
            <m:rPr>
              <m:sty m:val="p"/>
            </m:rPr>
            <m:t>∃</m:t>
          </m:r>
          <m:r>
            <m:t>ρ</m:t>
          </m:r>
          <m:r>
            <m:rPr>
              <m:nor/>
              <m:sty m:val="p"/>
            </m:rPr>
            <m:t> off the line</m:t>
          </m:r>
          <m:r>
            <m:rPr>
              <m:sty m:val="p"/>
            </m:rPr>
            <m:t>⇒</m:t>
          </m:r>
          <m:r>
            <m:rPr>
              <m:nor/>
              <m:sty m:val="p"/>
            </m:rPr>
            <m:t>a macroscopic, repeatedly detectable disturbance</m:t>
          </m:r>
          <m:r>
            <m:rPr>
              <m:sty m:val="p"/>
            </m:rPr>
            <m:t>.</m:t>
          </m:r>
        </m:oMath>
      </m:oMathPara>
    </w:p>
    <w:p>
      <w:pPr>
        <w:pStyle w:val="FirstParagraph"/>
      </w:pPr>
      <w:r>
        <w:t xml:space="preserve">No established theorem currently supplies such a universal propagation mechanism. Pair-correlation methods, zero density, and mollifiers are generally statistical. RH is pointwise and absolute.</w:t>
      </w:r>
    </w:p>
    <w:p>
      <w:pPr>
        <w:pStyle w:val="BodyText"/>
      </w:pPr>
      <w:r>
        <w:t xml:space="preserve">This is why the last gap may require a qualitatively different ingredient: positivity, self-adjointness, geometry, or another rigidity principle.</w:t>
      </w:r>
    </w:p>
    <w:bookmarkEnd w:id="71"/>
    <w:bookmarkStart w:id="140" w:name="X2245548ce9eb124b0b2fceaea8a0725e80b77e3"/>
    <w:p>
      <w:pPr>
        <w:pStyle w:val="Heading1"/>
      </w:pPr>
      <w:r>
        <w:t xml:space="preserve">17. Technical atlas: how information moves through the network</w:t>
      </w:r>
    </w:p>
    <w:p>
      <w:pPr>
        <w:pStyle w:val="FirstParagraph"/>
      </w:pPr>
      <w:r>
        <w:t xml:space="preserve">The corridor descriptions above tell you where the tracks run. This section is the engineering diagram. It gives the main quantitative objects, the transformations that move information between them, and the reasons particular barriers appear. The formulas are intentionally more explicit than the historical survey, but they are still a traversal guide rather than proofs.</w:t>
      </w:r>
    </w:p>
    <w:p>
      <w:pPr>
        <w:pStyle w:val="BodyText"/>
      </w:pPr>
      <w:r>
        <w:t xml:space="preserve">A recurring pattern is</w:t>
      </w:r>
    </w:p>
    <w:p>
      <w:pPr>
        <w:pStyle w:val="BodyText"/>
      </w:pPr>
      <m:oMathPara>
        <m:oMathParaPr>
          <m:jc m:val="center"/>
        </m:oMathParaPr>
        <m:oMath>
          <m:r>
            <m:rPr>
              <m:nor/>
              <m:sty m:val="p"/>
            </m:rPr>
            <m:t>analytic input</m:t>
          </m:r>
          <m:r>
            <m:rPr>
              <m:sty m:val="p"/>
            </m:rPr>
            <m:t>→</m:t>
          </m:r>
          <m:r>
            <m:rPr>
              <m:nor/>
              <m:sty m:val="p"/>
            </m:rPr>
            <m:t>finite or asymptotic statistic</m:t>
          </m:r>
          <m:r>
            <m:rPr>
              <m:sty m:val="p"/>
            </m:rPr>
            <m:t>→</m:t>
          </m:r>
          <m:r>
            <m:rPr>
              <m:nor/>
              <m:sty m:val="p"/>
            </m:rPr>
            <m:t>consumer theorem</m:t>
          </m:r>
          <m:r>
            <m:rPr>
              <m:sty m:val="p"/>
            </m:rPr>
            <m:t>.</m:t>
          </m:r>
        </m:oMath>
      </m:oMathPara>
    </w:p>
    <w:p>
      <w:pPr>
        <w:pStyle w:val="FirstParagraph"/>
      </w:pPr>
      <w:r>
        <w:t xml:space="preserve">The most expensive research mistakes happen when the middle object is skipped. If a paper improves a zero-density exponent, one should ask which downstream theorem consumes that exponent. If a paper proves a new moment, one should ask which optimizer or zero-detection step uses that moment. If a spectral model proposes an operator, one should ask exactly which operator-theoretic statement forces the zero set onto the line.</w:t>
      </w:r>
    </w:p>
    <w:bookmarkStart w:id="76" w:name="X6ef461d0cb1522bd10548633256214e41aaed8e"/>
    <w:p>
      <w:pPr>
        <w:pStyle w:val="Heading2"/>
      </w:pPr>
      <w:r>
        <w:t xml:space="preserve">17.1 Zero-density geometry and exponent envelopes</w:t>
      </w:r>
    </w:p>
    <w:bookmarkStart w:id="72" w:name="the-exponent-function-viewpoint"/>
    <w:p>
      <w:pPr>
        <w:pStyle w:val="Heading3"/>
      </w:pPr>
      <w:r>
        <w:t xml:space="preserve">17.1.1 The exponent-function viewpoint</w:t>
      </w:r>
    </w:p>
    <w:p>
      <w:pPr>
        <w:pStyle w:val="FirstParagraph"/>
      </w:pPr>
      <w:r>
        <w:t xml:space="preserve">A convenient way to compare zero-density theorems is to encode them by an exponent function. Write, schematically,</w:t>
      </w:r>
    </w:p>
    <w:p>
      <w:pPr>
        <w:pStyle w:val="BodyText"/>
      </w:pPr>
      <m:oMathPara>
        <m:oMathParaPr>
          <m:jc m:val="center"/>
        </m:oMathParaPr>
        <m:oMath>
          <m:r>
            <m:t>N</m:t>
          </m:r>
          <m:d>
            <m:dPr>
              <m:begChr m:val="("/>
              <m:endChr m:val=")"/>
              <m:sepChr m:val=""/>
              <m:grow/>
            </m:dPr>
            <m:e>
              <m:r>
                <m:t>σ</m:t>
              </m:r>
              <m:r>
                <m:rPr>
                  <m:sty m:val="p"/>
                </m:rPr>
                <m:t>,</m:t>
              </m:r>
              <m:r>
                <m:t>T</m:t>
              </m:r>
            </m:e>
          </m:d>
          <m:r>
            <m:rPr>
              <m:sty m:val="p"/>
            </m:rPr>
            <m:t>≤</m:t>
          </m:r>
          <m:sSup>
            <m:e>
              <m:r>
                <m:t>T</m:t>
              </m:r>
            </m:e>
            <m:sup>
              <m:r>
                <m:t>A</m:t>
              </m:r>
              <m:d>
                <m:dPr>
                  <m:begChr m:val="("/>
                  <m:endChr m:val=")"/>
                  <m:sepChr m:val=""/>
                  <m:grow/>
                </m:dPr>
                <m:e>
                  <m:r>
                    <m:t>σ</m:t>
                  </m:r>
                </m:e>
              </m:d>
              <m:d>
                <m:dPr>
                  <m:begChr m:val="("/>
                  <m:endChr m:val=")"/>
                  <m:sepChr m:val=""/>
                  <m:grow/>
                </m:dPr>
                <m:e>
                  <m:r>
                    <m:t>1</m:t>
                  </m:r>
                  <m:r>
                    <m:rPr>
                      <m:sty m:val="p"/>
                    </m:rPr>
                    <m:t>−</m:t>
                  </m:r>
                  <m:r>
                    <m:t>σ</m:t>
                  </m:r>
                </m:e>
              </m:d>
              <m:r>
                <m:rPr>
                  <m:sty m:val="p"/>
                </m:rPr>
                <m:t>+</m:t>
              </m:r>
              <m:r>
                <m:t>o</m:t>
              </m:r>
              <m:d>
                <m:dPr>
                  <m:begChr m:val="("/>
                  <m:endChr m:val=")"/>
                  <m:sepChr m:val=""/>
                  <m:grow/>
                </m:dPr>
                <m:e>
                  <m:r>
                    <m:t>1</m:t>
                  </m:r>
                </m:e>
              </m:d>
            </m:sup>
          </m:sSup>
          <m:r>
            <m:rPr>
              <m:sty m:val="p"/>
            </m:rPr>
            <m:t>.</m:t>
          </m:r>
        </m:oMath>
      </m:oMathPara>
    </w:p>
    <w:p>
      <w:pPr>
        <w:pStyle w:val="FirstParagraph"/>
      </w:pPr>
      <w:r>
        <w:t xml:space="preserve">The quantity</w:t>
      </w:r>
      <w:r>
        <w:t xml:space="preserve"> </w:t>
      </w:r>
      <m:oMath>
        <m:r>
          <m:t>A</m:t>
        </m:r>
        <m:d>
          <m:dPr>
            <m:begChr m:val="("/>
            <m:endChr m:val=")"/>
            <m:sepChr m:val=""/>
            <m:grow/>
          </m:dPr>
          <m:e>
            <m:r>
              <m:t>σ</m:t>
            </m:r>
          </m:e>
        </m:d>
      </m:oMath>
      <w:r>
        <w:t xml:space="preserve"> </w:t>
      </w:r>
      <w:r>
        <w:t xml:space="preserve">is not itself a zero count. It is a compressed description of how expensive it is for zeros to live to the right of</w:t>
      </w:r>
      <w:r>
        <w:t xml:space="preserve"> </w:t>
      </w:r>
      <m:oMath>
        <m:r>
          <m:t>σ</m:t>
        </m:r>
      </m:oMath>
      <w:r>
        <w:t xml:space="preserve">. A smaller admissible value is stronger.</w:t>
      </w:r>
    </w:p>
    <w:p>
      <w:pPr>
        <w:pStyle w:val="BodyText"/>
      </w:pPr>
      <w:r>
        <w:t xml:space="preserve">Different papers give different functions or different good ranges. Therefore the useful downstream object is often not one named theorem but the lower envelope</w:t>
      </w:r>
    </w:p>
    <w:p>
      <w:pPr>
        <w:pStyle w:val="BodyText"/>
      </w:pPr>
      <m:oMathPara>
        <m:oMathParaPr>
          <m:jc m:val="center"/>
        </m:oMathParaPr>
        <m:oMath>
          <m:sSub>
            <m:e>
              <m:r>
                <m:t>A</m:t>
              </m:r>
            </m:e>
            <m:sub>
              <m:r>
                <m:rPr>
                  <m:sty m:val="p"/>
                </m:rPr>
                <m:t>b</m:t>
              </m:r>
              <m:r>
                <m:rPr>
                  <m:sty m:val="p"/>
                </m:rPr>
                <m:t>e</m:t>
              </m:r>
              <m:r>
                <m:rPr>
                  <m:sty m:val="p"/>
                </m:rPr>
                <m:t>s</m:t>
              </m:r>
              <m:r>
                <m:rPr>
                  <m:sty m:val="p"/>
                </m:rPr>
                <m:t>t</m:t>
              </m:r>
            </m:sub>
          </m:sSub>
          <m:d>
            <m:dPr>
              <m:begChr m:val="("/>
              <m:endChr m:val=")"/>
              <m:sepChr m:val=""/>
              <m:grow/>
            </m:dPr>
            <m:e>
              <m:r>
                <m:t>σ</m:t>
              </m:r>
            </m:e>
          </m:d>
          <m:r>
            <m:rPr>
              <m:sty m:val="p"/>
            </m:rPr>
            <m:t>=</m:t>
          </m:r>
          <m:r>
            <m:rPr>
              <m:sty m:val="p"/>
            </m:rPr>
            <m:t>min</m:t>
          </m:r>
          <m:d>
            <m:dPr>
              <m:begChr m:val="("/>
              <m:endChr m:val=")"/>
              <m:sepChr m:val=""/>
              <m:grow/>
            </m:dPr>
            <m:e>
              <m:sSub>
                <m:e>
                  <m:r>
                    <m:t>A</m:t>
                  </m:r>
                </m:e>
                <m:sub>
                  <m:r>
                    <m:rPr>
                      <m:sty m:val="p"/>
                    </m:rPr>
                    <m:t>I</m:t>
                  </m:r>
                  <m:r>
                    <m:rPr>
                      <m:sty m:val="p"/>
                    </m:rPr>
                    <m:t>n</m:t>
                  </m:r>
                  <m:r>
                    <m:rPr>
                      <m:sty m:val="p"/>
                    </m:rPr>
                    <m:t>g</m:t>
                  </m:r>
                  <m:r>
                    <m:rPr>
                      <m:sty m:val="p"/>
                    </m:rPr>
                    <m:t>h</m:t>
                  </m:r>
                  <m:r>
                    <m:rPr>
                      <m:sty m:val="p"/>
                    </m:rPr>
                    <m:t>a</m:t>
                  </m:r>
                  <m:r>
                    <m:rPr>
                      <m:sty m:val="p"/>
                    </m:rPr>
                    <m:t>m</m:t>
                  </m:r>
                </m:sub>
              </m:sSub>
              <m:d>
                <m:dPr>
                  <m:begChr m:val="("/>
                  <m:endChr m:val=")"/>
                  <m:sepChr m:val=""/>
                  <m:grow/>
                </m:dPr>
                <m:e>
                  <m:r>
                    <m:t>σ</m:t>
                  </m:r>
                </m:e>
              </m:d>
              <m:r>
                <m:rPr>
                  <m:sty m:val="p"/>
                </m:rPr>
                <m:t>,</m:t>
              </m:r>
              <m:sSub>
                <m:e>
                  <m:r>
                    <m:t>A</m:t>
                  </m:r>
                </m:e>
                <m:sub>
                  <m:r>
                    <m:rPr>
                      <m:sty m:val="p"/>
                    </m:rPr>
                    <m:t>H</m:t>
                  </m:r>
                  <m:r>
                    <m:rPr>
                      <m:sty m:val="p"/>
                    </m:rPr>
                    <m:t>u</m:t>
                  </m:r>
                  <m:r>
                    <m:rPr>
                      <m:sty m:val="p"/>
                    </m:rPr>
                    <m:t>x</m:t>
                  </m:r>
                  <m:r>
                    <m:rPr>
                      <m:sty m:val="p"/>
                    </m:rPr>
                    <m:t>l</m:t>
                  </m:r>
                  <m:r>
                    <m:rPr>
                      <m:sty m:val="p"/>
                    </m:rPr>
                    <m:t>e</m:t>
                  </m:r>
                  <m:r>
                    <m:rPr>
                      <m:sty m:val="p"/>
                    </m:rPr>
                    <m:t>y</m:t>
                  </m:r>
                </m:sub>
              </m:sSub>
              <m:d>
                <m:dPr>
                  <m:begChr m:val="("/>
                  <m:endChr m:val=")"/>
                  <m:sepChr m:val=""/>
                  <m:grow/>
                </m:dPr>
                <m:e>
                  <m:r>
                    <m:t>σ</m:t>
                  </m:r>
                </m:e>
              </m:d>
              <m:r>
                <m:rPr>
                  <m:sty m:val="p"/>
                </m:rPr>
                <m:t>,</m:t>
              </m:r>
              <m:sSub>
                <m:e>
                  <m:r>
                    <m:t>A</m:t>
                  </m:r>
                </m:e>
                <m:sub>
                  <m:r>
                    <m:rPr>
                      <m:sty m:val="p"/>
                    </m:rPr>
                    <m:t>G</m:t>
                  </m:r>
                  <m:r>
                    <m:rPr>
                      <m:sty m:val="p"/>
                    </m:rPr>
                    <m:t>M</m:t>
                  </m:r>
                </m:sub>
              </m:sSub>
              <m:d>
                <m:dPr>
                  <m:begChr m:val="("/>
                  <m:endChr m:val=")"/>
                  <m:sepChr m:val=""/>
                  <m:grow/>
                </m:dPr>
                <m:e>
                  <m:r>
                    <m:t>σ</m:t>
                  </m:r>
                </m:e>
              </m:d>
              <m:r>
                <m:rPr>
                  <m:sty m:val="p"/>
                </m:rPr>
                <m:t>,</m:t>
              </m:r>
              <m:r>
                <m:rPr>
                  <m:sty m:val="p"/>
                </m:rPr>
                <m:t>…</m:t>
              </m:r>
            </m:e>
          </m:d>
          <m:r>
            <m:rPr>
              <m:sty m:val="p"/>
            </m:rPr>
            <m:t>.</m:t>
          </m:r>
        </m:oMath>
      </m:oMathPara>
    </w:p>
    <w:p>
      <w:pPr>
        <w:pStyle w:val="FirstParagraph"/>
      </w:pPr>
      <w:r>
        <w:t xml:space="preserve">That envelope matters because a consumer theorem may optimize over</w:t>
      </w:r>
      <w:r>
        <w:t xml:space="preserve"> </w:t>
      </w:r>
      <m:oMath>
        <m:r>
          <m:t>σ</m:t>
        </m:r>
      </m:oMath>
      <w:r>
        <w:t xml:space="preserve">. Replacing a piecewise profile by one clean uniform exponent can make a paper easier to state while throwing away information that a later optimizer could use.</w:t>
      </w:r>
    </w:p>
    <w:bookmarkEnd w:id="72"/>
    <w:bookmarkStart w:id="73" w:name="X14c87a9e1beed625ac8ea338a8b51ddd122acfb"/>
    <w:p>
      <w:pPr>
        <w:pStyle w:val="Heading3"/>
      </w:pPr>
      <w:r>
        <w:t xml:space="preserve">17.1.2 What the Guth-Maynard uniform exponent immediately implies</w:t>
      </w:r>
    </w:p>
    <w:p>
      <w:pPr>
        <w:pStyle w:val="FirstParagraph"/>
      </w:pPr>
      <w:r>
        <w:t xml:space="preserve">The clean Guth-Maynard consequence [71] gives</w:t>
      </w:r>
    </w:p>
    <w:p>
      <w:pPr>
        <w:pStyle w:val="BodyText"/>
      </w:pPr>
      <m:oMathPara>
        <m:oMathParaPr>
          <m:jc m:val="center"/>
        </m:oMathParaPr>
        <m:oMath>
          <m:r>
            <m:t>N</m:t>
          </m:r>
          <m:d>
            <m:dPr>
              <m:begChr m:val="("/>
              <m:endChr m:val=")"/>
              <m:sepChr m:val=""/>
              <m:grow/>
            </m:dPr>
            <m:e>
              <m:r>
                <m:t>σ</m:t>
              </m:r>
              <m:r>
                <m:rPr>
                  <m:sty m:val="p"/>
                </m:rPr>
                <m:t>,</m:t>
              </m:r>
              <m:r>
                <m:t>T</m:t>
              </m:r>
            </m:e>
          </m:d>
          <m:r>
            <m:rPr>
              <m:sty m:val="p"/>
            </m:rPr>
            <m:t>≤</m:t>
          </m:r>
          <m:sSup>
            <m:e>
              <m:r>
                <m:t>T</m:t>
              </m:r>
            </m:e>
            <m:sup>
              <m:f>
                <m:fPr>
                  <m:type m:val="bar"/>
                </m:fPr>
                <m:num>
                  <m:r>
                    <m:t>30</m:t>
                  </m:r>
                </m:num>
                <m:den>
                  <m:r>
                    <m:t>13</m:t>
                  </m:r>
                </m:den>
              </m:f>
              <m:d>
                <m:dPr>
                  <m:begChr m:val="("/>
                  <m:endChr m:val=")"/>
                  <m:sepChr m:val=""/>
                  <m:grow/>
                </m:dPr>
                <m:e>
                  <m:r>
                    <m:t>1</m:t>
                  </m:r>
                  <m:r>
                    <m:rPr>
                      <m:sty m:val="p"/>
                    </m:rPr>
                    <m:t>−</m:t>
                  </m:r>
                  <m:r>
                    <m:t>σ</m:t>
                  </m:r>
                </m:e>
              </m:d>
              <m:r>
                <m:rPr>
                  <m:sty m:val="p"/>
                </m:rPr>
                <m:t>+</m:t>
              </m:r>
              <m:r>
                <m:t>o</m:t>
              </m:r>
              <m:d>
                <m:dPr>
                  <m:begChr m:val="("/>
                  <m:endChr m:val=")"/>
                  <m:sepChr m:val=""/>
                  <m:grow/>
                </m:dPr>
                <m:e>
                  <m:r>
                    <m:t>1</m:t>
                  </m:r>
                </m:e>
              </m:d>
            </m:sup>
          </m:sSup>
          <m:r>
            <m:rPr>
              <m:sty m:val="p"/>
            </m:rPr>
            <m:t>.</m:t>
          </m:r>
        </m:oMath>
      </m:oMathPara>
    </w:p>
    <w:p>
      <w:pPr>
        <w:pStyle w:val="FirstParagraph"/>
      </w:pPr>
      <w:r>
        <w:t xml:space="preserve">Put</w:t>
      </w:r>
    </w:p>
    <w:p>
      <w:pPr>
        <w:pStyle w:val="BodyText"/>
      </w:pPr>
      <m:oMathPara>
        <m:oMathParaPr>
          <m:jc m:val="center"/>
        </m:oMathParaPr>
        <m:oMath>
          <m:r>
            <m:t>σ</m:t>
          </m:r>
          <m:r>
            <m:rPr>
              <m:sty m:val="p"/>
            </m:rPr>
            <m:t>=</m:t>
          </m:r>
          <m:f>
            <m:fPr>
              <m:type m:val="bar"/>
            </m:fPr>
            <m:num>
              <m:r>
                <m:t>1</m:t>
              </m:r>
            </m:num>
            <m:den>
              <m:r>
                <m:t>2</m:t>
              </m:r>
            </m:den>
          </m:f>
          <m:r>
            <m:rPr>
              <m:sty m:val="p"/>
            </m:rPr>
            <m:t>+</m:t>
          </m:r>
          <m:r>
            <m:t>η</m:t>
          </m:r>
          <m:r>
            <m:rPr>
              <m:sty m:val="p"/>
            </m:rPr>
            <m:t>.</m:t>
          </m:r>
        </m:oMath>
      </m:oMathPara>
    </w:p>
    <w:p>
      <w:pPr>
        <w:pStyle w:val="FirstParagraph"/>
      </w:pPr>
      <w:r>
        <w:t xml:space="preserve">Then</w:t>
      </w:r>
    </w:p>
    <w:p>
      <w:pPr>
        <w:pStyle w:val="BodyText"/>
      </w:pPr>
      <m:oMathPara>
        <m:oMathParaPr>
          <m:jc m:val="center"/>
        </m:oMathParaPr>
        <m:oMath>
          <m:r>
            <m:t>N</m:t>
          </m:r>
          <m:r>
            <m:t>​</m:t>
          </m:r>
          <m:d>
            <m:dPr>
              <m:begChr m:val="("/>
              <m:endChr m:val=")"/>
              <m:sepChr m:val=""/>
              <m:grow/>
            </m:dPr>
            <m:e>
              <m:f>
                <m:fPr>
                  <m:type m:val="bar"/>
                </m:fPr>
                <m:num>
                  <m:r>
                    <m:t>1</m:t>
                  </m:r>
                </m:num>
                <m:den>
                  <m:r>
                    <m:t>2</m:t>
                  </m:r>
                </m:den>
              </m:f>
              <m:r>
                <m:rPr>
                  <m:sty m:val="p"/>
                </m:rPr>
                <m:t>+</m:t>
              </m:r>
              <m:r>
                <m:t>η</m:t>
              </m:r>
              <m:r>
                <m:rPr>
                  <m:sty m:val="p"/>
                </m:rPr>
                <m:t>,</m:t>
              </m:r>
              <m:r>
                <m:t>T</m:t>
              </m:r>
            </m:e>
          </m:d>
          <m:r>
            <m:rPr>
              <m:sty m:val="p"/>
            </m:rPr>
            <m:t>≤</m:t>
          </m:r>
          <m:sSup>
            <m:e>
              <m:r>
                <m:t>T</m:t>
              </m:r>
            </m:e>
            <m:sup>
              <m:f>
                <m:fPr>
                  <m:type m:val="bar"/>
                </m:fPr>
                <m:num>
                  <m:r>
                    <m:t>30</m:t>
                  </m:r>
                </m:num>
                <m:den>
                  <m:r>
                    <m:t>13</m:t>
                  </m:r>
                </m:den>
              </m:f>
              <m:d>
                <m:dPr>
                  <m:begChr m:val="("/>
                  <m:endChr m:val=")"/>
                  <m:sepChr m:val=""/>
                  <m:grow/>
                </m:dPr>
                <m:e>
                  <m:f>
                    <m:fPr>
                      <m:type m:val="bar"/>
                    </m:fPr>
                    <m:num>
                      <m:r>
                        <m:t>1</m:t>
                      </m:r>
                    </m:num>
                    <m:den>
                      <m:r>
                        <m:t>2</m:t>
                      </m:r>
                    </m:den>
                  </m:f>
                  <m:r>
                    <m:rPr>
                      <m:sty m:val="p"/>
                    </m:rPr>
                    <m:t>−</m:t>
                  </m:r>
                  <m:r>
                    <m:t>η</m:t>
                  </m:r>
                </m:e>
              </m:d>
              <m:r>
                <m:rPr>
                  <m:sty m:val="p"/>
                </m:rPr>
                <m:t>+</m:t>
              </m:r>
              <m:r>
                <m:t>o</m:t>
              </m:r>
              <m:d>
                <m:dPr>
                  <m:begChr m:val="("/>
                  <m:endChr m:val=")"/>
                  <m:sepChr m:val=""/>
                  <m:grow/>
                </m:dPr>
                <m:e>
                  <m:r>
                    <m:t>1</m:t>
                  </m:r>
                </m:e>
              </m:d>
            </m:sup>
          </m:sSup>
          <m:r>
            <m:rPr>
              <m:sty m:val="p"/>
            </m:rPr>
            <m:t>.</m:t>
          </m:r>
        </m:oMath>
      </m:oMathPara>
    </w:p>
    <w:p>
      <w:pPr>
        <w:pStyle w:val="FirstParagraph"/>
      </w:pPr>
      <w:r>
        <w:t xml:space="preserve">The Riemann-von Mangoldt formula gives total zero count of order</w:t>
      </w:r>
    </w:p>
    <w:p>
      <w:pPr>
        <w:pStyle w:val="BodyText"/>
      </w:pPr>
      <m:oMathPara>
        <m:oMathParaPr>
          <m:jc m:val="center"/>
        </m:oMathParaPr>
        <m:oMath>
          <m:r>
            <m:t>N</m:t>
          </m:r>
          <m:d>
            <m:dPr>
              <m:begChr m:val="("/>
              <m:endChr m:val=")"/>
              <m:sepChr m:val=""/>
              <m:grow/>
            </m:dPr>
            <m:e>
              <m:r>
                <m:t>T</m:t>
              </m:r>
            </m:e>
          </m:d>
          <m:r>
            <m:rPr>
              <m:sty m:val="p"/>
            </m:rPr>
            <m:t>≍</m:t>
          </m:r>
          <m:r>
            <m:t>T</m:t>
          </m:r>
          <m:r>
            <m:rPr>
              <m:sty m:val="p"/>
            </m:rPr>
            <m:t>log</m:t>
          </m:r>
          <m:r>
            <m:t>T</m:t>
          </m:r>
          <m:r>
            <m:rPr>
              <m:sty m:val="p"/>
            </m:rPr>
            <m:t>.</m:t>
          </m:r>
        </m:oMath>
      </m:oMathPara>
    </w:p>
    <w:p>
      <w:pPr>
        <w:pStyle w:val="FirstParagraph"/>
      </w:pPr>
      <w:r>
        <w:t xml:space="preserve">The exponent on the right is strictly less than</w:t>
      </w:r>
      <w:r>
        <w:t xml:space="preserve"> </w:t>
      </w:r>
      <m:oMath>
        <m:r>
          <m:t>1</m:t>
        </m:r>
      </m:oMath>
      <w:r>
        <w:t xml:space="preserve"> </w:t>
      </w:r>
      <w:r>
        <w:t xml:space="preserve">exactly when</w:t>
      </w:r>
    </w:p>
    <w:p>
      <w:pPr>
        <w:pStyle w:val="BodyText"/>
      </w:pPr>
      <m:oMathPara>
        <m:oMathParaPr>
          <m:jc m:val="center"/>
        </m:oMathParaPr>
        <m:oMath>
          <m:f>
            <m:fPr>
              <m:type m:val="bar"/>
            </m:fPr>
            <m:num>
              <m:r>
                <m:t>30</m:t>
              </m:r>
            </m:num>
            <m:den>
              <m:r>
                <m:t>13</m:t>
              </m:r>
            </m:den>
          </m:f>
          <m:d>
            <m:dPr>
              <m:begChr m:val="("/>
              <m:endChr m:val=")"/>
              <m:sepChr m:val=""/>
              <m:grow/>
            </m:dPr>
            <m:e>
              <m:f>
                <m:fPr>
                  <m:type m:val="bar"/>
                </m:fPr>
                <m:num>
                  <m:r>
                    <m:t>1</m:t>
                  </m:r>
                </m:num>
                <m:den>
                  <m:r>
                    <m:t>2</m:t>
                  </m:r>
                </m:den>
              </m:f>
              <m:r>
                <m:rPr>
                  <m:sty m:val="p"/>
                </m:rPr>
                <m:t>−</m:t>
              </m:r>
              <m:r>
                <m:t>η</m:t>
              </m:r>
            </m:e>
          </m:d>
          <m:r>
            <m:rPr>
              <m:sty m:val="p"/>
            </m:rPr>
            <m:t>&lt;</m:t>
          </m:r>
          <m:r>
            <m:t>1</m:t>
          </m:r>
          <m:r>
            <m:rPr>
              <m:sty m:val="p"/>
            </m:rPr>
            <m:t>,</m:t>
          </m:r>
        </m:oMath>
      </m:oMathPara>
    </w:p>
    <w:p>
      <w:pPr>
        <w:pStyle w:val="FirstParagraph"/>
      </w:pPr>
      <w:r>
        <w:t xml:space="preserve">which is equivalent to</w:t>
      </w:r>
    </w:p>
    <w:p>
      <w:pPr>
        <w:pStyle w:val="BodyText"/>
      </w:pPr>
      <m:oMathPara>
        <m:oMathParaPr>
          <m:jc m:val="center"/>
        </m:oMathParaPr>
        <m:oMath>
          <m:r>
            <m:t>η</m:t>
          </m:r>
          <m:r>
            <m:rPr>
              <m:sty m:val="p"/>
            </m:rPr>
            <m:t>&gt;</m:t>
          </m:r>
          <m:f>
            <m:fPr>
              <m:type m:val="bar"/>
            </m:fPr>
            <m:num>
              <m:r>
                <m:t>1</m:t>
              </m:r>
            </m:num>
            <m:den>
              <m:r>
                <m:t>15</m:t>
              </m:r>
            </m:den>
          </m:f>
          <m:r>
            <m:rPr>
              <m:sty m:val="p"/>
            </m:rPr>
            <m:t>.</m:t>
          </m:r>
        </m:oMath>
      </m:oMathPara>
    </w:p>
    <w:p>
      <w:pPr>
        <w:pStyle w:val="FirstParagraph"/>
      </w:pPr>
      <w:r>
        <w:t xml:space="preserve">Thus, for every fixed</w:t>
      </w:r>
      <w:r>
        <w:t xml:space="preserve"> </w:t>
      </w:r>
      <m:oMath>
        <m:r>
          <m:t>η</m:t>
        </m:r>
        <m:r>
          <m:rPr>
            <m:sty m:val="p"/>
          </m:rPr>
          <m:t>&gt;</m:t>
        </m:r>
        <m:r>
          <m:t>1</m:t>
        </m:r>
        <m:r>
          <m:rPr>
            <m:sty m:val="p"/>
          </m:rPr>
          <m:t>/</m:t>
        </m:r>
        <m:r>
          <m:t>15</m:t>
        </m:r>
      </m:oMath>
      <w:r>
        <w:t xml:space="preserve">,</w:t>
      </w:r>
    </w:p>
    <w:p>
      <w:pPr>
        <w:pStyle w:val="BodyText"/>
      </w:pPr>
      <m:oMathPara>
        <m:oMathParaPr>
          <m:jc m:val="center"/>
        </m:oMathParaPr>
        <m:oMath>
          <m:r>
            <m:t>N</m:t>
          </m:r>
          <m:r>
            <m:t>​</m:t>
          </m:r>
          <m:d>
            <m:dPr>
              <m:begChr m:val="("/>
              <m:endChr m:val=")"/>
              <m:sepChr m:val=""/>
              <m:grow/>
            </m:dPr>
            <m:e>
              <m:f>
                <m:fPr>
                  <m:type m:val="bar"/>
                </m:fPr>
                <m:num>
                  <m:r>
                    <m:t>1</m:t>
                  </m:r>
                </m:num>
                <m:den>
                  <m:r>
                    <m:t>2</m:t>
                  </m:r>
                </m:den>
              </m:f>
              <m:r>
                <m:rPr>
                  <m:sty m:val="p"/>
                </m:rPr>
                <m:t>+</m:t>
              </m:r>
              <m:r>
                <m:t>η</m:t>
              </m:r>
              <m:r>
                <m:rPr>
                  <m:sty m:val="p"/>
                </m:rPr>
                <m:t>,</m:t>
              </m:r>
              <m:r>
                <m:t>T</m:t>
              </m:r>
            </m:e>
          </m:d>
          <m:r>
            <m:rPr>
              <m:sty m:val="p"/>
            </m:rPr>
            <m:t>=</m:t>
          </m:r>
          <m:r>
            <m:t>o</m:t>
          </m:r>
          <m:d>
            <m:dPr>
              <m:begChr m:val="("/>
              <m:endChr m:val=")"/>
              <m:sepChr m:val=""/>
              <m:grow/>
            </m:dPr>
            <m:e>
              <m:r>
                <m:t>N</m:t>
              </m:r>
              <m:d>
                <m:dPr>
                  <m:begChr m:val="("/>
                  <m:endChr m:val=")"/>
                  <m:sepChr m:val=""/>
                  <m:grow/>
                </m:dPr>
                <m:e>
                  <m:r>
                    <m:t>T</m:t>
                  </m:r>
                </m:e>
              </m:d>
            </m:e>
          </m:d>
          <m:r>
            <m:rPr>
              <m:sty m:val="p"/>
            </m:rPr>
            <m:t>.</m:t>
          </m:r>
        </m:oMath>
      </m:oMathPara>
    </w:p>
    <w:p>
      <w:pPr>
        <w:pStyle w:val="FirstParagraph"/>
      </w:pPr>
      <w:r>
        <w:t xml:space="preserve">Using functional-equation symmetry, the same statement controls the mirror region on the left. Consequently the proportion of zeros satisfying</w:t>
      </w:r>
    </w:p>
    <w:p>
      <w:pPr>
        <w:pStyle w:val="BodyText"/>
      </w:pPr>
      <m:oMathPara>
        <m:oMathParaPr>
          <m:jc m:val="center"/>
        </m:oMathParaPr>
        <m:oMath>
          <m:d>
            <m:dPr>
              <m:begChr m:val="|"/>
              <m:endChr m:val="|"/>
              <m:sepChr m:val=""/>
              <m:grow/>
            </m:dPr>
            <m:e>
              <m:r>
                <m:t>β</m:t>
              </m:r>
              <m:r>
                <m:rPr>
                  <m:sty m:val="p"/>
                </m:rPr>
                <m:t>−</m:t>
              </m:r>
              <m:f>
                <m:fPr>
                  <m:type m:val="bar"/>
                </m:fPr>
                <m:num>
                  <m:r>
                    <m:t>1</m:t>
                  </m:r>
                </m:num>
                <m:den>
                  <m:r>
                    <m:t>2</m:t>
                  </m:r>
                </m:den>
              </m:f>
            </m:e>
          </m:d>
          <m:r>
            <m:rPr>
              <m:sty m:val="p"/>
            </m:rPr>
            <m:t>≥</m:t>
          </m:r>
          <m:r>
            <m:t>η</m:t>
          </m:r>
        </m:oMath>
      </m:oMathPara>
    </w:p>
    <w:p>
      <w:pPr>
        <w:pStyle w:val="FirstParagraph"/>
      </w:pPr>
      <w:r>
        <w:t xml:space="preserve">is asymptotically zero for every fixed</w:t>
      </w:r>
      <w:r>
        <w:t xml:space="preserve"> </w:t>
      </w:r>
      <m:oMath>
        <m:r>
          <m:t>η</m:t>
        </m:r>
        <m:r>
          <m:rPr>
            <m:sty m:val="p"/>
          </m:rPr>
          <m:t>&gt;</m:t>
        </m:r>
        <m:r>
          <m:t>1</m:t>
        </m:r>
        <m:r>
          <m:rPr>
            <m:sty m:val="p"/>
          </m:rPr>
          <m:t>/</m:t>
        </m:r>
        <m:r>
          <m:t>15</m:t>
        </m:r>
      </m:oMath>
      <w:r>
        <w:t xml:space="preserve">.</w:t>
      </w:r>
    </w:p>
    <w:p>
      <w:pPr>
        <w:pStyle w:val="BodyText"/>
      </w:pPr>
      <w:r>
        <w:t xml:space="preserve">This is a good example of a theorem that sounds visually close to RH but is logically much weaker. It says that a positive-density cloud of zeros cannot remain a fixed distance greater than</w:t>
      </w:r>
      <w:r>
        <w:t xml:space="preserve"> </w:t>
      </w:r>
      <m:oMath>
        <m:r>
          <m:t>1</m:t>
        </m:r>
        <m:r>
          <m:rPr>
            <m:sty m:val="p"/>
          </m:rPr>
          <m:t>/</m:t>
        </m:r>
        <m:r>
          <m:t>15</m:t>
        </m:r>
      </m:oMath>
      <w:r>
        <w:t xml:space="preserve"> </w:t>
      </w:r>
      <w:r>
        <w:t xml:space="preserve">from the critical line. It does not exclude an infinite sparse sequence off the line, and it says nothing by itself about zeros inside the thinner strip</w:t>
      </w:r>
    </w:p>
    <w:p>
      <w:pPr>
        <w:pStyle w:val="BodyText"/>
      </w:pPr>
      <m:oMathPara>
        <m:oMathParaPr>
          <m:jc m:val="center"/>
        </m:oMathParaPr>
        <m:oMath>
          <m:d>
            <m:dPr>
              <m:begChr m:val="|"/>
              <m:endChr m:val="|"/>
              <m:sepChr m:val=""/>
              <m:grow/>
            </m:dPr>
            <m:e>
              <m:r>
                <m:t>β</m:t>
              </m:r>
              <m:r>
                <m:rPr>
                  <m:sty m:val="p"/>
                </m:rPr>
                <m:t>−</m:t>
              </m:r>
              <m:f>
                <m:fPr>
                  <m:type m:val="bar"/>
                </m:fPr>
                <m:num>
                  <m:r>
                    <m:t>1</m:t>
                  </m:r>
                </m:num>
                <m:den>
                  <m:r>
                    <m:t>2</m:t>
                  </m:r>
                </m:den>
              </m:f>
            </m:e>
          </m:d>
          <m:r>
            <m:rPr>
              <m:sty m:val="p"/>
            </m:rPr>
            <m:t>&lt;</m:t>
          </m:r>
          <m:f>
            <m:fPr>
              <m:type m:val="bar"/>
            </m:fPr>
            <m:num>
              <m:r>
                <m:t>1</m:t>
              </m:r>
            </m:num>
            <m:den>
              <m:r>
                <m:t>15</m:t>
              </m:r>
            </m:den>
          </m:f>
          <m:r>
            <m:rPr>
              <m:sty m:val="p"/>
            </m:rPr>
            <m:t>+</m:t>
          </m:r>
          <m:r>
            <m:t>ε</m:t>
          </m:r>
          <m:r>
            <m:rPr>
              <m:sty m:val="p"/>
            </m:rPr>
            <m:t>.</m:t>
          </m:r>
        </m:oMath>
      </m:oMathPara>
    </w:p>
    <w:bookmarkEnd w:id="73"/>
    <w:bookmarkStart w:id="74" w:name="X1486fce0df5ff11a6a69f1207da4cc1356ed495"/>
    <w:p>
      <w:pPr>
        <w:pStyle w:val="Heading3"/>
      </w:pPr>
      <w:r>
        <w:t xml:space="preserve">17.1.3 Why local improvements can matter more than a global headline</w:t>
      </w:r>
    </w:p>
    <w:p>
      <w:pPr>
        <w:pStyle w:val="FirstParagraph"/>
      </w:pPr>
      <w:r>
        <w:t xml:space="preserve">Suppose a downstream theorem contains an optimization</w:t>
      </w:r>
    </w:p>
    <w:p>
      <w:pPr>
        <w:pStyle w:val="BodyText"/>
      </w:pPr>
      <m:oMathPara>
        <m:oMathParaPr>
          <m:jc m:val="center"/>
        </m:oMathParaPr>
        <m:oMath>
          <m:limLow>
            <m:e>
              <m:r>
                <m:rPr>
                  <m:sty m:val="p"/>
                </m:rPr>
                <m:t>inf</m:t>
              </m:r>
            </m:e>
            <m:lim>
              <m:r>
                <m:t>σ</m:t>
              </m:r>
              <m:r>
                <m:rPr>
                  <m:sty m:val="p"/>
                </m:rPr>
                <m:t>∈</m:t>
              </m:r>
              <m:r>
                <m:t>I</m:t>
              </m:r>
            </m:lim>
          </m:limLow>
          <m:r>
            <m:t>F</m:t>
          </m:r>
          <m:d>
            <m:dPr>
              <m:begChr m:val="("/>
              <m:endChr m:val=")"/>
              <m:sepChr m:val=""/>
              <m:grow/>
            </m:dPr>
            <m:e>
              <m:r>
                <m:t>σ</m:t>
              </m:r>
              <m:r>
                <m:rPr>
                  <m:sty m:val="p"/>
                </m:rPr>
                <m:t>,</m:t>
              </m:r>
              <m:r>
                <m:t>A</m:t>
              </m:r>
              <m:d>
                <m:dPr>
                  <m:begChr m:val="("/>
                  <m:endChr m:val=")"/>
                  <m:sepChr m:val=""/>
                  <m:grow/>
                </m:dPr>
                <m:e>
                  <m:r>
                    <m:t>σ</m:t>
                  </m:r>
                </m:e>
              </m:d>
            </m:e>
          </m:d>
          <m:r>
            <m:rPr>
              <m:sty m:val="p"/>
            </m:rPr>
            <m:t>.</m:t>
          </m:r>
        </m:oMath>
      </m:oMathPara>
    </w:p>
    <w:p>
      <w:pPr>
        <w:pStyle w:val="FirstParagraph"/>
      </w:pPr>
      <w:r>
        <w:t xml:space="preserve">A uniform estimate such as</w:t>
      </w:r>
      <w:r>
        <w:t xml:space="preserve"> </w:t>
      </w:r>
      <m:oMath>
        <m:r>
          <m:t>A</m:t>
        </m:r>
        <m:d>
          <m:dPr>
            <m:begChr m:val="("/>
            <m:endChr m:val=")"/>
            <m:sepChr m:val=""/>
            <m:grow/>
          </m:dPr>
          <m:e>
            <m:r>
              <m:t>σ</m:t>
            </m:r>
          </m:e>
        </m:d>
        <m:r>
          <m:rPr>
            <m:sty m:val="p"/>
          </m:rPr>
          <m:t>≤</m:t>
        </m:r>
        <m:r>
          <m:t>30</m:t>
        </m:r>
        <m:r>
          <m:rPr>
            <m:sty m:val="p"/>
          </m:rPr>
          <m:t>/</m:t>
        </m:r>
        <m:r>
          <m:t>13</m:t>
        </m:r>
      </m:oMath>
      <w:r>
        <w:t xml:space="preserve"> </w:t>
      </w:r>
      <w:r>
        <w:t xml:space="preserve">may be weaker than the classical bound at one end of</w:t>
      </w:r>
      <w:r>
        <w:t xml:space="preserve"> </w:t>
      </w:r>
      <m:oMath>
        <m:r>
          <m:t>I</m:t>
        </m:r>
      </m:oMath>
      <w:r>
        <w:t xml:space="preserve"> </w:t>
      </w:r>
      <w:r>
        <w:t xml:space="preserve">and stronger in the middle. The optimizer should see all branches. This is one reason formal libraries benefit from storing theorem envelopes as first-class objects instead of only storing a famous corollary.</w:t>
      </w:r>
    </w:p>
    <w:bookmarkEnd w:id="74"/>
    <w:bookmarkStart w:id="75" w:name="what-zero-density-does-not-contain"/>
    <w:p>
      <w:pPr>
        <w:pStyle w:val="Heading3"/>
      </w:pPr>
      <w:r>
        <w:t xml:space="preserve">17.1.4 What zero density does not contain</w:t>
      </w:r>
    </w:p>
    <w:p>
      <w:pPr>
        <w:pStyle w:val="FirstParagraph"/>
      </w:pPr>
      <m:oMath>
        <m:r>
          <m:t>N</m:t>
        </m:r>
        <m:d>
          <m:dPr>
            <m:begChr m:val="("/>
            <m:endChr m:val=")"/>
            <m:sepChr m:val=""/>
            <m:grow/>
          </m:dPr>
          <m:e>
            <m:r>
              <m:t>σ</m:t>
            </m:r>
            <m:r>
              <m:rPr>
                <m:sty m:val="p"/>
              </m:rPr>
              <m:t>,</m:t>
            </m:r>
            <m:r>
              <m:t>T</m:t>
            </m:r>
          </m:e>
        </m:d>
      </m:oMath>
      <w:r>
        <w:t xml:space="preserve"> </w:t>
      </w:r>
      <w:r>
        <w:t xml:space="preserve">is a one-point horizontal statistic. It records how many zeros lie in a region. It does not record how the ordinates</w:t>
      </w:r>
      <w:r>
        <w:t xml:space="preserve"> </w:t>
      </w:r>
      <m:oMath>
        <m:r>
          <m:t>γ</m:t>
        </m:r>
      </m:oMath>
      <w:r>
        <w:t xml:space="preserve"> </w:t>
      </w:r>
      <w:r>
        <w:t xml:space="preserve">are spaced, whether zeros cluster, whether their differences behave like GUE spacings, or whether quadruples satisfy additive relations. Therefore there is no automatic transformation</w:t>
      </w:r>
    </w:p>
    <w:p>
      <w:pPr>
        <w:pStyle w:val="BodyText"/>
      </w:pPr>
      <m:oMathPara>
        <m:oMathParaPr>
          <m:jc m:val="center"/>
        </m:oMathParaPr>
        <m:oMath>
          <m:r>
            <m:rPr>
              <m:nor/>
              <m:sty m:val="p"/>
            </m:rPr>
            <m:t>better </m:t>
          </m:r>
          <m:r>
            <m:t>A</m:t>
          </m:r>
          <m:d>
            <m:dPr>
              <m:begChr m:val="("/>
              <m:endChr m:val=")"/>
              <m:sepChr m:val=""/>
              <m:grow/>
            </m:dPr>
            <m:e>
              <m:r>
                <m:t>σ</m:t>
              </m:r>
            </m:e>
          </m:d>
          <m:r>
            <m:rPr>
              <m:sty m:val="p"/>
            </m:rPr>
            <m:t>⇒</m:t>
          </m:r>
          <m:r>
            <m:rPr>
              <m:nor/>
              <m:sty m:val="p"/>
            </m:rPr>
            <m:t>better pair correlation</m:t>
          </m:r>
          <m:r>
            <m:rPr>
              <m:sty m:val="p"/>
            </m:rPr>
            <m:t>.</m:t>
          </m:r>
        </m:oMath>
      </m:oMathPara>
    </w:p>
    <w:p>
      <w:pPr>
        <w:pStyle w:val="FirstParagraph"/>
      </w:pPr>
      <w:r>
        <w:t xml:space="preserve">A bridge can exist in a particular argument, but it must be proved by transporting some additional structure.</w:t>
      </w:r>
    </w:p>
    <w:bookmarkEnd w:id="75"/>
    <w:bookmarkEnd w:id="76"/>
    <w:bookmarkStart w:id="82" w:name="Xdc49405f86658594e6f8383d4b033082e553e12"/>
    <w:p>
      <w:pPr>
        <w:pStyle w:val="Heading2"/>
      </w:pPr>
      <w:r>
        <w:t xml:space="preserve">17.2 Pair correlation, Fourier support, and the support-one barrier</w:t>
      </w:r>
    </w:p>
    <w:bookmarkStart w:id="77" w:name="the-basic-statistic"/>
    <w:p>
      <w:pPr>
        <w:pStyle w:val="Heading3"/>
      </w:pPr>
      <w:r>
        <w:t xml:space="preserve">17.2.1 The basic statistic</w:t>
      </w:r>
    </w:p>
    <w:p>
      <w:pPr>
        <w:pStyle w:val="FirstParagraph"/>
      </w:pPr>
      <w:r>
        <w:t xml:space="preserve">Pair correlation asks how differences of ordinates behave after scaling by the local mean spacing. A common smoothed object has the rough shape</w:t>
      </w:r>
    </w:p>
    <w:p>
      <w:pPr>
        <w:pStyle w:val="BodyText"/>
      </w:pPr>
      <m:oMathPara>
        <m:oMathParaPr>
          <m:jc m:val="center"/>
        </m:oMathParaPr>
        <m:oMath>
          <m:nary>
            <m:naryPr>
              <m:chr m:val="∑"/>
              <m:limLoc m:val="undOvr"/>
              <m:subHide m:val="off"/>
              <m:supHide m:val="on"/>
            </m:naryPr>
            <m:sub>
              <m:r>
                <m:t>γ</m:t>
              </m:r>
              <m:r>
                <m:rPr>
                  <m:sty m:val="p"/>
                </m:rPr>
                <m:t>,</m:t>
              </m:r>
              <m:r>
                <m:t>γ</m:t>
              </m:r>
              <m:r>
                <m:rPr>
                  <m:sty m:val="p"/>
                </m:rPr>
                <m:t>′</m:t>
              </m:r>
            </m:sub>
            <m:sup>
              <m:r>
                <m:t>​</m:t>
              </m:r>
            </m:sup>
            <m:e>
              <m:sSup>
                <m:e>
                  <m:r>
                    <m:t>T</m:t>
                  </m:r>
                </m:e>
                <m:sup>
                  <m:r>
                    <m:t>i</m:t>
                  </m:r>
                  <m:r>
                    <m:t>α</m:t>
                  </m:r>
                  <m:d>
                    <m:dPr>
                      <m:begChr m:val="("/>
                      <m:endChr m:val=")"/>
                      <m:sepChr m:val=""/>
                      <m:grow/>
                    </m:dPr>
                    <m:e>
                      <m:r>
                        <m:t>γ</m:t>
                      </m:r>
                      <m:r>
                        <m:rPr>
                          <m:sty m:val="p"/>
                        </m:rPr>
                        <m:t>−</m:t>
                      </m:r>
                      <m:r>
                        <m:t>γ</m:t>
                      </m:r>
                      <m:r>
                        <m:rPr>
                          <m:sty m:val="p"/>
                        </m:rPr>
                        <m:t>′</m:t>
                      </m:r>
                    </m:e>
                  </m:d>
                </m:sup>
              </m:sSup>
            </m:e>
          </m:nary>
          <m:r>
            <m:t> </m:t>
          </m:r>
          <m:r>
            <m:t>w</m:t>
          </m:r>
          <m:d>
            <m:dPr>
              <m:begChr m:val="("/>
              <m:endChr m:val=")"/>
              <m:sepChr m:val=""/>
              <m:grow/>
            </m:dPr>
            <m:e>
              <m:r>
                <m:t>γ</m:t>
              </m:r>
              <m:r>
                <m:rPr>
                  <m:sty m:val="p"/>
                </m:rPr>
                <m:t>−</m:t>
              </m:r>
              <m:r>
                <m:t>γ</m:t>
              </m:r>
              <m:r>
                <m:rPr>
                  <m:sty m:val="p"/>
                </m:rPr>
                <m:t>′</m:t>
              </m:r>
            </m:e>
          </m:d>
          <m:r>
            <m:rPr>
              <m:sty m:val="p"/>
            </m:rPr>
            <m:t>,</m:t>
          </m:r>
        </m:oMath>
      </m:oMathPara>
    </w:p>
    <w:p>
      <w:pPr>
        <w:pStyle w:val="FirstParagraph"/>
      </w:pPr>
      <w:r>
        <w:t xml:space="preserve">or, after testing against a function</w:t>
      </w:r>
      <w:r>
        <w:t xml:space="preserve"> </w:t>
      </w:r>
      <m:oMath>
        <m:r>
          <m:t>f</m:t>
        </m:r>
      </m:oMath>
      <w:r>
        <w:t xml:space="preserve">,</w:t>
      </w:r>
    </w:p>
    <w:p>
      <w:pPr>
        <w:pStyle w:val="BodyText"/>
      </w:pPr>
      <m:oMathPara>
        <m:oMathParaPr>
          <m:jc m:val="center"/>
        </m:oMathParaPr>
        <m:oMath>
          <m:nary>
            <m:naryPr>
              <m:chr m:val="∑"/>
              <m:limLoc m:val="undOvr"/>
              <m:subHide m:val="off"/>
              <m:supHide m:val="on"/>
            </m:naryPr>
            <m:sub>
              <m:r>
                <m:t>γ</m:t>
              </m:r>
              <m:r>
                <m:rPr>
                  <m:sty m:val="p"/>
                </m:rPr>
                <m:t>,</m:t>
              </m:r>
              <m:r>
                <m:t>γ</m:t>
              </m:r>
              <m:r>
                <m:rPr>
                  <m:sty m:val="p"/>
                </m:rPr>
                <m:t>′</m:t>
              </m:r>
            </m:sub>
            <m:sup>
              <m:r>
                <m:t>​</m:t>
              </m:r>
            </m:sup>
            <m:e>
              <m:r>
                <m:t>f</m:t>
              </m:r>
            </m:e>
          </m:nary>
          <m:r>
            <m:t>​</m:t>
          </m:r>
          <m:d>
            <m:dPr>
              <m:begChr m:val="("/>
              <m:endChr m:val=")"/>
              <m:sepChr m:val=""/>
              <m:grow/>
            </m:dPr>
            <m:e>
              <m:f>
                <m:fPr>
                  <m:type m:val="bar"/>
                </m:fPr>
                <m:num>
                  <m:r>
                    <m:rPr>
                      <m:sty m:val="p"/>
                    </m:rPr>
                    <m:t>log</m:t>
                  </m:r>
                  <m:r>
                    <m:t>T</m:t>
                  </m:r>
                </m:num>
                <m:den>
                  <m:r>
                    <m:t>2</m:t>
                  </m:r>
                  <m:r>
                    <m:t>π</m:t>
                  </m:r>
                </m:den>
              </m:f>
              <m:d>
                <m:dPr>
                  <m:begChr m:val="("/>
                  <m:endChr m:val=")"/>
                  <m:sepChr m:val=""/>
                  <m:grow/>
                </m:dPr>
                <m:e>
                  <m:r>
                    <m:t>γ</m:t>
                  </m:r>
                  <m:r>
                    <m:rPr>
                      <m:sty m:val="p"/>
                    </m:rPr>
                    <m:t>−</m:t>
                  </m:r>
                  <m:r>
                    <m:t>γ</m:t>
                  </m:r>
                  <m:r>
                    <m:rPr>
                      <m:sty m:val="p"/>
                    </m:rPr>
                    <m:t>′</m:t>
                  </m:r>
                </m:e>
              </m:d>
            </m:e>
          </m:d>
          <m:r>
            <m:t>w</m:t>
          </m:r>
          <m:d>
            <m:dPr>
              <m:begChr m:val="("/>
              <m:endChr m:val=")"/>
              <m:sepChr m:val=""/>
              <m:grow/>
            </m:dPr>
            <m:e>
              <m:r>
                <m:t>γ</m:t>
              </m:r>
              <m:r>
                <m:rPr>
                  <m:sty m:val="p"/>
                </m:rPr>
                <m:t>−</m:t>
              </m:r>
              <m:r>
                <m:t>γ</m:t>
              </m:r>
              <m:r>
                <m:rPr>
                  <m:sty m:val="p"/>
                </m:rPr>
                <m:t>′</m:t>
              </m:r>
            </m:e>
          </m:d>
          <m:r>
            <m:rPr>
              <m:sty m:val="p"/>
            </m:rPr>
            <m:t>.</m:t>
          </m:r>
        </m:oMath>
      </m:oMathPara>
    </w:p>
    <w:p>
      <w:pPr>
        <w:pStyle w:val="FirstParagraph"/>
      </w:pPr>
      <w:r>
        <w:t xml:space="preserve">The exact normalizations vary by paper. The stable conceptual point is that this is a</w:t>
      </w:r>
      <w:r>
        <w:t xml:space="preserve"> </w:t>
      </w:r>
      <w:r>
        <w:rPr>
          <w:b/>
          <w:bCs/>
        </w:rPr>
        <w:t xml:space="preserve">two-point statistic</w:t>
      </w:r>
      <w:r>
        <w:t xml:space="preserve">, unlike zero density.</w:t>
      </w:r>
    </w:p>
    <w:bookmarkEnd w:id="77"/>
    <w:bookmarkStart w:id="78" w:name="why-fourier-support-appears"/>
    <w:p>
      <w:pPr>
        <w:pStyle w:val="Heading3"/>
      </w:pPr>
      <w:r>
        <w:t xml:space="preserve">17.2.2 Why Fourier support appears</w:t>
      </w:r>
    </w:p>
    <w:p>
      <w:pPr>
        <w:pStyle w:val="FirstParagraph"/>
      </w:pPr>
      <w:r>
        <w:t xml:space="preserve">Applying an explicit formula converts the zero-pair statistic into prime sums involving the Fourier transform</w:t>
      </w:r>
      <w:r>
        <w:t xml:space="preserve"> </w:t>
      </w:r>
      <m:oMath>
        <m:acc>
          <m:accPr>
            <m:chr m:val="̂"/>
          </m:accPr>
          <m:e>
            <m:r>
              <m:t>f</m:t>
            </m:r>
          </m:e>
        </m:acc>
      </m:oMath>
      <w:r>
        <w:t xml:space="preserve">. If</w:t>
      </w:r>
    </w:p>
    <w:p>
      <w:pPr>
        <w:pStyle w:val="BodyText"/>
      </w:pPr>
      <m:oMathPara>
        <m:oMathParaPr>
          <m:jc m:val="center"/>
        </m:oMathParaPr>
        <m:oMath>
          <m:r>
            <m:rPr>
              <m:sty m:val="p"/>
            </m:rPr>
            <m:t>supp</m:t>
          </m:r>
          <m:acc>
            <m:accPr>
              <m:chr m:val="̂"/>
            </m:accPr>
            <m:e>
              <m:r>
                <m:t>f</m:t>
              </m:r>
            </m:e>
          </m:acc>
          <m:r>
            <m:rPr>
              <m:sty m:val="p"/>
            </m:rPr>
            <m:t>⊂</m:t>
          </m:r>
          <m:d>
            <m:dPr>
              <m:begChr m:val="("/>
              <m:endChr m:val=")"/>
              <m:sepChr m:val=""/>
              <m:grow/>
            </m:dPr>
            <m:e>
              <m:r>
                <m:rPr>
                  <m:sty m:val="p"/>
                </m:rPr>
                <m:t>−</m:t>
              </m:r>
              <m:r>
                <m:t>1</m:t>
              </m:r>
              <m:r>
                <m:rPr>
                  <m:sty m:val="p"/>
                </m:rPr>
                <m:t>,</m:t>
              </m:r>
              <m:r>
                <m:t>1</m:t>
              </m:r>
            </m:e>
          </m:d>
          <m:r>
            <m:rPr>
              <m:sty m:val="p"/>
            </m:rPr>
            <m:t>,</m:t>
          </m:r>
        </m:oMath>
      </m:oMathPara>
    </w:p>
    <w:p>
      <w:pPr>
        <w:pStyle w:val="FirstParagraph"/>
      </w:pPr>
      <w:r>
        <w:t xml:space="preserve">the arithmetic side lies in a range where diagonal or near-diagonal information can be controlled by classical methods. This is the analytic origin of the celebrated support-one frontier in Montgomery’s theorem [16].</w:t>
      </w:r>
    </w:p>
    <w:p>
      <w:pPr>
        <w:pStyle w:val="BodyText"/>
      </w:pPr>
      <w:r>
        <w:t xml:space="preserve">The number</w:t>
      </w:r>
      <w:r>
        <w:t xml:space="preserve"> </w:t>
      </w:r>
      <m:oMath>
        <m:r>
          <m:t>1</m:t>
        </m:r>
      </m:oMath>
      <w:r>
        <w:t xml:space="preserve"> </w:t>
      </w:r>
      <w:r>
        <w:t xml:space="preserve">is therefore not a mystical property of the zeros. It records where the explicit-formula arithmetic changes character.</w:t>
      </w:r>
    </w:p>
    <w:bookmarkEnd w:id="78"/>
    <w:bookmarkStart w:id="79" w:name="what-changes-beyond-support-one"/>
    <w:p>
      <w:pPr>
        <w:pStyle w:val="Heading3"/>
      </w:pPr>
      <w:r>
        <w:t xml:space="preserve">17.2.3 What changes beyond support one</w:t>
      </w:r>
    </w:p>
    <w:p>
      <w:pPr>
        <w:pStyle w:val="FirstParagraph"/>
      </w:pPr>
      <w:r>
        <w:t xml:space="preserve">Once the test function accesses frequencies beyond</w:t>
      </w:r>
      <w:r>
        <w:t xml:space="preserve"> </w:t>
      </w:r>
      <m:oMath>
        <m:r>
          <m:t>1</m:t>
        </m:r>
      </m:oMath>
      <w:r>
        <w:t xml:space="preserve">, off-diagonal correlations of prime weights appear. Schematically, one meets sums resembling</w:t>
      </w:r>
    </w:p>
    <w:p>
      <w:pPr>
        <w:pStyle w:val="BodyText"/>
      </w:pPr>
      <m:oMathPara>
        <m:oMathParaPr>
          <m:jc m:val="center"/>
        </m:oMathParaPr>
        <m:oMath>
          <m:nary>
            <m:naryPr>
              <m:chr m:val="∑"/>
              <m:limLoc m:val="undOvr"/>
              <m:subHide m:val="off"/>
              <m:supHide m:val="on"/>
            </m:naryPr>
            <m:sub>
              <m:r>
                <m:t>n</m:t>
              </m:r>
              <m:r>
                <m:rPr>
                  <m:sty m:val="p"/>
                </m:rPr>
                <m:t>≠</m:t>
              </m:r>
              <m:r>
                <m:t>m</m:t>
              </m:r>
            </m:sub>
            <m:sup>
              <m:r>
                <m:t>​</m:t>
              </m:r>
            </m:sup>
            <m:e>
              <m:r>
                <m:t>Λ</m:t>
              </m:r>
            </m:e>
          </m:nary>
          <m:d>
            <m:dPr>
              <m:begChr m:val="("/>
              <m:endChr m:val=")"/>
              <m:sepChr m:val=""/>
              <m:grow/>
            </m:dPr>
            <m:e>
              <m:r>
                <m:t>n</m:t>
              </m:r>
            </m:e>
          </m:d>
          <m:r>
            <m:t>Λ</m:t>
          </m:r>
          <m:d>
            <m:dPr>
              <m:begChr m:val="("/>
              <m:endChr m:val=")"/>
              <m:sepChr m:val=""/>
              <m:grow/>
            </m:dPr>
            <m:e>
              <m:r>
                <m:t>m</m:t>
              </m:r>
            </m:e>
          </m:d>
          <m:sSub>
            <m:e>
              <m:r>
                <m:t>K</m:t>
              </m:r>
            </m:e>
            <m:sub>
              <m:r>
                <m:t>T</m:t>
              </m:r>
            </m:sub>
          </m:sSub>
          <m:d>
            <m:dPr>
              <m:begChr m:val="("/>
              <m:endChr m:val=")"/>
              <m:sepChr m:val=""/>
              <m:grow/>
            </m:dPr>
            <m:e>
              <m:r>
                <m:t>n</m:t>
              </m:r>
              <m:r>
                <m:rPr>
                  <m:sty m:val="p"/>
                </m:rPr>
                <m:t>,</m:t>
              </m:r>
              <m:r>
                <m:t>m</m:t>
              </m:r>
            </m:e>
          </m:d>
          <m:r>
            <m:rPr>
              <m:sty m:val="p"/>
            </m:rPr>
            <m:t>,</m:t>
          </m:r>
        </m:oMath>
      </m:oMathPara>
    </w:p>
    <w:p>
      <w:pPr>
        <w:pStyle w:val="FirstParagraph"/>
      </w:pPr>
      <w:r>
        <w:t xml:space="preserve">or, after writing</w:t>
      </w:r>
      <w:r>
        <w:t xml:space="preserve"> </w:t>
      </w:r>
      <m:oMath>
        <m:r>
          <m:t>m</m:t>
        </m:r>
        <m:r>
          <m:rPr>
            <m:sty m:val="p"/>
          </m:rPr>
          <m:t>=</m:t>
        </m:r>
        <m:r>
          <m:t>n</m:t>
        </m:r>
        <m:r>
          <m:rPr>
            <m:sty m:val="p"/>
          </m:rPr>
          <m:t>+</m:t>
        </m:r>
        <m:r>
          <m:t>h</m:t>
        </m:r>
      </m:oMath>
      <w:r>
        <w:t xml:space="preserve">,</w:t>
      </w:r>
    </w:p>
    <w:p>
      <w:pPr>
        <w:pStyle w:val="BodyText"/>
      </w:pPr>
      <m:oMathPara>
        <m:oMathParaPr>
          <m:jc m:val="center"/>
        </m:oMathParaPr>
        <m:oMath>
          <m:nary>
            <m:naryPr>
              <m:chr m:val="∑"/>
              <m:limLoc m:val="undOvr"/>
              <m:subHide m:val="off"/>
              <m:supHide m:val="on"/>
            </m:naryPr>
            <m:sub>
              <m:r>
                <m:t>h</m:t>
              </m:r>
            </m:sub>
            <m:sup>
              <m:r>
                <m:t>​</m:t>
              </m:r>
            </m:sup>
            <m:e>
              <m:sSub>
                <m:e>
                  <m:r>
                    <m:t>K</m:t>
                  </m:r>
                </m:e>
                <m:sub>
                  <m:r>
                    <m:t>N</m:t>
                  </m:r>
                  <m:r>
                    <m:rPr>
                      <m:sty m:val="p"/>
                    </m:rPr>
                    <m:t>,</m:t>
                  </m:r>
                  <m:r>
                    <m:t>T</m:t>
                  </m:r>
                </m:sub>
              </m:sSub>
            </m:e>
          </m:nary>
          <m:d>
            <m:dPr>
              <m:begChr m:val="("/>
              <m:endChr m:val=")"/>
              <m:sepChr m:val=""/>
              <m:grow/>
            </m:dPr>
            <m:e>
              <m:r>
                <m:t>h</m:t>
              </m:r>
            </m:e>
          </m:d>
          <m:nary>
            <m:naryPr>
              <m:chr m:val="∑"/>
              <m:limLoc m:val="undOvr"/>
              <m:subHide m:val="off"/>
              <m:supHide m:val="on"/>
            </m:naryPr>
            <m:sub>
              <m:r>
                <m:t>n</m:t>
              </m:r>
              <m:r>
                <m:rPr>
                  <m:sty m:val="p"/>
                </m:rPr>
                <m:t>∼</m:t>
              </m:r>
              <m:r>
                <m:t>N</m:t>
              </m:r>
            </m:sub>
            <m:sup>
              <m:r>
                <m:t>​</m:t>
              </m:r>
            </m:sup>
            <m:e>
              <m:r>
                <m:t>Λ</m:t>
              </m:r>
            </m:e>
          </m:nary>
          <m:d>
            <m:dPr>
              <m:begChr m:val="("/>
              <m:endChr m:val=")"/>
              <m:sepChr m:val=""/>
              <m:grow/>
            </m:dPr>
            <m:e>
              <m:r>
                <m:t>n</m:t>
              </m:r>
            </m:e>
          </m:d>
          <m:r>
            <m:t>Λ</m:t>
          </m:r>
          <m:d>
            <m:dPr>
              <m:begChr m:val="("/>
              <m:endChr m:val=")"/>
              <m:sepChr m:val=""/>
              <m:grow/>
            </m:dPr>
            <m:e>
              <m:r>
                <m:t>n</m:t>
              </m:r>
              <m:r>
                <m:rPr>
                  <m:sty m:val="p"/>
                </m:rPr>
                <m:t>+</m:t>
              </m:r>
              <m:r>
                <m:t>h</m:t>
              </m:r>
            </m:e>
          </m:d>
          <m:r>
            <m:rPr>
              <m:sty m:val="p"/>
            </m:rPr>
            <m:t>.</m:t>
          </m:r>
        </m:oMath>
      </m:oMathPara>
    </w:p>
    <w:p>
      <w:pPr>
        <w:pStyle w:val="FirstParagraph"/>
      </w:pPr>
      <w:r>
        <w:t xml:space="preserve">The inner sum is a shifted prime correlation. Full Hardy-Littlewood information would predict its main term for fixed</w:t>
      </w:r>
      <w:r>
        <w:t xml:space="preserve"> </w:t>
      </w:r>
      <m:oMath>
        <m:r>
          <m:t>h</m:t>
        </m:r>
      </m:oMath>
      <w:r>
        <w:t xml:space="preserve">, but a particular spectral consumer may require much less, for example a smoothed or averaged shift estimate. That distinction is important. It is the difference between asking for a famous open conjecture and asking for exactly the arithmetic statistic the downstream theorem consumes.</w:t>
      </w:r>
    </w:p>
    <w:bookmarkEnd w:id="79"/>
    <w:bookmarkStart w:id="80" w:name="modern-unconditional-pair-work"/>
    <w:p>
      <w:pPr>
        <w:pStyle w:val="Heading3"/>
      </w:pPr>
      <w:r>
        <w:t xml:space="preserve">17.2.4 Modern unconditional pair work</w:t>
      </w:r>
    </w:p>
    <w:p>
      <w:pPr>
        <w:pStyle w:val="FirstParagraph"/>
      </w:pPr>
      <w:r>
        <w:t xml:space="preserve">The modern line [62,64,68,72,76] weakens the historical dependence on RH in pair-statistical arguments. This does not mean that the full pair-correlation conjecture is proved. It means more of the statistical machinery can now be stated and used without first placing every zero on the critical line.</w:t>
      </w:r>
    </w:p>
    <w:p>
      <w:pPr>
        <w:pStyle w:val="BodyText"/>
      </w:pPr>
      <w:r>
        <w:t xml:space="preserve">That change is conceptually large because an RH-conditioned argument can otherwise hide the very horizontal zero information one hopes eventually to learn from the statistic.</w:t>
      </w:r>
    </w:p>
    <w:bookmarkEnd w:id="80"/>
    <w:bookmarkStart w:id="81" w:name="full-pcc-and-the-density-one-wall"/>
    <w:p>
      <w:pPr>
        <w:pStyle w:val="Heading3"/>
      </w:pPr>
      <w:r>
        <w:t xml:space="preserve">17.2.5 Full PCC and the density-one wall</w:t>
      </w:r>
    </w:p>
    <w:p>
      <w:pPr>
        <w:pStyle w:val="FirstParagraph"/>
      </w:pPr>
      <w:r>
        <w:t xml:space="preserve">Goldston-Lee-Schettler-Suriajaya [65] show that the full Pair Correlation Conjecture would imply that asymptotically all zeros are simple and critical. In schematic notation,</w:t>
      </w:r>
    </w:p>
    <w:p>
      <w:pPr>
        <w:pStyle w:val="BodyText"/>
      </w:pPr>
      <m:oMathPara>
        <m:oMathParaPr>
          <m:jc m:val="center"/>
        </m:oMathParaPr>
        <m:oMath>
          <m:r>
            <m:rPr>
              <m:sty m:val="p"/>
            </m:rPr>
            <m:t>P</m:t>
          </m:r>
          <m:r>
            <m:rPr>
              <m:sty m:val="p"/>
            </m:rPr>
            <m:t>C</m:t>
          </m:r>
          <m:r>
            <m:rPr>
              <m:sty m:val="p"/>
            </m:rPr>
            <m:t>C</m:t>
          </m:r>
          <m:r>
            <m:rPr>
              <m:sty m:val="p"/>
            </m:rPr>
            <m:t>⇒</m:t>
          </m:r>
          <m:f>
            <m:fPr>
              <m:type m:val="bar"/>
            </m:fPr>
            <m:num>
              <m:sSubSup>
                <m:e>
                  <m:r>
                    <m:t>N</m:t>
                  </m:r>
                </m:e>
                <m:sub>
                  <m:r>
                    <m:t>0</m:t>
                  </m:r>
                </m:sub>
                <m:sup>
                  <m:r>
                    <m:t>s</m:t>
                  </m:r>
                </m:sup>
              </m:sSubSup>
              <m:d>
                <m:dPr>
                  <m:begChr m:val="("/>
                  <m:endChr m:val=")"/>
                  <m:sepChr m:val=""/>
                  <m:grow/>
                </m:dPr>
                <m:e>
                  <m:r>
                    <m:t>T</m:t>
                  </m:r>
                </m:e>
              </m:d>
            </m:num>
            <m:den>
              <m:r>
                <m:t>N</m:t>
              </m:r>
              <m:d>
                <m:dPr>
                  <m:begChr m:val="("/>
                  <m:endChr m:val=")"/>
                  <m:sepChr m:val=""/>
                  <m:grow/>
                </m:dPr>
                <m:e>
                  <m:r>
                    <m:t>T</m:t>
                  </m:r>
                </m:e>
              </m:d>
            </m:den>
          </m:f>
          <m:r>
            <m:rPr>
              <m:sty m:val="p"/>
            </m:rPr>
            <m:t>→</m:t>
          </m:r>
          <m:r>
            <m:t>1</m:t>
          </m:r>
          <m:r>
            <m:rPr>
              <m:sty m:val="p"/>
            </m:rPr>
            <m:t>.</m:t>
          </m:r>
        </m:oMath>
      </m:oMathPara>
    </w:p>
    <w:p>
      <w:pPr>
        <w:pStyle w:val="FirstParagraph"/>
      </w:pPr>
      <w:r>
        <w:t xml:space="preserve">Here</w:t>
      </w:r>
      <w:r>
        <w:t xml:space="preserve"> </w:t>
      </w:r>
      <m:oMath>
        <m:sSubSup>
          <m:e>
            <m:r>
              <m:t>N</m:t>
            </m:r>
          </m:e>
          <m:sub>
            <m:r>
              <m:t>0</m:t>
            </m:r>
          </m:sub>
          <m:sup>
            <m:r>
              <m:t>s</m:t>
            </m:r>
          </m:sup>
        </m:sSubSup>
        <m:d>
          <m:dPr>
            <m:begChr m:val="("/>
            <m:endChr m:val=")"/>
            <m:sepChr m:val=""/>
            <m:grow/>
          </m:dPr>
          <m:e>
            <m:r>
              <m:t>T</m:t>
            </m:r>
          </m:e>
        </m:d>
      </m:oMath>
      <w:r>
        <w:t xml:space="preserve"> </w:t>
      </w:r>
      <w:r>
        <w:t xml:space="preserve">counts simple zeros on the critical line. This is an extraordinary conditional conclusion, but it remains statistical. One can still have infinitely many exceptional off-line zeros if they form a density-zero set.</w:t>
      </w:r>
    </w:p>
    <w:bookmarkEnd w:id="81"/>
    <w:bookmarkEnd w:id="82"/>
    <w:bookmarkStart w:id="89" w:name="the-gafni-tao-transfer-in-detail"/>
    <w:p>
      <w:pPr>
        <w:pStyle w:val="Heading2"/>
      </w:pPr>
      <w:r>
        <w:t xml:space="preserve">17.3 The Gafni-Tao transfer in detail</w:t>
      </w:r>
    </w:p>
    <w:p>
      <w:pPr>
        <w:pStyle w:val="FirstParagraph"/>
      </w:pPr>
      <w:r>
        <w:t xml:space="preserve">Gafni-Tao [74] is easiest to understand as a compiler from zero information to exceptional-set information for primes in short intervals.</w:t>
      </w:r>
    </w:p>
    <w:bookmarkStart w:id="83" w:name="the-prime-side-question"/>
    <w:p>
      <w:pPr>
        <w:pStyle w:val="Heading3"/>
      </w:pPr>
      <w:r>
        <w:t xml:space="preserve">17.3.1 The prime-side question</w:t>
      </w:r>
    </w:p>
    <w:p>
      <w:pPr>
        <w:pStyle w:val="FirstParagraph"/>
      </w:pPr>
      <w:r>
        <w:t xml:space="preserve">For</w:t>
      </w:r>
      <w:r>
        <w:t xml:space="preserve"> </w:t>
      </w:r>
      <m:oMath>
        <m:r>
          <m:t>0</m:t>
        </m:r>
        <m:r>
          <m:rPr>
            <m:sty m:val="p"/>
          </m:rPr>
          <m:t>&lt;</m:t>
        </m:r>
        <m:r>
          <m:t>θ</m:t>
        </m:r>
        <m:r>
          <m:rPr>
            <m:sty m:val="p"/>
          </m:rPr>
          <m:t>&lt;</m:t>
        </m:r>
        <m:r>
          <m:t>1</m:t>
        </m:r>
      </m:oMath>
      <w:r>
        <w:t xml:space="preserve">, consider intervals of length</w:t>
      </w:r>
    </w:p>
    <w:p>
      <w:pPr>
        <w:pStyle w:val="BodyText"/>
      </w:pPr>
      <m:oMathPara>
        <m:oMathParaPr>
          <m:jc m:val="center"/>
        </m:oMathParaPr>
        <m:oMath>
          <m:r>
            <m:t>h</m:t>
          </m:r>
          <m:r>
            <m:rPr>
              <m:sty m:val="p"/>
            </m:rPr>
            <m:t>=</m:t>
          </m:r>
          <m:sSup>
            <m:e>
              <m:r>
                <m:t>x</m:t>
              </m:r>
            </m:e>
            <m:sup>
              <m:r>
                <m:t>θ</m:t>
              </m:r>
            </m:sup>
          </m:sSup>
          <m:r>
            <m:rPr>
              <m:sty m:val="p"/>
            </m:rPr>
            <m:t>.</m:t>
          </m:r>
        </m:oMath>
      </m:oMathPara>
    </w:p>
    <w:p>
      <w:pPr>
        <w:pStyle w:val="FirstParagraph"/>
      </w:pPr>
      <w:r>
        <w:t xml:space="preserve">A normal interval should satisfy</w:t>
      </w:r>
    </w:p>
    <w:p>
      <w:pPr>
        <w:pStyle w:val="BodyText"/>
      </w:pPr>
      <m:oMathPara>
        <m:oMathParaPr>
          <m:jc m:val="center"/>
        </m:oMathParaPr>
        <m:oMath>
          <m:r>
            <m:t>ψ</m:t>
          </m:r>
          <m:d>
            <m:dPr>
              <m:begChr m:val="("/>
              <m:endChr m:val=")"/>
              <m:sepChr m:val=""/>
              <m:grow/>
            </m:dPr>
            <m:e>
              <m:r>
                <m:t>x</m:t>
              </m:r>
              <m:r>
                <m:rPr>
                  <m:sty m:val="p"/>
                </m:rPr>
                <m:t>+</m:t>
              </m:r>
              <m:r>
                <m:t>h</m:t>
              </m:r>
            </m:e>
          </m:d>
          <m:r>
            <m:rPr>
              <m:sty m:val="p"/>
            </m:rPr>
            <m:t>−</m:t>
          </m:r>
          <m:r>
            <m:t>ψ</m:t>
          </m:r>
          <m:d>
            <m:dPr>
              <m:begChr m:val="("/>
              <m:endChr m:val=")"/>
              <m:sepChr m:val=""/>
              <m:grow/>
            </m:dPr>
            <m:e>
              <m:r>
                <m:t>x</m:t>
              </m:r>
            </m:e>
          </m:d>
          <m:r>
            <m:rPr>
              <m:sty m:val="p"/>
            </m:rPr>
            <m:t>∼</m:t>
          </m:r>
          <m:r>
            <m:t>h</m:t>
          </m:r>
          <m:r>
            <m:rPr>
              <m:sty m:val="p"/>
            </m:rPr>
            <m:t>.</m:t>
          </m:r>
        </m:oMath>
      </m:oMathPara>
    </w:p>
    <w:p>
      <w:pPr>
        <w:pStyle w:val="FirstParagraph"/>
      </w:pPr>
      <w:r>
        <w:t xml:space="preserve">Fix a tolerance</w:t>
      </w:r>
      <w:r>
        <w:t xml:space="preserve"> </w:t>
      </w:r>
      <m:oMath>
        <m:r>
          <m:t>δ</m:t>
        </m:r>
        <m:r>
          <m:rPr>
            <m:sty m:val="p"/>
          </m:rPr>
          <m:t>&gt;</m:t>
        </m:r>
        <m:r>
          <m:t>0</m:t>
        </m:r>
      </m:oMath>
      <w:r>
        <w:t xml:space="preserve">. A schematic exceptional set is</w:t>
      </w:r>
    </w:p>
    <w:p>
      <w:pPr>
        <w:pStyle w:val="BodyText"/>
      </w:pPr>
      <m:oMathPara>
        <m:oMathParaPr>
          <m:jc m:val="center"/>
        </m:oMathParaPr>
        <m:oMath>
          <m:sSub>
            <m:e>
              <m:r>
                <m:t>E</m:t>
              </m:r>
            </m:e>
            <m:sub>
              <m:r>
                <m:t>δ</m:t>
              </m:r>
            </m:sub>
          </m:sSub>
          <m:d>
            <m:dPr>
              <m:begChr m:val="("/>
              <m:endChr m:val=")"/>
              <m:sepChr m:val=""/>
              <m:grow/>
            </m:dPr>
            <m:e>
              <m:r>
                <m:t>X</m:t>
              </m:r>
              <m:r>
                <m:rPr>
                  <m:sty m:val="p"/>
                </m:rPr>
                <m:t>,</m:t>
              </m:r>
              <m:r>
                <m:t>θ</m:t>
              </m:r>
            </m:e>
          </m:d>
          <m:r>
            <m:rPr>
              <m:sty m:val="p"/>
            </m:rPr>
            <m:t>=</m:t>
          </m:r>
          <m:d>
            <m:dPr>
              <m:begChr m:val="{"/>
              <m:endChr m:val="}"/>
              <m:sepChr m:val=""/>
              <m:grow/>
            </m:dPr>
            <m:e>
              <m:r>
                <m:t>x</m:t>
              </m:r>
              <m:r>
                <m:rPr>
                  <m:sty m:val="p"/>
                </m:rPr>
                <m:t>∈</m:t>
              </m:r>
              <m:d>
                <m:dPr>
                  <m:begChr m:val="["/>
                  <m:endChr m:val="]"/>
                  <m:sepChr m:val=""/>
                  <m:grow/>
                </m:dPr>
                <m:e>
                  <m:r>
                    <m:t>X</m:t>
                  </m:r>
                  <m:r>
                    <m:rPr>
                      <m:sty m:val="p"/>
                    </m:rPr>
                    <m:t>,</m:t>
                  </m:r>
                  <m:r>
                    <m:t>2</m:t>
                  </m:r>
                  <m:r>
                    <m:t>X</m:t>
                  </m:r>
                </m:e>
              </m:d>
              <m:r>
                <m:rPr>
                  <m:sty m:val="p"/>
                </m:rPr>
                <m:t>:</m:t>
              </m:r>
              <m:d>
                <m:dPr>
                  <m:begChr m:val="|"/>
                  <m:endChr m:val="|"/>
                  <m:sepChr m:val=""/>
                  <m:grow/>
                </m:dPr>
                <m:e>
                  <m:r>
                    <m:t>ψ</m:t>
                  </m:r>
                  <m:d>
                    <m:dPr>
                      <m:begChr m:val="("/>
                      <m:endChr m:val=")"/>
                      <m:sepChr m:val=""/>
                      <m:grow/>
                    </m:dPr>
                    <m:e>
                      <m:r>
                        <m:t>x</m:t>
                      </m:r>
                      <m:r>
                        <m:rPr>
                          <m:sty m:val="p"/>
                        </m:rPr>
                        <m:t>+</m:t>
                      </m:r>
                      <m:sSup>
                        <m:e>
                          <m:r>
                            <m:t>x</m:t>
                          </m:r>
                        </m:e>
                        <m:sup>
                          <m:r>
                            <m:t>θ</m:t>
                          </m:r>
                        </m:sup>
                      </m:sSup>
                    </m:e>
                  </m:d>
                  <m:r>
                    <m:rPr>
                      <m:sty m:val="p"/>
                    </m:rPr>
                    <m:t>−</m:t>
                  </m:r>
                  <m:r>
                    <m:t>ψ</m:t>
                  </m:r>
                  <m:d>
                    <m:dPr>
                      <m:begChr m:val="("/>
                      <m:endChr m:val=")"/>
                      <m:sepChr m:val=""/>
                      <m:grow/>
                    </m:dPr>
                    <m:e>
                      <m:r>
                        <m:t>x</m:t>
                      </m:r>
                    </m:e>
                  </m:d>
                  <m:r>
                    <m:rPr>
                      <m:sty m:val="p"/>
                    </m:rPr>
                    <m:t>−</m:t>
                  </m:r>
                  <m:sSup>
                    <m:e>
                      <m:r>
                        <m:t>x</m:t>
                      </m:r>
                    </m:e>
                    <m:sup>
                      <m:r>
                        <m:t>θ</m:t>
                      </m:r>
                    </m:sup>
                  </m:sSup>
                </m:e>
              </m:d>
              <m:r>
                <m:rPr>
                  <m:sty m:val="p"/>
                </m:rPr>
                <m:t>≥</m:t>
              </m:r>
              <m:r>
                <m:t>δ</m:t>
              </m:r>
              <m:sSup>
                <m:e>
                  <m:r>
                    <m:t>x</m:t>
                  </m:r>
                </m:e>
                <m:sup>
                  <m:r>
                    <m:t>θ</m:t>
                  </m:r>
                </m:sup>
              </m:sSup>
            </m:e>
          </m:d>
          <m:r>
            <m:rPr>
              <m:sty m:val="p"/>
            </m:rPr>
            <m:t>.</m:t>
          </m:r>
        </m:oMath>
      </m:oMathPara>
    </w:p>
    <w:p>
      <w:pPr>
        <w:pStyle w:val="FirstParagraph"/>
      </w:pPr>
      <w:r>
        <w:t xml:space="preserve">One then seeks an exponent</w:t>
      </w:r>
      <w:r>
        <w:t xml:space="preserve"> </w:t>
      </w:r>
      <m:oMath>
        <m:r>
          <m:t>μ</m:t>
        </m:r>
        <m:d>
          <m:dPr>
            <m:begChr m:val="("/>
            <m:endChr m:val=")"/>
            <m:sepChr m:val=""/>
            <m:grow/>
          </m:dPr>
          <m:e>
            <m:r>
              <m:t>θ</m:t>
            </m:r>
          </m:e>
        </m:d>
      </m:oMath>
      <w:r>
        <w:t xml:space="preserve"> </w:t>
      </w:r>
      <w:r>
        <w:t xml:space="preserve">describing how large this set can be on a power scale, roughly</w:t>
      </w:r>
    </w:p>
    <w:p>
      <w:pPr>
        <w:pStyle w:val="BodyText"/>
      </w:pPr>
      <m:oMathPara>
        <m:oMathParaPr>
          <m:jc m:val="center"/>
        </m:oMathParaPr>
        <m:oMath>
          <m:d>
            <m:dPr>
              <m:begChr m:val="|"/>
              <m:endChr m:val="|"/>
              <m:sepChr m:val=""/>
              <m:grow/>
            </m:dPr>
            <m:e>
              <m:sSub>
                <m:e>
                  <m:r>
                    <m:t>E</m:t>
                  </m:r>
                </m:e>
                <m:sub>
                  <m:r>
                    <m:t>δ</m:t>
                  </m:r>
                </m:sub>
              </m:sSub>
              <m:d>
                <m:dPr>
                  <m:begChr m:val="("/>
                  <m:endChr m:val=")"/>
                  <m:sepChr m:val=""/>
                  <m:grow/>
                </m:dPr>
                <m:e>
                  <m:r>
                    <m:t>X</m:t>
                  </m:r>
                  <m:r>
                    <m:rPr>
                      <m:sty m:val="p"/>
                    </m:rPr>
                    <m:t>,</m:t>
                  </m:r>
                  <m:r>
                    <m:t>θ</m:t>
                  </m:r>
                </m:e>
              </m:d>
            </m:e>
          </m:d>
          <m:r>
            <m:rPr>
              <m:sty m:val="p"/>
            </m:rPr>
            <m:t>≤</m:t>
          </m:r>
          <m:sSup>
            <m:e>
              <m:r>
                <m:t>X</m:t>
              </m:r>
            </m:e>
            <m:sup>
              <m:r>
                <m:t>μ</m:t>
              </m:r>
              <m:d>
                <m:dPr>
                  <m:begChr m:val="("/>
                  <m:endChr m:val=")"/>
                  <m:sepChr m:val=""/>
                  <m:grow/>
                </m:dPr>
                <m:e>
                  <m:r>
                    <m:t>θ</m:t>
                  </m:r>
                </m:e>
              </m:d>
              <m:r>
                <m:rPr>
                  <m:sty m:val="p"/>
                </m:rPr>
                <m:t>+</m:t>
              </m:r>
              <m:r>
                <m:t>o</m:t>
              </m:r>
              <m:d>
                <m:dPr>
                  <m:begChr m:val="("/>
                  <m:endChr m:val=")"/>
                  <m:sepChr m:val=""/>
                  <m:grow/>
                </m:dPr>
                <m:e>
                  <m:r>
                    <m:t>1</m:t>
                  </m:r>
                </m:e>
              </m:d>
            </m:sup>
          </m:sSup>
          <m:r>
            <m:rPr>
              <m:sty m:val="p"/>
            </m:rPr>
            <m:t>.</m:t>
          </m:r>
        </m:oMath>
      </m:oMathPara>
    </w:p>
    <w:p>
      <w:pPr>
        <w:pStyle w:val="FirstParagraph"/>
      </w:pPr>
      <w:r>
        <w:t xml:space="preserve">The paper’s precise definitions contain the quantifier and limiting details. The schematic form is enough to see the transport problem.</w:t>
      </w:r>
    </w:p>
    <w:bookmarkEnd w:id="83"/>
    <w:bookmarkStart w:id="84" w:name="Xad7094659a19bfce584ae35ad88ea73d4255c8d"/>
    <w:p>
      <w:pPr>
        <w:pStyle w:val="Heading3"/>
      </w:pPr>
      <w:r>
        <w:t xml:space="preserve">17.3.2 First input: the zero-density exponent</w:t>
      </w:r>
      <w:r>
        <w:t xml:space="preserve"> </w:t>
      </w:r>
      <m:oMath>
        <m:r>
          <m:t>A</m:t>
        </m:r>
        <m:d>
          <m:dPr>
            <m:begChr m:val="("/>
            <m:endChr m:val=")"/>
            <m:sepChr m:val=""/>
            <m:grow/>
          </m:dPr>
          <m:e>
            <m:r>
              <m:t>σ</m:t>
            </m:r>
          </m:e>
        </m:d>
      </m:oMath>
    </w:p>
    <w:p>
      <w:pPr>
        <w:pStyle w:val="FirstParagraph"/>
      </w:pPr>
      <w:r>
        <w:t xml:space="preserve">Write</w:t>
      </w:r>
    </w:p>
    <w:p>
      <w:pPr>
        <w:pStyle w:val="BodyText"/>
      </w:pPr>
      <m:oMathPara>
        <m:oMathParaPr>
          <m:jc m:val="center"/>
        </m:oMathParaPr>
        <m:oMath>
          <m:r>
            <m:t>N</m:t>
          </m:r>
          <m:d>
            <m:dPr>
              <m:begChr m:val="("/>
              <m:endChr m:val=")"/>
              <m:sepChr m:val=""/>
              <m:grow/>
            </m:dPr>
            <m:e>
              <m:r>
                <m:t>σ</m:t>
              </m:r>
              <m:r>
                <m:rPr>
                  <m:sty m:val="p"/>
                </m:rPr>
                <m:t>,</m:t>
              </m:r>
              <m:r>
                <m:t>T</m:t>
              </m:r>
            </m:e>
          </m:d>
          <m:r>
            <m:rPr>
              <m:sty m:val="p"/>
            </m:rPr>
            <m:t>≤</m:t>
          </m:r>
          <m:sSup>
            <m:e>
              <m:r>
                <m:t>T</m:t>
              </m:r>
            </m:e>
            <m:sup>
              <m:r>
                <m:t>A</m:t>
              </m:r>
              <m:d>
                <m:dPr>
                  <m:begChr m:val="("/>
                  <m:endChr m:val=")"/>
                  <m:sepChr m:val=""/>
                  <m:grow/>
                </m:dPr>
                <m:e>
                  <m:r>
                    <m:t>σ</m:t>
                  </m:r>
                </m:e>
              </m:d>
              <m:d>
                <m:dPr>
                  <m:begChr m:val="("/>
                  <m:endChr m:val=")"/>
                  <m:sepChr m:val=""/>
                  <m:grow/>
                </m:dPr>
                <m:e>
                  <m:r>
                    <m:t>1</m:t>
                  </m:r>
                  <m:r>
                    <m:rPr>
                      <m:sty m:val="p"/>
                    </m:rPr>
                    <m:t>−</m:t>
                  </m:r>
                  <m:r>
                    <m:t>σ</m:t>
                  </m:r>
                </m:e>
              </m:d>
              <m:r>
                <m:rPr>
                  <m:sty m:val="p"/>
                </m:rPr>
                <m:t>+</m:t>
              </m:r>
              <m:r>
                <m:t>o</m:t>
              </m:r>
              <m:d>
                <m:dPr>
                  <m:begChr m:val="("/>
                  <m:endChr m:val=")"/>
                  <m:sepChr m:val=""/>
                  <m:grow/>
                </m:dPr>
                <m:e>
                  <m:r>
                    <m:t>1</m:t>
                  </m:r>
                </m:e>
              </m:d>
            </m:sup>
          </m:sSup>
          <m:r>
            <m:rPr>
              <m:sty m:val="p"/>
            </m:rPr>
            <m:t>.</m:t>
          </m:r>
        </m:oMath>
      </m:oMathPara>
    </w:p>
    <w:p>
      <w:pPr>
        <w:pStyle w:val="FirstParagraph"/>
      </w:pPr>
      <w:r>
        <w:t xml:space="preserve">This controls the second-moment scale of the zero contribution after the explicit formula is localized.</w:t>
      </w:r>
    </w:p>
    <w:bookmarkEnd w:id="84"/>
    <w:bookmarkStart w:id="85" w:name="second-input-zero-additive-energy-asigma"/>
    <w:p>
      <w:pPr>
        <w:pStyle w:val="Heading3"/>
      </w:pPr>
      <w:r>
        <w:t xml:space="preserve">17.3.3 Second input: zero additive energy</w:t>
      </w:r>
      <w:r>
        <w:t xml:space="preserve"> </w:t>
      </w:r>
      <m:oMath>
        <m:sSup>
          <m:e>
            <m:r>
              <m:t>A</m:t>
            </m:r>
          </m:e>
          <m:sup>
            <m:r>
              <m:rPr>
                <m:sty m:val="p"/>
              </m:rPr>
              <m:t>*</m:t>
            </m:r>
          </m:sup>
        </m:sSup>
        <m:d>
          <m:dPr>
            <m:begChr m:val="("/>
            <m:endChr m:val=")"/>
            <m:sepChr m:val=""/>
            <m:grow/>
          </m:dPr>
          <m:e>
            <m:r>
              <m:t>σ</m:t>
            </m:r>
          </m:e>
        </m:d>
      </m:oMath>
    </w:p>
    <w:p>
      <w:pPr>
        <w:pStyle w:val="FirstParagraph"/>
      </w:pPr>
      <w:r>
        <w:t xml:space="preserve">A fourth-moment estimate naturally counts additive relations among zero ordinates. A schematic multiplicity-weighted energy is</w:t>
      </w:r>
    </w:p>
    <w:p>
      <w:pPr>
        <w:pStyle w:val="BodyText"/>
      </w:pPr>
      <m:oMathPara>
        <m:oMathParaPr>
          <m:jc m:val="center"/>
        </m:oMathParaPr>
        <m:oMath>
          <m:sSub>
            <m:e>
              <m:r>
                <m:rPr>
                  <m:sty m:val="p"/>
                  <m:scr m:val="script"/>
                </m:rPr>
                <m:t>E</m:t>
              </m:r>
            </m:e>
            <m:sub>
              <m:r>
                <m:t>4</m:t>
              </m:r>
            </m:sub>
          </m:sSub>
          <m:d>
            <m:dPr>
              <m:begChr m:val="("/>
              <m:endChr m:val=")"/>
              <m:sepChr m:val=""/>
              <m:grow/>
            </m:dPr>
            <m:e>
              <m:r>
                <m:t>σ</m:t>
              </m:r>
              <m:r>
                <m:rPr>
                  <m:sty m:val="p"/>
                </m:rPr>
                <m:t>,</m:t>
              </m:r>
              <m:r>
                <m:t>T</m:t>
              </m:r>
            </m:e>
          </m:d>
          <m:r>
            <m:rPr>
              <m:sty m:val="p"/>
            </m:rPr>
            <m:t>=</m:t>
          </m:r>
          <m:nary>
            <m:naryPr>
              <m:chr m:val="∑"/>
              <m:limLoc m:val="undOvr"/>
              <m:subHide m:val="off"/>
              <m:supHide m:val="on"/>
            </m:naryPr>
            <m:sub>
              <m:m>
                <m:mPr>
                  <m:baseJc m:val="center"/>
                  <m:plcHide m:val="on"/>
                  <m:mcs>
                    <m:mc>
                      <m:mcPr>
                        <m:mcJc m:val="center"/>
                        <m:count m:val="1"/>
                      </m:mcPr>
                    </m:mc>
                  </m:mcs>
                </m:mPr>
                <m:mr>
                  <m:e>
                    <m:sSub>
                      <m:e>
                        <m:r>
                          <m:t>ρ</m:t>
                        </m:r>
                      </m:e>
                      <m:sub>
                        <m:r>
                          <m:t>1</m:t>
                        </m:r>
                      </m:sub>
                    </m:sSub>
                    <m:r>
                      <m:rPr>
                        <m:sty m:val="p"/>
                      </m:rPr>
                      <m:t>,</m:t>
                    </m:r>
                    <m:sSub>
                      <m:e>
                        <m:r>
                          <m:t>ρ</m:t>
                        </m:r>
                      </m:e>
                      <m:sub>
                        <m:r>
                          <m:t>2</m:t>
                        </m:r>
                      </m:sub>
                    </m:sSub>
                    <m:r>
                      <m:rPr>
                        <m:sty m:val="p"/>
                      </m:rPr>
                      <m:t>,</m:t>
                    </m:r>
                    <m:sSub>
                      <m:e>
                        <m:r>
                          <m:t>ρ</m:t>
                        </m:r>
                      </m:e>
                      <m:sub>
                        <m:r>
                          <m:t>3</m:t>
                        </m:r>
                      </m:sub>
                    </m:sSub>
                    <m:r>
                      <m:rPr>
                        <m:sty m:val="p"/>
                      </m:rPr>
                      <m:t>,</m:t>
                    </m:r>
                    <m:sSub>
                      <m:e>
                        <m:r>
                          <m:t>ρ</m:t>
                        </m:r>
                      </m:e>
                      <m:sub>
                        <m:r>
                          <m:t>4</m:t>
                        </m:r>
                      </m:sub>
                    </m:sSub>
                  </m:e>
                </m:mr>
                <m:mr>
                  <m:e>
                    <m:sSub>
                      <m:e>
                        <m:r>
                          <m:t>β</m:t>
                        </m:r>
                      </m:e>
                      <m:sub>
                        <m:r>
                          <m:t>j</m:t>
                        </m:r>
                      </m:sub>
                    </m:sSub>
                    <m:r>
                      <m:rPr>
                        <m:sty m:val="p"/>
                      </m:rPr>
                      <m:t>≥</m:t>
                    </m:r>
                    <m:r>
                      <m:t>σ</m:t>
                    </m:r>
                  </m:e>
                </m:mr>
                <m:mr>
                  <m:e>
                    <m:d>
                      <m:dPr>
                        <m:begChr m:val="|"/>
                        <m:endChr m:val="|"/>
                        <m:sepChr m:val=""/>
                        <m:grow/>
                      </m:dPr>
                      <m:e>
                        <m:sSub>
                          <m:e>
                            <m:r>
                              <m:t>γ</m:t>
                            </m:r>
                          </m:e>
                          <m:sub>
                            <m:r>
                              <m:t>j</m:t>
                            </m:r>
                          </m:sub>
                        </m:sSub>
                      </m:e>
                    </m:d>
                    <m:r>
                      <m:rPr>
                        <m:sty m:val="p"/>
                      </m:rPr>
                      <m:t>≤</m:t>
                    </m:r>
                    <m:r>
                      <m:t>T</m:t>
                    </m:r>
                  </m:e>
                </m:mr>
              </m:m>
            </m:sub>
            <m:sup>
              <m:r>
                <m:t>​</m:t>
              </m:r>
            </m:sup>
            <m:e>
              <m:r>
                <m:t>W</m:t>
              </m:r>
            </m:e>
          </m:nary>
          <m:d>
            <m:dPr>
              <m:begChr m:val="("/>
              <m:endChr m:val=")"/>
              <m:sepChr m:val=""/>
              <m:grow/>
            </m:dPr>
            <m:e>
              <m:sSub>
                <m:e>
                  <m:r>
                    <m:t>γ</m:t>
                  </m:r>
                </m:e>
                <m:sub>
                  <m:r>
                    <m:t>1</m:t>
                  </m:r>
                </m:sub>
              </m:sSub>
              <m:r>
                <m:rPr>
                  <m:sty m:val="p"/>
                </m:rPr>
                <m:t>+</m:t>
              </m:r>
              <m:sSub>
                <m:e>
                  <m:r>
                    <m:t>γ</m:t>
                  </m:r>
                </m:e>
                <m:sub>
                  <m:r>
                    <m:t>2</m:t>
                  </m:r>
                </m:sub>
              </m:sSub>
              <m:r>
                <m:rPr>
                  <m:sty m:val="p"/>
                </m:rPr>
                <m:t>−</m:t>
              </m:r>
              <m:sSub>
                <m:e>
                  <m:r>
                    <m:t>γ</m:t>
                  </m:r>
                </m:e>
                <m:sub>
                  <m:r>
                    <m:t>3</m:t>
                  </m:r>
                </m:sub>
              </m:sSub>
              <m:r>
                <m:rPr>
                  <m:sty m:val="p"/>
                </m:rPr>
                <m:t>−</m:t>
              </m:r>
              <m:sSub>
                <m:e>
                  <m:r>
                    <m:t>γ</m:t>
                  </m:r>
                </m:e>
                <m:sub>
                  <m:r>
                    <m:t>4</m:t>
                  </m:r>
                </m:sub>
              </m:sSub>
            </m:e>
          </m:d>
          <m:r>
            <m:rPr>
              <m:sty m:val="p"/>
            </m:rPr>
            <m:t>,</m:t>
          </m:r>
        </m:oMath>
      </m:oMathPara>
    </w:p>
    <w:p>
      <w:pPr>
        <w:pStyle w:val="FirstParagraph"/>
      </w:pPr>
      <w:r>
        <w:t xml:space="preserve">where</w:t>
      </w:r>
      <w:r>
        <w:t xml:space="preserve"> </w:t>
      </w:r>
      <m:oMath>
        <m:r>
          <m:t>W</m:t>
        </m:r>
      </m:oMath>
      <w:r>
        <w:t xml:space="preserve"> </w:t>
      </w:r>
      <w:r>
        <w:t xml:space="preserve">localizes near zero. The exponent</w:t>
      </w:r>
      <w:r>
        <w:t xml:space="preserve"> </w:t>
      </w:r>
      <m:oMath>
        <m:sSup>
          <m:e>
            <m:r>
              <m:t>A</m:t>
            </m:r>
          </m:e>
          <m:sup>
            <m:r>
              <m:rPr>
                <m:sty m:val="p"/>
              </m:rPr>
              <m:t>*</m:t>
            </m:r>
          </m:sup>
        </m:sSup>
        <m:d>
          <m:dPr>
            <m:begChr m:val="("/>
            <m:endChr m:val=")"/>
            <m:sepChr m:val=""/>
            <m:grow/>
          </m:dPr>
          <m:e>
            <m:r>
              <m:t>σ</m:t>
            </m:r>
          </m:e>
        </m:d>
      </m:oMath>
      <w:r>
        <w:t xml:space="preserve"> </w:t>
      </w:r>
      <w:r>
        <w:t xml:space="preserve">compresses the best known power bound for such a quantity in the paper’s normalization.</w:t>
      </w:r>
    </w:p>
    <w:p>
      <w:pPr>
        <w:pStyle w:val="BodyText"/>
      </w:pPr>
      <w:r>
        <w:t xml:space="preserve">Why does a fourth-order statistic appear? If a localized zero sum is</w:t>
      </w:r>
    </w:p>
    <w:p>
      <w:pPr>
        <w:pStyle w:val="BodyText"/>
      </w:pPr>
      <m:oMathPara>
        <m:oMathParaPr>
          <m:jc m:val="center"/>
        </m:oMathParaPr>
        <m:oMath>
          <m:r>
            <m:t>S</m:t>
          </m:r>
          <m:d>
            <m:dPr>
              <m:begChr m:val="("/>
              <m:endChr m:val=")"/>
              <m:sepChr m:val=""/>
              <m:grow/>
            </m:dPr>
            <m:e>
              <m:r>
                <m:t>x</m:t>
              </m:r>
            </m:e>
          </m:d>
          <m:r>
            <m:rPr>
              <m:sty m:val="p"/>
            </m:rPr>
            <m:t>=</m:t>
          </m:r>
          <m:nary>
            <m:naryPr>
              <m:chr m:val="∑"/>
              <m:limLoc m:val="undOvr"/>
              <m:subHide m:val="off"/>
              <m:supHide m:val="on"/>
            </m:naryPr>
            <m:sub>
              <m:r>
                <m:t>ρ</m:t>
              </m:r>
            </m:sub>
            <m:sup>
              <m:r>
                <m:t>​</m:t>
              </m:r>
            </m:sup>
            <m:e>
              <m:sSub>
                <m:e>
                  <m:r>
                    <m:t>a</m:t>
                  </m:r>
                </m:e>
                <m:sub>
                  <m:r>
                    <m:t>ρ</m:t>
                  </m:r>
                </m:sub>
              </m:sSub>
            </m:e>
          </m:nary>
          <m:sSup>
            <m:e>
              <m:r>
                <m:t>x</m:t>
              </m:r>
            </m:e>
            <m:sup>
              <m:r>
                <m:t>i</m:t>
              </m:r>
              <m:r>
                <m:t>γ</m:t>
              </m:r>
            </m:sup>
          </m:sSup>
          <m:r>
            <m:rPr>
              <m:sty m:val="p"/>
            </m:rPr>
            <m:t>,</m:t>
          </m:r>
        </m:oMath>
      </m:oMathPara>
    </w:p>
    <w:p>
      <w:pPr>
        <w:pStyle w:val="FirstParagraph"/>
      </w:pPr>
      <w:r>
        <w:t xml:space="preserve">then</w:t>
      </w:r>
    </w:p>
    <w:p>
      <w:pPr>
        <w:pStyle w:val="BodyText"/>
      </w:pPr>
      <m:oMathPara>
        <m:oMathParaPr>
          <m:jc m:val="center"/>
        </m:oMathParaPr>
        <m:oMath>
          <m:r>
            <m:rPr>
              <m:sty m:val="p"/>
            </m:rPr>
            <m:t>∫</m:t>
          </m:r>
          <m:sSup>
            <m:e>
              <m:d>
                <m:dPr>
                  <m:begChr m:val="|"/>
                  <m:endChr m:val="|"/>
                  <m:sepChr m:val=""/>
                  <m:grow/>
                </m:dPr>
                <m:e>
                  <m:r>
                    <m:t>S</m:t>
                  </m:r>
                  <m:d>
                    <m:dPr>
                      <m:begChr m:val="("/>
                      <m:endChr m:val=")"/>
                      <m:sepChr m:val=""/>
                      <m:grow/>
                    </m:dPr>
                    <m:e>
                      <m:r>
                        <m:t>x</m:t>
                      </m:r>
                    </m:e>
                  </m:d>
                </m:e>
              </m:d>
            </m:e>
            <m:sup>
              <m:r>
                <m:t>4</m:t>
              </m:r>
            </m:sup>
          </m:sSup>
          <m:r>
            <m:t> </m:t>
          </m:r>
          <m:r>
            <m:t>d</m:t>
          </m:r>
          <m:r>
            <m:t>x</m:t>
          </m:r>
        </m:oMath>
      </m:oMathPara>
    </w:p>
    <w:p>
      <w:pPr>
        <w:pStyle w:val="FirstParagraph"/>
      </w:pPr>
      <w:r>
        <w:t xml:space="preserve">expands into quadruples with phase</w:t>
      </w:r>
    </w:p>
    <w:p>
      <w:pPr>
        <w:pStyle w:val="BodyText"/>
      </w:pPr>
      <m:oMathPara>
        <m:oMathParaPr>
          <m:jc m:val="center"/>
        </m:oMathParaPr>
        <m:oMath>
          <m:sSub>
            <m:e>
              <m:r>
                <m:t>γ</m:t>
              </m:r>
            </m:e>
            <m:sub>
              <m:r>
                <m:t>1</m:t>
              </m:r>
            </m:sub>
          </m:sSub>
          <m:r>
            <m:rPr>
              <m:sty m:val="p"/>
            </m:rPr>
            <m:t>+</m:t>
          </m:r>
          <m:sSub>
            <m:e>
              <m:r>
                <m:t>γ</m:t>
              </m:r>
            </m:e>
            <m:sub>
              <m:r>
                <m:t>2</m:t>
              </m:r>
            </m:sub>
          </m:sSub>
          <m:r>
            <m:rPr>
              <m:sty m:val="p"/>
            </m:rPr>
            <m:t>−</m:t>
          </m:r>
          <m:sSub>
            <m:e>
              <m:r>
                <m:t>γ</m:t>
              </m:r>
            </m:e>
            <m:sub>
              <m:r>
                <m:t>3</m:t>
              </m:r>
            </m:sub>
          </m:sSub>
          <m:r>
            <m:rPr>
              <m:sty m:val="p"/>
            </m:rPr>
            <m:t>−</m:t>
          </m:r>
          <m:sSub>
            <m:e>
              <m:r>
                <m:t>γ</m:t>
              </m:r>
            </m:e>
            <m:sub>
              <m:r>
                <m:t>4</m:t>
              </m:r>
            </m:sub>
          </m:sSub>
          <m:r>
            <m:rPr>
              <m:sty m:val="p"/>
            </m:rPr>
            <m:t>.</m:t>
          </m:r>
        </m:oMath>
      </m:oMathPara>
    </w:p>
    <w:p>
      <w:pPr>
        <w:pStyle w:val="FirstParagraph"/>
      </w:pPr>
      <w:r>
        <w:t xml:space="preserve">So additive energy is not decorative combinatorics. It is the arithmetic content of the fourth moment.</w:t>
      </w:r>
    </w:p>
    <w:bookmarkEnd w:id="85"/>
    <w:bookmarkStart w:id="86" w:name="the-moment-ladder"/>
    <w:p>
      <w:pPr>
        <w:pStyle w:val="Heading3"/>
      </w:pPr>
      <w:r>
        <w:t xml:space="preserve">17.3.4 The moment ladder</w:t>
      </w:r>
    </w:p>
    <w:p>
      <w:pPr>
        <w:pStyle w:val="FirstParagraph"/>
      </w:pPr>
      <w:r>
        <w:t xml:space="preserve">After truncating and localizing the explicit formula, the proof controls a zero sum through a ladder of norms:</w:t>
      </w:r>
    </w:p>
    <w:p>
      <w:pPr>
        <w:pStyle w:val="BodyText"/>
      </w:pPr>
      <m:oMathPara>
        <m:oMathParaPr>
          <m:jc m:val="center"/>
        </m:oMathParaPr>
        <m:oMath>
          <m:sSup>
            <m:e>
              <m:r>
                <m:t>L</m:t>
              </m:r>
            </m:e>
            <m:sup>
              <m:r>
                <m:rPr>
                  <m:sty m:val="p"/>
                </m:rPr>
                <m:t>∞</m:t>
              </m:r>
            </m:sup>
          </m:sSup>
          <m:r>
            <m:rPr>
              <m:sty m:val="p"/>
            </m:rPr>
            <m:t>,</m:t>
          </m:r>
          <m:r>
            <m:t>  </m:t>
          </m:r>
          <m:sSup>
            <m:e>
              <m:r>
                <m:t>L</m:t>
              </m:r>
            </m:e>
            <m:sup>
              <m:r>
                <m:t>2</m:t>
              </m:r>
            </m:sup>
          </m:sSup>
          <m:r>
            <m:rPr>
              <m:sty m:val="p"/>
            </m:rPr>
            <m:t>,</m:t>
          </m:r>
          <m:r>
            <m:t>  </m:t>
          </m:r>
          <m:sSup>
            <m:e>
              <m:r>
                <m:t>L</m:t>
              </m:r>
            </m:e>
            <m:sup>
              <m:r>
                <m:t>4</m:t>
              </m:r>
            </m:sup>
          </m:sSup>
          <m:r>
            <m:rPr>
              <m:sty m:val="p"/>
            </m:rPr>
            <m:t>.</m:t>
          </m:r>
        </m:oMath>
      </m:oMathPara>
    </w:p>
    <w:p>
      <w:pPr>
        <w:pStyle w:val="FirstParagraph"/>
      </w:pPr>
      <w:r>
        <w:t xml:space="preserve">The rough roles are:</w:t>
      </w:r>
    </w:p>
    <w:p>
      <w:pPr>
        <w:pStyle w:val="Compact"/>
        <w:numPr>
          <w:ilvl w:val="0"/>
          <w:numId w:val="1007"/>
        </w:numPr>
      </w:pPr>
      <m:oMath>
        <m:sSup>
          <m:e>
            <m:r>
              <m:t>L</m:t>
            </m:r>
          </m:e>
          <m:sup>
            <m:r>
              <m:rPr>
                <m:sty m:val="p"/>
              </m:rPr>
              <m:t>∞</m:t>
            </m:r>
          </m:sup>
        </m:sSup>
      </m:oMath>
      <w:r>
        <w:t xml:space="preserve"> </w:t>
      </w:r>
      <w:r>
        <w:t xml:space="preserve">controls the largest possible local contribution;</w:t>
      </w:r>
    </w:p>
    <w:p>
      <w:pPr>
        <w:pStyle w:val="Compact"/>
        <w:numPr>
          <w:ilvl w:val="0"/>
          <w:numId w:val="1007"/>
        </w:numPr>
      </w:pPr>
      <m:oMath>
        <m:sSup>
          <m:e>
            <m:r>
              <m:t>L</m:t>
            </m:r>
          </m:e>
          <m:sup>
            <m:r>
              <m:t>2</m:t>
            </m:r>
          </m:sup>
        </m:sSup>
      </m:oMath>
      <w:r>
        <w:t xml:space="preserve"> </w:t>
      </w:r>
      <w:r>
        <w:t xml:space="preserve">consumes zero-density information;</w:t>
      </w:r>
    </w:p>
    <w:p>
      <w:pPr>
        <w:pStyle w:val="Compact"/>
        <w:numPr>
          <w:ilvl w:val="0"/>
          <w:numId w:val="1007"/>
        </w:numPr>
      </w:pPr>
      <m:oMath>
        <m:sSup>
          <m:e>
            <m:r>
              <m:t>L</m:t>
            </m:r>
          </m:e>
          <m:sup>
            <m:r>
              <m:t>4</m:t>
            </m:r>
          </m:sup>
        </m:sSup>
      </m:oMath>
      <w:r>
        <w:t xml:space="preserve"> </w:t>
      </w:r>
      <w:r>
        <w:t xml:space="preserve">consumes zero additive energy and detects concentration that the second moment cannot see.</w:t>
      </w:r>
    </w:p>
    <w:p>
      <w:pPr>
        <w:pStyle w:val="FirstParagraph"/>
      </w:pPr>
      <w:r>
        <w:t xml:space="preserve">Markov or Chebyshev type inequalities then convert these moment bounds into a measure estimate for the set on which the prime interval error is large.</w:t>
      </w:r>
    </w:p>
    <w:p>
      <w:pPr>
        <w:pStyle w:val="BodyText"/>
      </w:pPr>
      <w:r>
        <w:t xml:space="preserve">This gives the conceptual compiler</w:t>
      </w:r>
    </w:p>
    <w:p>
      <w:pPr>
        <w:pStyle w:val="BodyText"/>
      </w:pPr>
      <m:oMathPara>
        <m:oMathParaPr>
          <m:jc m:val="center"/>
        </m:oMathParaPr>
        <m:oMath>
          <m:borderBox>
            <m:e>
              <m:d>
                <m:dPr>
                  <m:begChr m:val="("/>
                  <m:endChr m:val=")"/>
                  <m:sepChr m:val=""/>
                  <m:grow/>
                </m:dPr>
                <m:e>
                  <m:r>
                    <m:t>A</m:t>
                  </m:r>
                  <m:d>
                    <m:dPr>
                      <m:begChr m:val="("/>
                      <m:endChr m:val=")"/>
                      <m:sepChr m:val=""/>
                      <m:grow/>
                    </m:dPr>
                    <m:e>
                      <m:r>
                        <m:t>σ</m:t>
                      </m:r>
                    </m:e>
                  </m:d>
                  <m:r>
                    <m:rPr>
                      <m:sty m:val="p"/>
                    </m:rPr>
                    <m:t>,</m:t>
                  </m:r>
                  <m:sSup>
                    <m:e>
                      <m:r>
                        <m:t>A</m:t>
                      </m:r>
                    </m:e>
                    <m:sup>
                      <m:r>
                        <m:rPr>
                          <m:sty m:val="p"/>
                        </m:rPr>
                        <m:t>*</m:t>
                      </m:r>
                    </m:sup>
                  </m:sSup>
                  <m:d>
                    <m:dPr>
                      <m:begChr m:val="("/>
                      <m:endChr m:val=")"/>
                      <m:sepChr m:val=""/>
                      <m:grow/>
                    </m:dPr>
                    <m:e>
                      <m:r>
                        <m:t>σ</m:t>
                      </m:r>
                    </m:e>
                  </m:d>
                </m:e>
              </m:d>
              <m:r>
                <m:rPr>
                  <m:sty m:val="p"/>
                </m:rPr>
                <m:t>→</m:t>
              </m:r>
              <m:r>
                <m:t>μ</m:t>
              </m:r>
              <m:d>
                <m:dPr>
                  <m:begChr m:val="("/>
                  <m:endChr m:val=")"/>
                  <m:sepChr m:val=""/>
                  <m:grow/>
                </m:dPr>
                <m:e>
                  <m:r>
                    <m:t>θ</m:t>
                  </m:r>
                </m:e>
              </m:d>
              <m:r>
                <m:rPr>
                  <m:sty m:val="p"/>
                </m:rPr>
                <m:t>.</m:t>
              </m:r>
            </m:e>
          </m:borderBox>
        </m:oMath>
      </m:oMathPara>
    </w:p>
    <w:bookmarkEnd w:id="86"/>
    <w:bookmarkStart w:id="87" w:name="Xd7913e341118e521e46df4db54dd54377862584"/>
    <w:p>
      <w:pPr>
        <w:pStyle w:val="Heading3"/>
      </w:pPr>
      <w:r>
        <w:t xml:space="preserve">17.3.5 Why the infimum over an epsilon-shift matters</w:t>
      </w:r>
    </w:p>
    <w:p>
      <w:pPr>
        <w:pStyle w:val="FirstParagraph"/>
      </w:pPr>
      <w:r>
        <w:t xml:space="preserve">The exact Gafni-Tao statements have to cope with the fact that the optimal exponent function</w:t>
      </w:r>
      <w:r>
        <w:t xml:space="preserve"> </w:t>
      </w:r>
      <m:oMath>
        <m:r>
          <m:t>A</m:t>
        </m:r>
        <m:d>
          <m:dPr>
            <m:begChr m:val="("/>
            <m:endChr m:val=")"/>
            <m:sepChr m:val=""/>
            <m:grow/>
          </m:dPr>
          <m:e>
            <m:r>
              <m:t>σ</m:t>
            </m:r>
          </m:e>
        </m:d>
      </m:oMath>
      <w:r>
        <w:t xml:space="preserve"> </w:t>
      </w:r>
      <w:r>
        <w:t xml:space="preserve">is defined through admissible bounds, and continuity of the optimal profile is not available for free. Consequently a careful statement may use an expression such as</w:t>
      </w:r>
    </w:p>
    <w:p>
      <w:pPr>
        <w:pStyle w:val="BodyText"/>
      </w:pPr>
      <m:oMathPara>
        <m:oMathParaPr>
          <m:jc m:val="center"/>
        </m:oMathParaPr>
        <m:oMath>
          <m:limLow>
            <m:e>
              <m:r>
                <m:rPr>
                  <m:sty m:val="p"/>
                </m:rPr>
                <m:t>inf</m:t>
              </m:r>
            </m:e>
            <m:lim>
              <m:r>
                <m:t>ε</m:t>
              </m:r>
              <m:r>
                <m:rPr>
                  <m:sty m:val="p"/>
                </m:rPr>
                <m:t>&gt;</m:t>
              </m:r>
              <m:r>
                <m:t>0</m:t>
              </m:r>
            </m:lim>
          </m:limLow>
          <m:r>
            <m:t>F</m:t>
          </m:r>
          <m:d>
            <m:dPr>
              <m:begChr m:val="("/>
              <m:endChr m:val=")"/>
              <m:sepChr m:val=""/>
              <m:grow/>
            </m:dPr>
            <m:e>
              <m:r>
                <m:t>A</m:t>
              </m:r>
              <m:d>
                <m:dPr>
                  <m:begChr m:val="("/>
                  <m:endChr m:val=")"/>
                  <m:sepChr m:val=""/>
                  <m:grow/>
                </m:dPr>
                <m:e>
                  <m:r>
                    <m:t>σ</m:t>
                  </m:r>
                  <m:r>
                    <m:rPr>
                      <m:sty m:val="p"/>
                    </m:rPr>
                    <m:t>+</m:t>
                  </m:r>
                  <m:r>
                    <m:t>ε</m:t>
                  </m:r>
                </m:e>
              </m:d>
              <m:r>
                <m:rPr>
                  <m:sty m:val="p"/>
                </m:rPr>
                <m:t>,</m:t>
              </m:r>
              <m:r>
                <m:t>σ</m:t>
              </m:r>
              <m:r>
                <m:rPr>
                  <m:sty m:val="p"/>
                </m:rPr>
                <m:t>,</m:t>
              </m:r>
              <m:r>
                <m:t>θ</m:t>
              </m:r>
            </m:e>
          </m:d>
        </m:oMath>
      </m:oMathPara>
    </w:p>
    <w:p>
      <w:pPr>
        <w:pStyle w:val="FirstParagraph"/>
      </w:pPr>
      <w:r>
        <w:t xml:space="preserve">instead of silently substituting</w:t>
      </w:r>
      <w:r>
        <w:t xml:space="preserve"> </w:t>
      </w:r>
      <m:oMath>
        <m:r>
          <m:t>A</m:t>
        </m:r>
        <m:d>
          <m:dPr>
            <m:begChr m:val="("/>
            <m:endChr m:val=")"/>
            <m:sepChr m:val=""/>
            <m:grow/>
          </m:dPr>
          <m:e>
            <m:r>
              <m:t>σ</m:t>
            </m:r>
          </m:e>
        </m:d>
      </m:oMath>
      <w:r>
        <w:t xml:space="preserve">. This is an example of a technical-looking quantifier that encodes a real logical issue. Removing it can strengthen the theorem without justification.</w:t>
      </w:r>
    </w:p>
    <w:bookmarkEnd w:id="87"/>
    <w:bookmarkStart w:id="88" w:name="Xc3563203a06884a8928de3eb0193c8277e9e348"/>
    <w:p>
      <w:pPr>
        <w:pStyle w:val="Heading3"/>
      </w:pPr>
      <w:r>
        <w:t xml:space="preserve">17.3.6 Why Gafni-Tao is a transfer station rather than an RH attack by itself</w:t>
      </w:r>
    </w:p>
    <w:p>
      <w:pPr>
        <w:pStyle w:val="FirstParagraph"/>
      </w:pPr>
      <w:r>
        <w:t xml:space="preserve">The output is a theorem about the prevalence of abnormal prime intervals. That can be consumed by other arguments, as Tao [73] already does. It does not automatically feed information back into the horizontal location of zeros.</w:t>
      </w:r>
    </w:p>
    <w:p>
      <w:pPr>
        <w:pStyle w:val="BodyText"/>
      </w:pPr>
      <w:r>
        <w:t xml:space="preserve">A reverse route would require an additional theorem of the form</w:t>
      </w:r>
    </w:p>
    <w:p>
      <w:pPr>
        <w:pStyle w:val="BodyText"/>
      </w:pPr>
      <m:oMathPara>
        <m:oMathParaPr>
          <m:jc m:val="center"/>
        </m:oMathParaPr>
        <m:oMath>
          <m:r>
            <m:rPr>
              <m:nor/>
              <m:sty m:val="p"/>
            </m:rPr>
            <m:t>exceptional-prime control</m:t>
          </m:r>
          <m:r>
            <m:rPr>
              <m:sty m:val="p"/>
            </m:rPr>
            <m:t>⇒</m:t>
          </m:r>
          <m:r>
            <m:rPr>
              <m:nor/>
              <m:sty m:val="p"/>
            </m:rPr>
            <m:t>new zero statistic</m:t>
          </m:r>
          <m:r>
            <m:rPr>
              <m:sty m:val="p"/>
            </m:rPr>
            <m:t>.</m:t>
          </m:r>
        </m:oMath>
      </m:oMathPara>
    </w:p>
    <w:p>
      <w:pPr>
        <w:pStyle w:val="FirstParagraph"/>
      </w:pPr>
      <w:r>
        <w:t xml:space="preserve">Goldston-Montgomery type equivalences show that some</w:t>
      </w:r>
      <w:r>
        <w:t xml:space="preserve"> </w:t>
      </w:r>
      <w:r>
        <w:rPr>
          <w:b/>
          <w:bCs/>
        </w:rPr>
        <w:t xml:space="preserve">variance</w:t>
      </w:r>
      <w:r>
        <w:t xml:space="preserve"> </w:t>
      </w:r>
      <w:r>
        <w:t xml:space="preserve">statements for primes can imply pair-correlation information. But an exceptional-set bound and a variance asymptotic are not the same object. Any attempt to make Gafni-Tao feed pair correlation must bridge that gap explicitly.</w:t>
      </w:r>
    </w:p>
    <w:bookmarkEnd w:id="88"/>
    <w:bookmarkEnd w:id="89"/>
    <w:bookmarkStart w:id="94" w:name="Xd2ad2fc59aa132d0b8b54abcbe73d147dbaaf6a"/>
    <w:p>
      <w:pPr>
        <w:pStyle w:val="Heading2"/>
      </w:pPr>
      <w:r>
        <w:t xml:space="preserve">17.4 Mollifiers: how critical-line proportion proofs actually transport information</w:t>
      </w:r>
    </w:p>
    <w:bookmarkStart w:id="90" w:name="the-basic-objective"/>
    <w:p>
      <w:pPr>
        <w:pStyle w:val="Heading3"/>
      </w:pPr>
      <w:r>
        <w:t xml:space="preserve">17.4.1 The basic objective</w:t>
      </w:r>
    </w:p>
    <w:p>
      <w:pPr>
        <w:pStyle w:val="FirstParagraph"/>
      </w:pPr>
      <w:r>
        <w:t xml:space="preserve">A mollifier method tries to prove that many zeros lie on the line by studying a function whose zero count can be related to the zero count of</w:t>
      </w:r>
      <w:r>
        <w:t xml:space="preserve"> </w:t>
      </w:r>
      <m:oMath>
        <m:r>
          <m:t>ζ</m:t>
        </m:r>
      </m:oMath>
      <w:r>
        <w:t xml:space="preserve">. Levinson’s method [17] and its descendants introduce a differential combination such as</w:t>
      </w:r>
    </w:p>
    <w:p>
      <w:pPr>
        <w:pStyle w:val="BodyText"/>
      </w:pPr>
      <m:oMathPara>
        <m:oMathParaPr>
          <m:jc m:val="center"/>
        </m:oMathParaPr>
        <m:oMath>
          <m:r>
            <m:t>G</m:t>
          </m:r>
          <m:d>
            <m:dPr>
              <m:begChr m:val="("/>
              <m:endChr m:val=")"/>
              <m:sepChr m:val=""/>
              <m:grow/>
            </m:dPr>
            <m:e>
              <m:r>
                <m:t>s</m:t>
              </m:r>
            </m:e>
          </m:d>
          <m:r>
            <m:rPr>
              <m:sty m:val="p"/>
            </m:rPr>
            <m:t>=</m:t>
          </m:r>
          <m:r>
            <m:t>ζ</m:t>
          </m:r>
          <m:d>
            <m:dPr>
              <m:begChr m:val="("/>
              <m:endChr m:val=")"/>
              <m:sepChr m:val=""/>
              <m:grow/>
            </m:dPr>
            <m:e>
              <m:r>
                <m:t>s</m:t>
              </m:r>
            </m:e>
          </m:d>
          <m:r>
            <m:rPr>
              <m:sty m:val="p"/>
            </m:rPr>
            <m:t>+</m:t>
          </m:r>
          <m:sSub>
            <m:e>
              <m:r>
                <m:t>c</m:t>
              </m:r>
            </m:e>
            <m:sub>
              <m:r>
                <m:t>1</m:t>
              </m:r>
            </m:sub>
          </m:sSub>
          <m:f>
            <m:fPr>
              <m:type m:val="bar"/>
            </m:fPr>
            <m:num>
              <m:r>
                <m:t>ζ</m:t>
              </m:r>
              <m:r>
                <m:rPr>
                  <m:sty m:val="p"/>
                </m:rPr>
                <m:t>′</m:t>
              </m:r>
              <m:d>
                <m:dPr>
                  <m:begChr m:val="("/>
                  <m:endChr m:val=")"/>
                  <m:sepChr m:val=""/>
                  <m:grow/>
                </m:dPr>
                <m:e>
                  <m:r>
                    <m:t>s</m:t>
                  </m:r>
                </m:e>
              </m:d>
            </m:num>
            <m:den>
              <m:r>
                <m:rPr>
                  <m:sty m:val="p"/>
                </m:rPr>
                <m:t>log</m:t>
              </m:r>
              <m:r>
                <m:t>T</m:t>
              </m:r>
            </m:den>
          </m:f>
          <m:r>
            <m:rPr>
              <m:sty m:val="p"/>
            </m:rPr>
            <m:t>+</m:t>
          </m:r>
          <m:r>
            <m:rPr>
              <m:sty m:val="p"/>
            </m:rPr>
            <m:t>⋯</m:t>
          </m:r>
        </m:oMath>
      </m:oMathPara>
    </w:p>
    <w:p>
      <w:pPr>
        <w:pStyle w:val="FirstParagraph"/>
      </w:pPr>
      <w:r>
        <w:t xml:space="preserve">and multiply by a short Dirichlet polynomial</w:t>
      </w:r>
      <w:r>
        <w:t xml:space="preserve"> </w:t>
      </w:r>
      <m:oMath>
        <m:r>
          <m:t>M</m:t>
        </m:r>
        <m:d>
          <m:dPr>
            <m:begChr m:val="("/>
            <m:endChr m:val=")"/>
            <m:sepChr m:val=""/>
            <m:grow/>
          </m:dPr>
          <m:e>
            <m:r>
              <m:t>s</m:t>
            </m:r>
          </m:e>
        </m:d>
      </m:oMath>
      <w:r>
        <w:t xml:space="preserve"> </w:t>
      </w:r>
      <w:r>
        <w:t xml:space="preserve">designed to approximate an inverse of</w:t>
      </w:r>
      <w:r>
        <w:t xml:space="preserve"> </w:t>
      </w:r>
      <m:oMath>
        <m:r>
          <m:t>ζ</m:t>
        </m:r>
        <m:d>
          <m:dPr>
            <m:begChr m:val="("/>
            <m:endChr m:val=")"/>
            <m:sepChr m:val=""/>
            <m:grow/>
          </m:dPr>
          <m:e>
            <m:r>
              <m:t>s</m:t>
            </m:r>
          </m:e>
        </m:d>
      </m:oMath>
      <w:r>
        <w:t xml:space="preserve"> </w:t>
      </w:r>
      <w:r>
        <w:t xml:space="preserve">on average.</w:t>
      </w:r>
    </w:p>
    <w:p>
      <w:pPr>
        <w:pStyle w:val="BodyText"/>
      </w:pPr>
      <w:r>
        <w:t xml:space="preserve">A model mollifier looks like</w:t>
      </w:r>
    </w:p>
    <w:p>
      <w:pPr>
        <w:pStyle w:val="BodyText"/>
      </w:pPr>
      <m:oMathPara>
        <m:oMathParaPr>
          <m:jc m:val="center"/>
        </m:oMathParaPr>
        <m:oMath>
          <m:r>
            <m:t>M</m:t>
          </m:r>
          <m:d>
            <m:dPr>
              <m:begChr m:val="("/>
              <m:endChr m:val=")"/>
              <m:sepChr m:val=""/>
              <m:grow/>
            </m:dPr>
            <m:e>
              <m:r>
                <m:t>s</m:t>
              </m:r>
            </m:e>
          </m:d>
          <m:r>
            <m:rPr>
              <m:sty m:val="p"/>
            </m:rPr>
            <m:t>=</m:t>
          </m:r>
          <m:nary>
            <m:naryPr>
              <m:chr m:val="∑"/>
              <m:limLoc m:val="undOvr"/>
              <m:subHide m:val="off"/>
              <m:supHide m:val="on"/>
            </m:naryPr>
            <m:sub>
              <m:r>
                <m:t>n</m:t>
              </m:r>
              <m:r>
                <m:rPr>
                  <m:sty m:val="p"/>
                </m:rPr>
                <m:t>≤</m:t>
              </m:r>
              <m:sSup>
                <m:e>
                  <m:r>
                    <m:t>T</m:t>
                  </m:r>
                </m:e>
                <m:sup>
                  <m:r>
                    <m:t>ϑ</m:t>
                  </m:r>
                </m:sup>
              </m:sSup>
            </m:sub>
            <m:sup>
              <m:r>
                <m:t>​</m:t>
              </m:r>
            </m:sup>
            <m:e>
              <m:f>
                <m:fPr>
                  <m:type m:val="bar"/>
                </m:fPr>
                <m:num>
                  <m:r>
                    <m:t>μ</m:t>
                  </m:r>
                  <m:d>
                    <m:dPr>
                      <m:begChr m:val="("/>
                      <m:endChr m:val=")"/>
                      <m:sepChr m:val=""/>
                      <m:grow/>
                    </m:dPr>
                    <m:e>
                      <m:r>
                        <m:t>n</m:t>
                      </m:r>
                    </m:e>
                  </m:d>
                </m:num>
                <m:den>
                  <m:sSup>
                    <m:e>
                      <m:r>
                        <m:t>n</m:t>
                      </m:r>
                    </m:e>
                    <m:sup>
                      <m:r>
                        <m:t>s</m:t>
                      </m:r>
                    </m:sup>
                  </m:sSup>
                </m:den>
              </m:f>
            </m:e>
          </m:nary>
          <m:r>
            <m:t>P</m:t>
          </m:r>
          <m:r>
            <m:t>​</m:t>
          </m:r>
          <m:d>
            <m:dPr>
              <m:begChr m:val="("/>
              <m:endChr m:val=")"/>
              <m:sepChr m:val=""/>
              <m:grow/>
            </m:dPr>
            <m:e>
              <m:f>
                <m:fPr>
                  <m:type m:val="bar"/>
                </m:fPr>
                <m:num>
                  <m:r>
                    <m:rPr>
                      <m:sty m:val="p"/>
                    </m:rPr>
                    <m:t>log</m:t>
                  </m:r>
                  <m:d>
                    <m:dPr>
                      <m:begChr m:val="("/>
                      <m:endChr m:val=")"/>
                      <m:sepChr m:val=""/>
                      <m:grow/>
                    </m:dPr>
                    <m:e>
                      <m:sSup>
                        <m:e>
                          <m:r>
                            <m:t>T</m:t>
                          </m:r>
                        </m:e>
                        <m:sup>
                          <m:r>
                            <m:t>ϑ</m:t>
                          </m:r>
                        </m:sup>
                      </m:sSup>
                      <m:r>
                        <m:rPr>
                          <m:sty m:val="p"/>
                        </m:rPr>
                        <m:t>/</m:t>
                      </m:r>
                      <m:r>
                        <m:t>n</m:t>
                      </m:r>
                    </m:e>
                  </m:d>
                </m:num>
                <m:den>
                  <m:r>
                    <m:t>ϑ</m:t>
                  </m:r>
                  <m:r>
                    <m:rPr>
                      <m:sty m:val="p"/>
                    </m:rPr>
                    <m:t>log</m:t>
                  </m:r>
                  <m:r>
                    <m:t>T</m:t>
                  </m:r>
                </m:den>
              </m:f>
            </m:e>
          </m:d>
          <m:r>
            <m:rPr>
              <m:sty m:val="p"/>
            </m:rPr>
            <m:t>,</m:t>
          </m:r>
        </m:oMath>
      </m:oMathPara>
    </w:p>
    <w:p>
      <w:pPr>
        <w:pStyle w:val="FirstParagraph"/>
      </w:pPr>
      <w:r>
        <w:t xml:space="preserve">where</w:t>
      </w:r>
      <w:r>
        <w:t xml:space="preserve"> </w:t>
      </w:r>
      <m:oMath>
        <m:r>
          <m:t>P</m:t>
        </m:r>
      </m:oMath>
      <w:r>
        <w:t xml:space="preserve"> </w:t>
      </w:r>
      <w:r>
        <w:t xml:space="preserve">is chosen to optimize a resulting inequality and</w:t>
      </w:r>
      <w:r>
        <w:t xml:space="preserve"> </w:t>
      </w:r>
      <m:oMath>
        <m:r>
          <m:t>ϑ</m:t>
        </m:r>
      </m:oMath>
      <w:r>
        <w:t xml:space="preserve"> </w:t>
      </w:r>
      <w:r>
        <w:t xml:space="preserve">is the mollifier length exponent.</w:t>
      </w:r>
    </w:p>
    <w:bookmarkEnd w:id="90"/>
    <w:bookmarkStart w:id="91" w:name="why-longer-mollifiers-are-hard"/>
    <w:p>
      <w:pPr>
        <w:pStyle w:val="Heading3"/>
      </w:pPr>
      <w:r>
        <w:t xml:space="preserve">17.4.2 Why longer mollifiers are hard</w:t>
      </w:r>
    </w:p>
    <w:p>
      <w:pPr>
        <w:pStyle w:val="FirstParagraph"/>
      </w:pPr>
      <w:r>
        <w:t xml:space="preserve">The finite-dimensional optimization in</w:t>
      </w:r>
      <w:r>
        <w:t xml:space="preserve"> </w:t>
      </w:r>
      <m:oMath>
        <m:r>
          <m:t>P</m:t>
        </m:r>
      </m:oMath>
      <w:r>
        <w:t xml:space="preserve"> </w:t>
      </w:r>
      <w:r>
        <w:t xml:space="preserve">is usually not the main analytic difficulty. The hard part is evaluating mollified moments such as</w:t>
      </w:r>
    </w:p>
    <w:p>
      <w:pPr>
        <w:pStyle w:val="BodyText"/>
      </w:pPr>
      <m:oMathPara>
        <m:oMathParaPr>
          <m:jc m:val="center"/>
        </m:oMathParaPr>
        <m:oMath>
          <m:nary>
            <m:naryPr>
              <m:chr m:val="∫"/>
              <m:limLoc m:val="subSup"/>
              <m:subHide m:val="off"/>
              <m:supHide m:val="off"/>
            </m:naryPr>
            <m:sub>
              <m:r>
                <m:t>T</m:t>
              </m:r>
            </m:sub>
            <m:sup>
              <m:r>
                <m:t>2</m:t>
              </m:r>
              <m:r>
                <m:t>T</m:t>
              </m:r>
            </m:sup>
            <m:e>
              <m:sSup>
                <m:e>
                  <m:d>
                    <m:dPr>
                      <m:begChr m:val="|"/>
                      <m:endChr m:val="|"/>
                      <m:sepChr m:val=""/>
                      <m:grow/>
                    </m:dPr>
                    <m:e>
                      <m:r>
                        <m:t>G</m:t>
                      </m:r>
                      <m:r>
                        <m:t>​</m:t>
                      </m:r>
                      <m:d>
                        <m:dPr>
                          <m:begChr m:val="("/>
                          <m:endChr m:val=")"/>
                          <m:sepChr m:val=""/>
                          <m:grow/>
                        </m:dPr>
                        <m:e>
                          <m:f>
                            <m:fPr>
                              <m:type m:val="bar"/>
                            </m:fPr>
                            <m:num>
                              <m:r>
                                <m:t>1</m:t>
                              </m:r>
                            </m:num>
                            <m:den>
                              <m:r>
                                <m:t>2</m:t>
                              </m:r>
                            </m:den>
                          </m:f>
                          <m:r>
                            <m:rPr>
                              <m:sty m:val="p"/>
                            </m:rPr>
                            <m:t>+</m:t>
                          </m:r>
                          <m:r>
                            <m:t>i</m:t>
                          </m:r>
                          <m:r>
                            <m:t>t</m:t>
                          </m:r>
                        </m:e>
                      </m:d>
                      <m:r>
                        <m:t>M</m:t>
                      </m:r>
                      <m:r>
                        <m:t>​</m:t>
                      </m:r>
                      <m:d>
                        <m:dPr>
                          <m:begChr m:val="("/>
                          <m:endChr m:val=")"/>
                          <m:sepChr m:val=""/>
                          <m:grow/>
                        </m:dPr>
                        <m:e>
                          <m:f>
                            <m:fPr>
                              <m:type m:val="bar"/>
                            </m:fPr>
                            <m:num>
                              <m:r>
                                <m:t>1</m:t>
                              </m:r>
                            </m:num>
                            <m:den>
                              <m:r>
                                <m:t>2</m:t>
                              </m:r>
                            </m:den>
                          </m:f>
                          <m:r>
                            <m:rPr>
                              <m:sty m:val="p"/>
                            </m:rPr>
                            <m:t>+</m:t>
                          </m:r>
                          <m:r>
                            <m:t>i</m:t>
                          </m:r>
                          <m:r>
                            <m:t>t</m:t>
                          </m:r>
                        </m:e>
                      </m:d>
                    </m:e>
                  </m:d>
                </m:e>
                <m:sup>
                  <m:r>
                    <m:t>2</m:t>
                  </m:r>
                </m:sup>
              </m:sSup>
            </m:e>
          </m:nary>
          <m:r>
            <m:t>d</m:t>
          </m:r>
          <m:r>
            <m:t>t</m:t>
          </m:r>
        </m:oMath>
      </m:oMathPara>
    </w:p>
    <w:p>
      <w:pPr>
        <w:pStyle w:val="FirstParagraph"/>
      </w:pPr>
      <w:r>
        <w:t xml:space="preserve">with a sufficiently long Dirichlet polynomial.</w:t>
      </w:r>
    </w:p>
    <w:p>
      <w:pPr>
        <w:pStyle w:val="BodyText"/>
      </w:pPr>
      <w:r>
        <w:t xml:space="preserve">Longer mollifiers create longer shifted convolution sums and more demanding twisted moments. Thus the method has two layers:</w:t>
      </w:r>
    </w:p>
    <w:p>
      <w:pPr>
        <w:pStyle w:val="BodyText"/>
      </w:pPr>
      <m:oMathPara>
        <m:oMathParaPr>
          <m:jc m:val="center"/>
        </m:oMathParaPr>
        <m:oMath>
          <m:r>
            <m:rPr>
              <m:nor/>
              <m:sty m:val="p"/>
            </m:rPr>
            <m:t>analytic moment theorem</m:t>
          </m:r>
          <m:r>
            <m:rPr>
              <m:sty m:val="p"/>
            </m:rPr>
            <m:t>→</m:t>
          </m:r>
          <m:r>
            <m:rPr>
              <m:nor/>
              <m:sty m:val="p"/>
            </m:rPr>
            <m:t>finite optimizer</m:t>
          </m:r>
          <m:r>
            <m:rPr>
              <m:sty m:val="p"/>
            </m:rPr>
            <m:t>→</m:t>
          </m:r>
          <m:r>
            <m:rPr>
              <m:nor/>
              <m:sty m:val="p"/>
            </m:rPr>
            <m:t>critical-line proportion</m:t>
          </m:r>
          <m:r>
            <m:rPr>
              <m:sty m:val="p"/>
            </m:rPr>
            <m:t>.</m:t>
          </m:r>
        </m:oMath>
      </m:oMathPara>
    </w:p>
    <w:p>
      <w:pPr>
        <w:pStyle w:val="FirstParagraph"/>
      </w:pPr>
      <w:r>
        <w:t xml:space="preserve">This separation is useful when evaluating a proposed new theorem. One can often insert the theorem as an oracle into the optimizer and calculate the potential proportion</w:t>
      </w:r>
      <w:r>
        <w:t xml:space="preserve"> </w:t>
      </w:r>
      <w:r>
        <w:rPr>
          <w:b/>
          <w:bCs/>
        </w:rPr>
        <w:t xml:space="preserve">before</w:t>
      </w:r>
      <w:r>
        <w:t xml:space="preserve"> </w:t>
      </w:r>
      <w:r>
        <w:t xml:space="preserve">paying to prove the theorem.</w:t>
      </w:r>
    </w:p>
    <w:bookmarkEnd w:id="91"/>
    <w:bookmarkStart w:id="92" w:name="X8ae00f01d130d5fb91a3fcad1acc68eecde4170"/>
    <w:p>
      <w:pPr>
        <w:pStyle w:val="Heading3"/>
      </w:pPr>
      <w:r>
        <w:t xml:space="preserve">17.4.3 What a proportion theorem does and does not say</w:t>
      </w:r>
    </w:p>
    <w:p>
      <w:pPr>
        <w:pStyle w:val="FirstParagraph"/>
      </w:pPr>
      <w:r>
        <w:t xml:space="preserve">A theorem</w:t>
      </w:r>
    </w:p>
    <w:p>
      <w:pPr>
        <w:pStyle w:val="BodyText"/>
      </w:pPr>
      <m:oMathPara>
        <m:oMathParaPr>
          <m:jc m:val="center"/>
        </m:oMathParaPr>
        <m:oMath>
          <m:sSub>
            <m:e>
              <m:r>
                <m:t>N</m:t>
              </m:r>
            </m:e>
            <m:sub>
              <m:r>
                <m:t>0</m:t>
              </m:r>
            </m:sub>
          </m:sSub>
          <m:d>
            <m:dPr>
              <m:begChr m:val="("/>
              <m:endChr m:val=")"/>
              <m:sepChr m:val=""/>
              <m:grow/>
            </m:dPr>
            <m:e>
              <m:r>
                <m:t>T</m:t>
              </m:r>
            </m:e>
          </m:d>
          <m:r>
            <m:rPr>
              <m:sty m:val="p"/>
            </m:rPr>
            <m:t>≥</m:t>
          </m:r>
          <m:r>
            <m:t>c</m:t>
          </m:r>
          <m:r>
            <m:t>N</m:t>
          </m:r>
          <m:d>
            <m:dPr>
              <m:begChr m:val="("/>
              <m:endChr m:val=")"/>
              <m:sepChr m:val=""/>
              <m:grow/>
            </m:dPr>
            <m:e>
              <m:r>
                <m:t>T</m:t>
              </m:r>
            </m:e>
          </m:d>
        </m:oMath>
      </m:oMathPara>
    </w:p>
    <w:p>
      <w:pPr>
        <w:pStyle w:val="FirstParagraph"/>
      </w:pPr>
      <w:r>
        <w:t xml:space="preserve">with</w:t>
      </w:r>
      <w:r>
        <w:t xml:space="preserve"> </w:t>
      </w:r>
      <m:oMath>
        <m:r>
          <m:t>c</m:t>
        </m:r>
        <m:r>
          <m:rPr>
            <m:sty m:val="p"/>
          </m:rPr>
          <m:t>&gt;</m:t>
        </m:r>
        <m:r>
          <m:t>0</m:t>
        </m:r>
      </m:oMath>
      <w:r>
        <w:t xml:space="preserve"> </w:t>
      </w:r>
      <w:r>
        <w:t xml:space="preserve">is genuinely about exact line membership, unlike a zero-density theorem. Yet any fixed</w:t>
      </w:r>
      <w:r>
        <w:t xml:space="preserve"> </w:t>
      </w:r>
      <m:oMath>
        <m:r>
          <m:t>c</m:t>
        </m:r>
        <m:r>
          <m:rPr>
            <m:sty m:val="p"/>
          </m:rPr>
          <m:t>&lt;</m:t>
        </m:r>
        <m:r>
          <m:t>1</m:t>
        </m:r>
      </m:oMath>
      <w:r>
        <w:t xml:space="preserve"> </w:t>
      </w:r>
      <w:r>
        <w:t xml:space="preserve">leaves a positive asymptotic proportion unaccounted for. Even</w:t>
      </w:r>
      <w:r>
        <w:t xml:space="preserve"> </w:t>
      </w:r>
      <m:oMath>
        <m:r>
          <m:t>c</m:t>
        </m:r>
        <m:r>
          <m:rPr>
            <m:sty m:val="p"/>
          </m:rPr>
          <m:t>=</m:t>
        </m:r>
        <m:r>
          <m:t>1</m:t>
        </m:r>
        <m:r>
          <m:rPr>
            <m:sty m:val="p"/>
          </m:rPr>
          <m:t>−</m:t>
        </m:r>
        <m:r>
          <m:t>o</m:t>
        </m:r>
        <m:d>
          <m:dPr>
            <m:begChr m:val="("/>
            <m:endChr m:val=")"/>
            <m:sepChr m:val=""/>
            <m:grow/>
          </m:dPr>
          <m:e>
            <m:r>
              <m:t>1</m:t>
            </m:r>
          </m:e>
        </m:d>
      </m:oMath>
      <w:r>
        <w:t xml:space="preserve"> </w:t>
      </w:r>
      <w:r>
        <w:t xml:space="preserve">still does not eliminate a sparse exceptional set. The logical endpoint remains different from RH.</w:t>
      </w:r>
    </w:p>
    <w:bookmarkEnd w:id="92"/>
    <w:bookmarkStart w:id="93" w:name="modern-optimization-nodes"/>
    <w:p>
      <w:pPr>
        <w:pStyle w:val="Heading3"/>
      </w:pPr>
      <w:r>
        <w:t xml:space="preserve">17.4.4 Modern optimization nodes</w:t>
      </w:r>
    </w:p>
    <w:p>
      <w:pPr>
        <w:pStyle w:val="FirstParagraph"/>
      </w:pPr>
      <w:r>
        <w:t xml:space="preserve">Conrey [28], Bui-Conrey-Young [46], Feng [47], Pratt et al. [54], and Conrey et al. [67] should be read as a lineage in which improved mean-value technology and improved finite optimization repeatedly interact. A new arithmetic moment theorem is valuable only to the extent that it expands the feasible mollifier or test-function region.</w:t>
      </w:r>
    </w:p>
    <w:bookmarkEnd w:id="93"/>
    <w:bookmarkEnd w:id="94"/>
    <w:bookmarkStart w:id="99" w:name="Xc4982c5c962f69ab8169907d7862826dd16216d"/>
    <w:p>
      <w:pPr>
        <w:pStyle w:val="Heading2"/>
      </w:pPr>
      <w:r>
        <w:t xml:space="preserve">17.5 Weil’s form, positivity, and finite compression</w:t>
      </w:r>
    </w:p>
    <w:bookmarkStart w:id="95" w:name="the-explicit-formula-quadratic-form"/>
    <w:p>
      <w:pPr>
        <w:pStyle w:val="Heading3"/>
      </w:pPr>
      <w:r>
        <w:t xml:space="preserve">17.5.1 The explicit-formula quadratic form</w:t>
      </w:r>
    </w:p>
    <w:p>
      <w:pPr>
        <w:pStyle w:val="FirstParagraph"/>
      </w:pPr>
      <w:r>
        <w:t xml:space="preserve">Weil [13] packages the explicit formula into a positivity criterion. In one broad schematic form, a test function</w:t>
      </w:r>
      <w:r>
        <w:t xml:space="preserve"> </w:t>
      </w:r>
      <m:oMath>
        <m:r>
          <m:t>g</m:t>
        </m:r>
      </m:oMath>
      <w:r>
        <w:t xml:space="preserve"> </w:t>
      </w:r>
      <w:r>
        <w:t xml:space="preserve">produces a quadratic expression</w:t>
      </w:r>
    </w:p>
    <w:p>
      <w:pPr>
        <w:pStyle w:val="BodyText"/>
      </w:pPr>
      <m:oMathPara>
        <m:oMathParaPr>
          <m:jc m:val="center"/>
        </m:oMathParaPr>
        <m:oMath>
          <m:r>
            <m:t>Q</m:t>
          </m:r>
          <m:d>
            <m:dPr>
              <m:begChr m:val="("/>
              <m:endChr m:val=")"/>
              <m:sepChr m:val=""/>
              <m:grow/>
            </m:dPr>
            <m:e>
              <m:r>
                <m:t>g</m:t>
              </m:r>
            </m:e>
          </m:d>
          <m:r>
            <m:rPr>
              <m:sty m:val="p"/>
            </m:rPr>
            <m:t>=</m:t>
          </m:r>
          <m:r>
            <m:rPr>
              <m:nor/>
              <m:sty m:val="p"/>
            </m:rPr>
            <m:t>prime-side contribution</m:t>
          </m:r>
          <m:r>
            <m:rPr>
              <m:sty m:val="p"/>
            </m:rPr>
            <m:t>+</m:t>
          </m:r>
          <m:r>
            <m:rPr>
              <m:nor/>
              <m:sty m:val="p"/>
            </m:rPr>
            <m:t>archimedean contribution</m:t>
          </m:r>
          <m:r>
            <m:rPr>
              <m:sty m:val="p"/>
            </m:rPr>
            <m:t>,</m:t>
          </m:r>
        </m:oMath>
      </m:oMathPara>
    </w:p>
    <w:p>
      <w:pPr>
        <w:pStyle w:val="FirstParagraph"/>
      </w:pPr>
      <w:r>
        <w:t xml:space="preserve">which is equal, through the explicit formula, to a sum over zeros. Under the right admissibility and symmetry conditions, RH is equivalent to positivity of the corresponding Weil form for every permitted test function.</w:t>
      </w:r>
    </w:p>
    <w:p>
      <w:pPr>
        <w:pStyle w:val="BodyText"/>
      </w:pPr>
      <w:r>
        <w:t xml:space="preserve">The exact criterion matters: this is not merely a heuristic that zeros</w:t>
      </w:r>
      <w:r>
        <w:t xml:space="preserve"> </w:t>
      </w:r>
      <w:r>
        <w:t xml:space="preserve">“</w:t>
      </w:r>
      <w:r>
        <w:t xml:space="preserve">look positive</w:t>
      </w:r>
      <w:r>
        <w:t xml:space="preserve">”</w:t>
      </w:r>
      <w:r>
        <w:t xml:space="preserve">. It is a global equivalence when all admissible tests are included.</w:t>
      </w:r>
    </w:p>
    <w:bookmarkEnd w:id="95"/>
    <w:bookmarkStart w:id="96" w:name="why-off-line-zeros-cause-indefiniteness"/>
    <w:p>
      <w:pPr>
        <w:pStyle w:val="Heading3"/>
      </w:pPr>
      <w:r>
        <w:t xml:space="preserve">17.5.2 Why off-line zeros cause indefiniteness</w:t>
      </w:r>
    </w:p>
    <w:p>
      <w:pPr>
        <w:pStyle w:val="FirstParagraph"/>
      </w:pPr>
      <w:r>
        <w:t xml:space="preserve">A zero on the critical line is fixed by the symmetry</w:t>
      </w:r>
    </w:p>
    <w:p>
      <w:pPr>
        <w:pStyle w:val="BodyText"/>
      </w:pPr>
      <m:oMathPara>
        <m:oMathParaPr>
          <m:jc m:val="center"/>
        </m:oMathParaPr>
        <m:oMath>
          <m:r>
            <m:t>ρ</m:t>
          </m:r>
          <m:r>
            <m:rPr>
              <m:sty m:val="p"/>
            </m:rPr>
            <m:t>↦</m:t>
          </m:r>
          <m:r>
            <m:t>1</m:t>
          </m:r>
          <m:r>
            <m:rPr>
              <m:sty m:val="p"/>
            </m:rPr>
            <m:t>−</m:t>
          </m:r>
          <m:bar>
            <m:barPr>
              <m:pos m:val="top"/>
            </m:barPr>
            <m:e>
              <m:r>
                <m:t>ρ</m:t>
              </m:r>
            </m:e>
          </m:bar>
          <m:r>
            <m:rPr>
              <m:sty m:val="p"/>
            </m:rPr>
            <m:t>.</m:t>
          </m:r>
        </m:oMath>
      </m:oMathPara>
    </w:p>
    <w:p>
      <w:pPr>
        <w:pStyle w:val="FirstParagraph"/>
      </w:pPr>
      <w:r>
        <w:t xml:space="preserve">An off-line zero occurs in a symmetry orbit that contributes differently to the Hermitian form. In a suitable finite compression, critical zeros contribute positive rank-one pieces, while off-line paired contributions can create indefinite blocks.</w:t>
      </w:r>
    </w:p>
    <w:p>
      <w:pPr>
        <w:pStyle w:val="BodyText"/>
      </w:pPr>
      <w:r>
        <w:t xml:space="preserve">This makes inertia, the numbers of positive and negative eigenvalues, a natural statistic.</w:t>
      </w:r>
    </w:p>
    <w:bookmarkEnd w:id="96"/>
    <w:bookmarkStart w:id="97" w:name="Xdfdd6b8548f0f5a4db3406f000ea03bad94a89b"/>
    <w:p>
      <w:pPr>
        <w:pStyle w:val="Heading3"/>
      </w:pPr>
      <w:r>
        <w:t xml:space="preserve">17.5.3 The Alpöge-Furman finite-compression move</w:t>
      </w:r>
    </w:p>
    <w:p>
      <w:pPr>
        <w:pStyle w:val="FirstParagraph"/>
      </w:pPr>
      <w:r>
        <w:t xml:space="preserve">Alpöge-Furman [76] do not prove global Weil positivity. Instead they compress the form to a finite-dimensional space and combine:</w:t>
      </w:r>
    </w:p>
    <w:p>
      <w:pPr>
        <w:pStyle w:val="Compact"/>
        <w:numPr>
          <w:ilvl w:val="0"/>
          <w:numId w:val="1008"/>
        </w:numPr>
      </w:pPr>
      <w:r>
        <w:t xml:space="preserve">trace information;</w:t>
      </w:r>
    </w:p>
    <w:p>
      <w:pPr>
        <w:pStyle w:val="Compact"/>
        <w:numPr>
          <w:ilvl w:val="0"/>
          <w:numId w:val="1008"/>
        </w:numPr>
      </w:pPr>
      <w:r>
        <w:t xml:space="preserve">Hilbert-Schmidt or second-moment information;</w:t>
      </w:r>
    </w:p>
    <w:p>
      <w:pPr>
        <w:pStyle w:val="Compact"/>
        <w:numPr>
          <w:ilvl w:val="0"/>
          <w:numId w:val="1008"/>
        </w:numPr>
      </w:pPr>
      <w:r>
        <w:t xml:space="preserve">Sylvester inertia constraints;</w:t>
      </w:r>
    </w:p>
    <w:p>
      <w:pPr>
        <w:pStyle w:val="Compact"/>
        <w:numPr>
          <w:ilvl w:val="0"/>
          <w:numId w:val="1008"/>
        </w:numPr>
      </w:pPr>
      <w:r>
        <w:t xml:space="preserve">modern pair-correlation input.</w:t>
      </w:r>
    </w:p>
    <w:p>
      <w:pPr>
        <w:pStyle w:val="FirstParagraph"/>
      </w:pPr>
      <w:r>
        <w:t xml:space="preserve">If</w:t>
      </w:r>
      <w:r>
        <w:t xml:space="preserve"> </w:t>
      </w:r>
      <m:oMath>
        <m:r>
          <m:t>R</m:t>
        </m:r>
        <m:d>
          <m:dPr>
            <m:begChr m:val="("/>
            <m:endChr m:val=")"/>
            <m:sepChr m:val=""/>
            <m:grow/>
          </m:dPr>
          <m:e>
            <m:r>
              <m:t>G</m:t>
            </m:r>
          </m:e>
        </m:d>
      </m:oMath>
      <w:r>
        <w:t xml:space="preserve"> </w:t>
      </w:r>
      <w:r>
        <w:t xml:space="preserve">denotes the positive rank of</w:t>
      </w:r>
      <w:r>
        <w:t xml:space="preserve"> </w:t>
      </w:r>
      <m:oMath>
        <m:r>
          <m:t>G</m:t>
        </m:r>
      </m:oMath>
      <w:r>
        <w:t xml:space="preserve">, a model linear-algebra inequality has the flavor</w:t>
      </w:r>
    </w:p>
    <w:p>
      <w:pPr>
        <w:pStyle w:val="BodyText"/>
      </w:pPr>
      <m:oMathPara>
        <m:oMathParaPr>
          <m:jc m:val="center"/>
        </m:oMathParaPr>
        <m:oMath>
          <m:r>
            <m:t>R</m:t>
          </m:r>
          <m:d>
            <m:dPr>
              <m:begChr m:val="("/>
              <m:endChr m:val=")"/>
              <m:sepChr m:val=""/>
              <m:grow/>
            </m:dPr>
            <m:e>
              <m:r>
                <m:t>G</m:t>
              </m:r>
            </m:e>
          </m:d>
          <m:r>
            <m:rPr>
              <m:sty m:val="p"/>
            </m:rPr>
            <m:t>≥</m:t>
          </m:r>
          <m:f>
            <m:fPr>
              <m:type m:val="bar"/>
            </m:fPr>
            <m:num>
              <m:sSup>
                <m:e>
                  <m:d>
                    <m:dPr>
                      <m:begChr m:val="("/>
                      <m:endChr m:val=")"/>
                      <m:sepChr m:val=""/>
                      <m:grow/>
                    </m:dPr>
                    <m:e>
                      <m:r>
                        <m:rPr>
                          <m:sty m:val="p"/>
                        </m:rPr>
                        <m:t>tr</m:t>
                      </m:r>
                      <m:r>
                        <m:t>G</m:t>
                      </m:r>
                    </m:e>
                  </m:d>
                </m:e>
                <m:sup>
                  <m:r>
                    <m:t>2</m:t>
                  </m:r>
                </m:sup>
              </m:sSup>
            </m:num>
            <m:den>
              <m:r>
                <m:rPr>
                  <m:sty m:val="p"/>
                </m:rPr>
                <m:t>∥</m:t>
              </m:r>
              <m:r>
                <m:t>G</m:t>
              </m:r>
              <m:sSubSup>
                <m:e>
                  <m:r>
                    <m:rPr>
                      <m:sty m:val="p"/>
                    </m:rPr>
                    <m:t>∥</m:t>
                  </m:r>
                </m:e>
                <m:sub>
                  <m:r>
                    <m:rPr>
                      <m:sty m:val="p"/>
                    </m:rPr>
                    <m:t>H</m:t>
                  </m:r>
                  <m:r>
                    <m:rPr>
                      <m:sty m:val="p"/>
                    </m:rPr>
                    <m:t>S</m:t>
                  </m:r>
                </m:sub>
                <m:sup>
                  <m:r>
                    <m:t>2</m:t>
                  </m:r>
                </m:sup>
              </m:sSubSup>
            </m:den>
          </m:f>
          <m:r>
            <m:rPr>
              <m:sty m:val="p"/>
            </m:rPr>
            <m:t>,</m:t>
          </m:r>
        </m:oMath>
      </m:oMathPara>
    </w:p>
    <w:p>
      <w:pPr>
        <w:pStyle w:val="FirstParagraph"/>
      </w:pPr>
      <w:r>
        <w:t xml:space="preserve">when the hypotheses are arranged so that the positive spectral mass can be isolated appropriately. The exact theorem in the paper is more carefully structured, but this formula explains the mechanism: first and second spectral moments constrain how little positive rank can carry the observed trace.</w:t>
      </w:r>
    </w:p>
    <w:p>
      <w:pPr>
        <w:pStyle w:val="BodyText"/>
      </w:pPr>
      <w:r>
        <w:t xml:space="preserve">The mathematical innovation is that</w:t>
      </w:r>
      <w:r>
        <w:t xml:space="preserve"> </w:t>
      </w:r>
      <w:r>
        <w:rPr>
          <w:b/>
          <w:bCs/>
        </w:rPr>
        <w:t xml:space="preserve">global positivity is replaced by quantitative information about inertia</w:t>
      </w:r>
      <w:r>
        <w:t xml:space="preserve">. This permits an unconditional proportion theorem even though RH itself would require eliminating the indefinite contribution entirely.</w:t>
      </w:r>
    </w:p>
    <w:bookmarkEnd w:id="97"/>
    <w:bookmarkStart w:id="98" w:name="where-higher-moments-could-enter"/>
    <w:p>
      <w:pPr>
        <w:pStyle w:val="Heading3"/>
      </w:pPr>
      <w:r>
        <w:t xml:space="preserve">17.5.4 Where higher moments could enter</w:t>
      </w:r>
    </w:p>
    <w:p>
      <w:pPr>
        <w:pStyle w:val="FirstParagraph"/>
      </w:pPr>
      <w:r>
        <w:t xml:space="preserve">If one could control</w:t>
      </w:r>
    </w:p>
    <w:p>
      <w:pPr>
        <w:pStyle w:val="BodyText"/>
      </w:pPr>
      <m:oMathPara>
        <m:oMathParaPr>
          <m:jc m:val="center"/>
        </m:oMathParaPr>
        <m:oMath>
          <m:r>
            <m:rPr>
              <m:sty m:val="p"/>
            </m:rPr>
            <m:t>tr</m:t>
          </m:r>
          <m:d>
            <m:dPr>
              <m:begChr m:val="("/>
              <m:endChr m:val=")"/>
              <m:sepChr m:val=""/>
              <m:grow/>
            </m:dPr>
            <m:e>
              <m:sSup>
                <m:e>
                  <m:r>
                    <m:t>G</m:t>
                  </m:r>
                </m:e>
                <m:sup>
                  <m:r>
                    <m:t>3</m:t>
                  </m:r>
                </m:sup>
              </m:sSup>
            </m:e>
          </m:d>
          <m:r>
            <m:rPr>
              <m:sty m:val="p"/>
            </m:rPr>
            <m:t>,</m:t>
          </m:r>
          <m:r>
            <m:t>  </m:t>
          </m:r>
          <m:r>
            <m:rPr>
              <m:sty m:val="p"/>
            </m:rPr>
            <m:t>tr</m:t>
          </m:r>
          <m:d>
            <m:dPr>
              <m:begChr m:val="("/>
              <m:endChr m:val=")"/>
              <m:sepChr m:val=""/>
              <m:grow/>
            </m:dPr>
            <m:e>
              <m:sSup>
                <m:e>
                  <m:r>
                    <m:t>G</m:t>
                  </m:r>
                </m:e>
                <m:sup>
                  <m:r>
                    <m:t>4</m:t>
                  </m:r>
                </m:sup>
              </m:sSup>
            </m:e>
          </m:d>
          <m:r>
            <m:rPr>
              <m:sty m:val="p"/>
            </m:rPr>
            <m:t>,</m:t>
          </m:r>
          <m:r>
            <m:t>  </m:t>
          </m:r>
          <m:r>
            <m:rPr>
              <m:sty m:val="p"/>
            </m:rPr>
            <m:t>…</m:t>
          </m:r>
          <m:r>
            <m:rPr>
              <m:sty m:val="p"/>
            </m:rPr>
            <m:t>,</m:t>
          </m:r>
        </m:oMath>
      </m:oMathPara>
    </w:p>
    <w:p>
      <w:pPr>
        <w:pStyle w:val="FirstParagraph"/>
      </w:pPr>
      <w:r>
        <w:t xml:space="preserve">then the spectral distribution would be more constrained than by trace plus Hilbert-Schmidt norm alone. On the prime side, however, these moments generate higher correlations. The obstacle is therefore transported rather than removed:</w:t>
      </w:r>
    </w:p>
    <w:p>
      <w:pPr>
        <w:pStyle w:val="BodyText"/>
      </w:pPr>
      <m:oMathPara>
        <m:oMathParaPr>
          <m:jc m:val="center"/>
        </m:oMathParaPr>
        <m:oMath>
          <m:r>
            <m:rPr>
              <m:nor/>
              <m:sty m:val="p"/>
            </m:rPr>
            <m:t>higher spectral moment</m:t>
          </m:r>
          <m:r>
            <m:rPr>
              <m:sty m:val="p"/>
            </m:rPr>
            <m:t>↔</m:t>
          </m:r>
          <m:r>
            <m:rPr>
              <m:nor/>
              <m:sty m:val="p"/>
            </m:rPr>
            <m:t>higher arithmetic correlation</m:t>
          </m:r>
          <m:r>
            <m:rPr>
              <m:sty m:val="p"/>
            </m:rPr>
            <m:t>.</m:t>
          </m:r>
        </m:oMath>
      </m:oMathPara>
    </w:p>
    <w:p>
      <w:pPr>
        <w:pStyle w:val="FirstParagraph"/>
      </w:pPr>
      <w:r>
        <w:t xml:space="preserve">This is an excellent example of why the map needs arrows labeled by the object being transported.</w:t>
      </w:r>
    </w:p>
    <w:bookmarkEnd w:id="98"/>
    <w:bookmarkEnd w:id="99"/>
    <w:bookmarkStart w:id="103" w:name="X2d3ac5c876d46a4c3ee42f64b74a0c449530f7c"/>
    <w:p>
      <w:pPr>
        <w:pStyle w:val="Heading2"/>
      </w:pPr>
      <w:r>
        <w:t xml:space="preserve">17.6 The de Bruijn-Newman heat-flow coordinate</w:t>
      </w:r>
    </w:p>
    <w:bookmarkStart w:id="100" w:name="X0a6e6ab02b7f38a1c7e89a0c04f63172d53cf5e"/>
    <w:p>
      <w:pPr>
        <w:pStyle w:val="Heading3"/>
      </w:pPr>
      <w:r>
        <w:t xml:space="preserve">17.6.1 A deformation of the xi Fourier transform</w:t>
      </w:r>
    </w:p>
    <w:p>
      <w:pPr>
        <w:pStyle w:val="FirstParagraph"/>
      </w:pPr>
      <w:r>
        <w:t xml:space="preserve">The completed xi function admits a Fourier-cosine representation. The de Bruijn-Newman family inserts a heat parameter</w:t>
      </w:r>
      <w:r>
        <w:t xml:space="preserve"> </w:t>
      </w:r>
      <m:oMath>
        <m:r>
          <m:t>t</m:t>
        </m:r>
      </m:oMath>
      <w:r>
        <w:t xml:space="preserve">, schematically</w:t>
      </w:r>
    </w:p>
    <w:p>
      <w:pPr>
        <w:pStyle w:val="BodyText"/>
      </w:pPr>
      <m:oMathPara>
        <m:oMathParaPr>
          <m:jc m:val="center"/>
        </m:oMathParaPr>
        <m:oMath>
          <m:sSub>
            <m:e>
              <m:r>
                <m:t>H</m:t>
              </m:r>
            </m:e>
            <m:sub>
              <m:r>
                <m:t>t</m:t>
              </m:r>
            </m:sub>
          </m:sSub>
          <m:d>
            <m:dPr>
              <m:begChr m:val="("/>
              <m:endChr m:val=")"/>
              <m:sepChr m:val=""/>
              <m:grow/>
            </m:dPr>
            <m:e>
              <m:r>
                <m:t>z</m:t>
              </m:r>
            </m:e>
          </m:d>
          <m:r>
            <m:rPr>
              <m:sty m:val="p"/>
            </m:rPr>
            <m:t>=</m:t>
          </m:r>
          <m:nary>
            <m:naryPr>
              <m:chr m:val="∫"/>
              <m:limLoc m:val="subSup"/>
              <m:subHide m:val="off"/>
              <m:supHide m:val="off"/>
            </m:naryPr>
            <m:sub>
              <m:r>
                <m:t>0</m:t>
              </m:r>
            </m:sub>
            <m:sup>
              <m:r>
                <m:rPr>
                  <m:sty m:val="p"/>
                </m:rPr>
                <m:t>∞</m:t>
              </m:r>
            </m:sup>
            <m:e>
              <m:sSup>
                <m:e>
                  <m:r>
                    <m:t>e</m:t>
                  </m:r>
                </m:e>
                <m:sup>
                  <m:r>
                    <m:t>t</m:t>
                  </m:r>
                  <m:sSup>
                    <m:e>
                      <m:r>
                        <m:t>u</m:t>
                      </m:r>
                    </m:e>
                    <m:sup>
                      <m:r>
                        <m:t>2</m:t>
                      </m:r>
                    </m:sup>
                  </m:sSup>
                </m:sup>
              </m:sSup>
            </m:e>
          </m:nary>
          <m:r>
            <m:t>Φ</m:t>
          </m:r>
          <m:d>
            <m:dPr>
              <m:begChr m:val="("/>
              <m:endChr m:val=")"/>
              <m:sepChr m:val=""/>
              <m:grow/>
            </m:dPr>
            <m:e>
              <m:r>
                <m:t>u</m:t>
              </m:r>
            </m:e>
          </m:d>
          <m:r>
            <m:rPr>
              <m:sty m:val="p"/>
            </m:rPr>
            <m:t>cos</m:t>
          </m:r>
          <m:d>
            <m:dPr>
              <m:begChr m:val="("/>
              <m:endChr m:val=")"/>
              <m:sepChr m:val=""/>
              <m:grow/>
            </m:dPr>
            <m:e>
              <m:r>
                <m:t>z</m:t>
              </m:r>
              <m:r>
                <m:t>u</m:t>
              </m:r>
            </m:e>
          </m:d>
          <m:r>
            <m:t> </m:t>
          </m:r>
          <m:r>
            <m:t>d</m:t>
          </m:r>
          <m:r>
            <m:t>u</m:t>
          </m:r>
          <m:r>
            <m:rPr>
              <m:sty m:val="p"/>
            </m:rPr>
            <m:t>,</m:t>
          </m:r>
        </m:oMath>
      </m:oMathPara>
    </w:p>
    <w:p>
      <w:pPr>
        <w:pStyle w:val="FirstParagraph"/>
      </w:pPr>
      <w:r>
        <w:t xml:space="preserve">with a normalization-dependent kernel</w:t>
      </w:r>
      <w:r>
        <w:t xml:space="preserve"> </w:t>
      </w:r>
      <m:oMath>
        <m:r>
          <m:t>Φ</m:t>
        </m:r>
      </m:oMath>
      <w:r>
        <w:t xml:space="preserve">.</w:t>
      </w:r>
    </w:p>
    <w:p>
      <w:pPr>
        <w:pStyle w:val="BodyText"/>
      </w:pPr>
      <w:r>
        <w:t xml:space="preserve">There exists a real constant</w:t>
      </w:r>
      <w:r>
        <w:t xml:space="preserve"> </w:t>
      </w:r>
      <m:oMath>
        <m:r>
          <m:t>Λ</m:t>
        </m:r>
      </m:oMath>
      <w:r>
        <w:t xml:space="preserve"> </w:t>
      </w:r>
      <w:r>
        <w:t xml:space="preserve">such that</w:t>
      </w:r>
    </w:p>
    <w:p>
      <w:pPr>
        <w:pStyle w:val="BodyText"/>
      </w:pPr>
      <m:oMathPara>
        <m:oMathParaPr>
          <m:jc m:val="center"/>
        </m:oMathParaPr>
        <m:oMath>
          <m:sSub>
            <m:e>
              <m:r>
                <m:t>H</m:t>
              </m:r>
            </m:e>
            <m:sub>
              <m:r>
                <m:t>t</m:t>
              </m:r>
            </m:sub>
          </m:sSub>
          <m:r>
            <m:rPr>
              <m:nor/>
              <m:sty m:val="p"/>
            </m:rPr>
            <m:t> has only real zeros</m:t>
          </m:r>
          <m:r>
            <m:t> </m:t>
          </m:r>
          <m:r>
            <m:rPr>
              <m:sty m:val="p"/>
            </m:rPr>
            <m:t>⇔</m:t>
          </m:r>
          <m:r>
            <m:t> </m:t>
          </m:r>
          <m:r>
            <m:t>t</m:t>
          </m:r>
          <m:r>
            <m:rPr>
              <m:sty m:val="p"/>
            </m:rPr>
            <m:t>≥</m:t>
          </m:r>
          <m:r>
            <m:t>Λ</m:t>
          </m:r>
          <m:r>
            <m:rPr>
              <m:sty m:val="p"/>
            </m:rPr>
            <m:t>.</m:t>
          </m:r>
        </m:oMath>
      </m:oMathPara>
    </w:p>
    <w:p>
      <w:pPr>
        <w:pStyle w:val="FirstParagraph"/>
      </w:pPr>
      <w:r>
        <w:t xml:space="preserve">In the standard normalization,</w:t>
      </w:r>
    </w:p>
    <w:p>
      <w:pPr>
        <w:pStyle w:val="BodyText"/>
      </w:pPr>
      <m:oMathPara>
        <m:oMathParaPr>
          <m:jc m:val="center"/>
        </m:oMathParaPr>
        <m:oMath>
          <m:r>
            <m:rPr>
              <m:sty m:val="p"/>
            </m:rPr>
            <m:t>R</m:t>
          </m:r>
          <m:r>
            <m:rPr>
              <m:sty m:val="p"/>
            </m:rPr>
            <m:t>H</m:t>
          </m:r>
          <m:r>
            <m:t> </m:t>
          </m:r>
          <m:r>
            <m:rPr>
              <m:sty m:val="p"/>
            </m:rPr>
            <m:t>⇔</m:t>
          </m:r>
          <m:r>
            <m:t> </m:t>
          </m:r>
          <m:r>
            <m:t>Λ</m:t>
          </m:r>
          <m:r>
            <m:rPr>
              <m:sty m:val="p"/>
            </m:rPr>
            <m:t>≤</m:t>
          </m:r>
          <m:r>
            <m:t>0</m:t>
          </m:r>
          <m:r>
            <m:rPr>
              <m:sty m:val="p"/>
            </m:rPr>
            <m:t>.</m:t>
          </m:r>
        </m:oMath>
      </m:oMathPara>
    </w:p>
    <w:p>
      <w:pPr>
        <w:pStyle w:val="FirstParagraph"/>
      </w:pPr>
      <w:r>
        <w:t xml:space="preserve">Rodgers-Tao [55] prove</w:t>
      </w:r>
    </w:p>
    <w:p>
      <w:pPr>
        <w:pStyle w:val="BodyText"/>
      </w:pPr>
      <m:oMathPara>
        <m:oMathParaPr>
          <m:jc m:val="center"/>
        </m:oMathParaPr>
        <m:oMath>
          <m:r>
            <m:t>Λ</m:t>
          </m:r>
          <m:r>
            <m:rPr>
              <m:sty m:val="p"/>
            </m:rPr>
            <m:t>≥</m:t>
          </m:r>
          <m:r>
            <m:t>0</m:t>
          </m:r>
          <m:r>
            <m:rPr>
              <m:sty m:val="p"/>
            </m:rPr>
            <m:t>.</m:t>
          </m:r>
        </m:oMath>
      </m:oMathPara>
    </w:p>
    <w:p>
      <w:pPr>
        <w:pStyle w:val="FirstParagraph"/>
      </w:pPr>
      <w:r>
        <w:t xml:space="preserve">Therefore RH becomes the exact boundary assertion</w:t>
      </w:r>
    </w:p>
    <w:p>
      <w:pPr>
        <w:pStyle w:val="BodyText"/>
      </w:pPr>
      <m:oMathPara>
        <m:oMathParaPr>
          <m:jc m:val="center"/>
        </m:oMathParaPr>
        <m:oMath>
          <m:borderBox>
            <m:e>
              <m:r>
                <m:t>Λ</m:t>
              </m:r>
              <m:r>
                <m:rPr>
                  <m:sty m:val="p"/>
                </m:rPr>
                <m:t>=</m:t>
              </m:r>
              <m:r>
                <m:t>0</m:t>
              </m:r>
              <m:r>
                <m:rPr>
                  <m:sty m:val="p"/>
                </m:rPr>
                <m:t>.</m:t>
              </m:r>
            </m:e>
          </m:borderBox>
        </m:oMath>
      </m:oMathPara>
    </w:p>
    <w:bookmarkEnd w:id="100"/>
    <w:bookmarkStart w:id="101" w:name="X520b130a81c9e6f125c900fd474b82d48867881"/>
    <w:p>
      <w:pPr>
        <w:pStyle w:val="Heading3"/>
      </w:pPr>
      <w:r>
        <w:t xml:space="preserve">17.6.2 Why this reformulation is psychologically striking but not automatically easier</w:t>
      </w:r>
    </w:p>
    <w:p>
      <w:pPr>
        <w:pStyle w:val="FirstParagraph"/>
      </w:pPr>
      <w:r>
        <w:t xml:space="preserve">The infinite set of zero constraints has been compressed into one real constant. That is conceptually elegant. But determining an extremal constant exactly can contain the entire original difficulty.</w:t>
      </w:r>
    </w:p>
    <w:p>
      <w:pPr>
        <w:pStyle w:val="BodyText"/>
      </w:pPr>
      <w:r>
        <w:t xml:space="preserve">The heat flow supplies a new kind of rigidity question: how zero configurations evolve under the deformation. Lehmer pairs and near-collisions of zeros constrain how negative</w:t>
      </w:r>
      <w:r>
        <w:t xml:space="preserve"> </w:t>
      </w:r>
      <m:oMath>
        <m:r>
          <m:t>Λ</m:t>
        </m:r>
      </m:oMath>
      <w:r>
        <w:t xml:space="preserve"> </w:t>
      </w:r>
      <w:r>
        <w:t xml:space="preserve">could have been, while the Rodgers-Tao theorem proves that the constant cannot be negative at all.</w:t>
      </w:r>
    </w:p>
    <w:bookmarkEnd w:id="101"/>
    <w:bookmarkStart w:id="102" w:name="what-would-constitute-progress-here"/>
    <w:p>
      <w:pPr>
        <w:pStyle w:val="Heading3"/>
      </w:pPr>
      <w:r>
        <w:t xml:space="preserve">17.6.3 What would constitute progress here</w:t>
      </w:r>
    </w:p>
    <w:p>
      <w:pPr>
        <w:pStyle w:val="FirstParagraph"/>
      </w:pPr>
      <w:r>
        <w:t xml:space="preserve">There are two directions:</w:t>
      </w:r>
    </w:p>
    <w:p>
      <w:pPr>
        <w:pStyle w:val="Compact"/>
        <w:numPr>
          <w:ilvl w:val="0"/>
          <w:numId w:val="1009"/>
        </w:numPr>
      </w:pPr>
      <w:r>
        <w:t xml:space="preserve">lower bounds for</w:t>
      </w:r>
      <w:r>
        <w:t xml:space="preserve"> </w:t>
      </w:r>
      <m:oMath>
        <m:r>
          <m:t>Λ</m:t>
        </m:r>
      </m:oMath>
      <w:r>
        <w:t xml:space="preserve">, now closed at the strongest possible unconditional lower bound</w:t>
      </w:r>
      <w:r>
        <w:t xml:space="preserve"> </w:t>
      </w:r>
      <m:oMath>
        <m:r>
          <m:t>0</m:t>
        </m:r>
      </m:oMath>
      <w:r>
        <w:t xml:space="preserve">;</w:t>
      </w:r>
    </w:p>
    <w:p>
      <w:pPr>
        <w:pStyle w:val="Compact"/>
        <w:numPr>
          <w:ilvl w:val="0"/>
          <w:numId w:val="1009"/>
        </w:numPr>
      </w:pPr>
      <w:r>
        <w:t xml:space="preserve">upper bounds pushing</w:t>
      </w:r>
      <w:r>
        <w:t xml:space="preserve"> </w:t>
      </w:r>
      <m:oMath>
        <m:r>
          <m:t>Λ</m:t>
        </m:r>
      </m:oMath>
      <w:r>
        <w:t xml:space="preserve"> </w:t>
      </w:r>
      <w:r>
        <w:t xml:space="preserve">toward</w:t>
      </w:r>
      <w:r>
        <w:t xml:space="preserve"> </w:t>
      </w:r>
      <m:oMath>
        <m:r>
          <m:t>0</m:t>
        </m:r>
      </m:oMath>
      <w:r>
        <w:t xml:space="preserve">.</w:t>
      </w:r>
    </w:p>
    <w:p>
      <w:pPr>
        <w:pStyle w:val="FirstParagraph"/>
      </w:pPr>
      <w:r>
        <w:t xml:space="preserve">After [55], only the second direction can settle RH. A proof of any positive upper bound is not enough; the endpoint has to reach exactly zero.</w:t>
      </w:r>
    </w:p>
    <w:bookmarkEnd w:id="102"/>
    <w:bookmarkEnd w:id="103"/>
    <w:bookmarkStart w:id="107" w:name="finite-field-rh-frobenius-and-purity"/>
    <w:p>
      <w:pPr>
        <w:pStyle w:val="Heading2"/>
      </w:pPr>
      <w:r>
        <w:t xml:space="preserve">17.7 Finite-field RH, Frobenius, and purity</w:t>
      </w:r>
    </w:p>
    <w:bookmarkStart w:id="104" w:name="the-zeta-function-of-a-variety"/>
    <w:p>
      <w:pPr>
        <w:pStyle w:val="Heading3"/>
      </w:pPr>
      <w:r>
        <w:t xml:space="preserve">17.7.1 The zeta function of a variety</w:t>
      </w:r>
    </w:p>
    <w:p>
      <w:pPr>
        <w:pStyle w:val="FirstParagraph"/>
      </w:pPr>
      <w:r>
        <w:t xml:space="preserve">For a variety</w:t>
      </w:r>
      <w:r>
        <w:t xml:space="preserve"> </w:t>
      </w:r>
      <m:oMath>
        <m:r>
          <m:t>X</m:t>
        </m:r>
      </m:oMath>
      <w:r>
        <w:t xml:space="preserve"> </w:t>
      </w:r>
      <w:r>
        <w:t xml:space="preserve">over</w:t>
      </w:r>
      <w:r>
        <w:t xml:space="preserve"> </w:t>
      </w:r>
      <m:oMath>
        <m:sSub>
          <m:e>
            <m:r>
              <m:rPr>
                <m:sty m:val="b"/>
              </m:rPr>
              <m:t>F</m:t>
            </m:r>
          </m:e>
          <m:sub>
            <m:r>
              <m:t>q</m:t>
            </m:r>
          </m:sub>
        </m:sSub>
      </m:oMath>
      <w:r>
        <w:t xml:space="preserve">, define</w:t>
      </w:r>
    </w:p>
    <w:p>
      <w:pPr>
        <w:pStyle w:val="BodyText"/>
      </w:pPr>
      <m:oMathPara>
        <m:oMathParaPr>
          <m:jc m:val="center"/>
        </m:oMathParaPr>
        <m:oMath>
          <m:r>
            <m:t>Z</m:t>
          </m:r>
          <m:d>
            <m:dPr>
              <m:begChr m:val="("/>
              <m:endChr m:val=")"/>
              <m:sepChr m:val=""/>
              <m:grow/>
            </m:dPr>
            <m:e>
              <m:r>
                <m:t>X</m:t>
              </m:r>
              <m:r>
                <m:rPr>
                  <m:sty m:val="p"/>
                </m:rPr>
                <m:t>,</m:t>
              </m:r>
              <m:r>
                <m:t>t</m:t>
              </m:r>
            </m:e>
          </m:d>
          <m:r>
            <m:rPr>
              <m:sty m:val="p"/>
            </m:rPr>
            <m:t>=</m:t>
          </m:r>
          <m:r>
            <m:rPr>
              <m:sty m:val="p"/>
            </m:rPr>
            <m:t>exp</m:t>
          </m:r>
          <m:d>
            <m:dPr>
              <m:begChr m:val="("/>
              <m:endChr m:val=")"/>
              <m:sepChr m:val=""/>
              <m:grow/>
            </m:dPr>
            <m:e>
              <m:nary>
                <m:naryPr>
                  <m:chr m:val="∑"/>
                  <m:limLoc m:val="undOvr"/>
                  <m:subHide m:val="off"/>
                  <m:supHide m:val="on"/>
                </m:naryPr>
                <m:sub>
                  <m:r>
                    <m:t>n</m:t>
                  </m:r>
                  <m:r>
                    <m:rPr>
                      <m:sty m:val="p"/>
                    </m:rPr>
                    <m:t>≥</m:t>
                  </m:r>
                  <m:r>
                    <m:t>1</m:t>
                  </m:r>
                </m:sub>
                <m:sup>
                  <m:r>
                    <m:t>​</m:t>
                  </m:r>
                </m:sup>
                <m:e>
                  <m:f>
                    <m:fPr>
                      <m:type m:val="bar"/>
                    </m:fPr>
                    <m:num>
                      <m:d>
                        <m:dPr>
                          <m:begChr m:val="|"/>
                          <m:endChr m:val="|"/>
                          <m:sepChr m:val=""/>
                          <m:grow/>
                        </m:dPr>
                        <m:e>
                          <m:r>
                            <m:t>X</m:t>
                          </m:r>
                          <m:d>
                            <m:dPr>
                              <m:begChr m:val="("/>
                              <m:endChr m:val=")"/>
                              <m:sepChr m:val=""/>
                              <m:grow/>
                            </m:dPr>
                            <m:e>
                              <m:sSub>
                                <m:e>
                                  <m:r>
                                    <m:rPr>
                                      <m:sty m:val="b"/>
                                    </m:rPr>
                                    <m:t>F</m:t>
                                  </m:r>
                                </m:e>
                                <m:sub>
                                  <m:sSup>
                                    <m:e>
                                      <m:r>
                                        <m:t>q</m:t>
                                      </m:r>
                                    </m:e>
                                    <m:sup>
                                      <m:r>
                                        <m:t>n</m:t>
                                      </m:r>
                                    </m:sup>
                                  </m:sSup>
                                </m:sub>
                              </m:sSub>
                            </m:e>
                          </m:d>
                        </m:e>
                      </m:d>
                    </m:num>
                    <m:den>
                      <m:r>
                        <m:t>n</m:t>
                      </m:r>
                    </m:den>
                  </m:f>
                </m:e>
              </m:nary>
              <m:sSup>
                <m:e>
                  <m:r>
                    <m:t>t</m:t>
                  </m:r>
                </m:e>
                <m:sup>
                  <m:r>
                    <m:t>n</m:t>
                  </m:r>
                </m:sup>
              </m:sSup>
            </m:e>
          </m:d>
          <m:r>
            <m:rPr>
              <m:sty m:val="p"/>
            </m:rPr>
            <m:t>.</m:t>
          </m:r>
        </m:oMath>
      </m:oMathPara>
    </w:p>
    <w:p>
      <w:pPr>
        <w:pStyle w:val="FirstParagraph"/>
      </w:pPr>
      <w:r>
        <w:t xml:space="preserve">Weil’s conjectures predict that this rational function factors according to cohomological degree. The reciprocal roots and poles are eigenvalues of Frobenius acting on cohomology.</w:t>
      </w:r>
    </w:p>
    <w:bookmarkEnd w:id="104"/>
    <w:bookmarkStart w:id="105" w:name="Xe0def9ed2533ee1725db8e4fcec84d698677e25"/>
    <w:p>
      <w:pPr>
        <w:pStyle w:val="Heading3"/>
      </w:pPr>
      <w:r>
        <w:t xml:space="preserve">17.7.2 Purity as the analogue of critical-line location</w:t>
      </w:r>
    </w:p>
    <w:p>
      <w:pPr>
        <w:pStyle w:val="FirstParagraph"/>
      </w:pPr>
      <w:r>
        <w:t xml:space="preserve">For a smooth projective variety, Deligne’s theorem [18] gives the required weights: Frobenius eigenvalues in cohomological degree</w:t>
      </w:r>
      <w:r>
        <w:t xml:space="preserve"> </w:t>
      </w:r>
      <m:oMath>
        <m:r>
          <m:t>i</m:t>
        </m:r>
      </m:oMath>
      <w:r>
        <w:t xml:space="preserve"> </w:t>
      </w:r>
      <w:r>
        <w:t xml:space="preserve">have complex absolute value</w:t>
      </w:r>
    </w:p>
    <w:p>
      <w:pPr>
        <w:pStyle w:val="BodyText"/>
      </w:pPr>
      <m:oMathPara>
        <m:oMathParaPr>
          <m:jc m:val="center"/>
        </m:oMathParaPr>
        <m:oMath>
          <m:d>
            <m:dPr>
              <m:begChr m:val="|"/>
              <m:endChr m:val="|"/>
              <m:sepChr m:val=""/>
              <m:grow/>
            </m:dPr>
            <m:e>
              <m:r>
                <m:t>α</m:t>
              </m:r>
            </m:e>
          </m:d>
          <m:r>
            <m:rPr>
              <m:sty m:val="p"/>
            </m:rPr>
            <m:t>=</m:t>
          </m:r>
          <m:sSup>
            <m:e>
              <m:r>
                <m:t>q</m:t>
              </m:r>
            </m:e>
            <m:sup>
              <m:r>
                <m:t>i</m:t>
              </m:r>
              <m:r>
                <m:rPr>
                  <m:sty m:val="p"/>
                </m:rPr>
                <m:t>/</m:t>
              </m:r>
              <m:r>
                <m:t>2</m:t>
              </m:r>
            </m:sup>
          </m:sSup>
          <m:r>
            <m:rPr>
              <m:sty m:val="p"/>
            </m:rPr>
            <m:t>.</m:t>
          </m:r>
        </m:oMath>
      </m:oMathPara>
    </w:p>
    <w:p>
      <w:pPr>
        <w:pStyle w:val="FirstParagraph"/>
      </w:pPr>
      <w:r>
        <w:t xml:space="preserve">That absolute-value statement is the finite-field analogue of putting zeta zeros on a symmetry line. It is not proved by estimating zeros one by one. It comes from a geometric structure that forces the spectrum to have the right size.</w:t>
      </w:r>
    </w:p>
    <w:bookmarkEnd w:id="105"/>
    <w:bookmarkStart w:id="106" w:name="X1d2abb2252d9f6b3bde999fddcf7ff190fb42d0"/>
    <w:p>
      <w:pPr>
        <w:pStyle w:val="Heading3"/>
      </w:pPr>
      <w:r>
        <w:t xml:space="preserve">17.7.3 Why this remains the strongest structural precedent</w:t>
      </w:r>
    </w:p>
    <w:p>
      <w:pPr>
        <w:pStyle w:val="FirstParagraph"/>
      </w:pPr>
      <w:r>
        <w:t xml:space="preserve">The classical Riemann zeta function does not come with an accepted cohomology theory and Frobenius operator whose spectrum is the zero set. Deninger [29], Connes [34,70], Connes-Consani [48], and other programs can be read as attempts to identify a replacement for this missing geometry.</w:t>
      </w:r>
    </w:p>
    <w:p>
      <w:pPr>
        <w:pStyle w:val="BodyText"/>
      </w:pPr>
      <w:r>
        <w:t xml:space="preserve">The map arrow</w:t>
      </w:r>
    </w:p>
    <w:p>
      <w:pPr>
        <w:pStyle w:val="BodyText"/>
      </w:pPr>
      <m:oMathPara>
        <m:oMathParaPr>
          <m:jc m:val="center"/>
        </m:oMathParaPr>
        <m:oMath>
          <m:r>
            <m:rPr>
              <m:nor/>
              <m:sty m:val="p"/>
            </m:rPr>
            <m:t>Deligne finite-field RH</m:t>
          </m:r>
          <m:r>
            <m:rPr>
              <m:sty m:val="p"/>
            </m:rPr>
            <m:t>⇢</m:t>
          </m:r>
          <m:r>
            <m:rPr>
              <m:nor/>
              <m:sty m:val="p"/>
            </m:rPr>
            <m:t>classical RH</m:t>
          </m:r>
        </m:oMath>
      </m:oMathPara>
    </w:p>
    <w:p>
      <w:pPr>
        <w:pStyle w:val="FirstParagraph"/>
      </w:pPr>
      <w:r>
        <w:t xml:space="preserve">is therefore an analogy arrow, not a theorem arrow. The analogy is powerful precisely because it shows what a successful structural proof can look like when the right geometric object exists.</w:t>
      </w:r>
    </w:p>
    <w:bookmarkEnd w:id="106"/>
    <w:bookmarkEnd w:id="107"/>
    <w:bookmarkStart w:id="112" w:name="X81d7da2398974f9d894eadce80da3aef673b69f"/>
    <w:p>
      <w:pPr>
        <w:pStyle w:val="Heading2"/>
      </w:pPr>
      <w:r>
        <w:t xml:space="preserve">17.8 Hilbert-Pólya, Weyl laws, and random matrices</w:t>
      </w:r>
    </w:p>
    <w:bookmarkStart w:id="108" w:name="the-spectral-dream"/>
    <w:p>
      <w:pPr>
        <w:pStyle w:val="Heading3"/>
      </w:pPr>
      <w:r>
        <w:t xml:space="preserve">17.8.1 The spectral dream</w:t>
      </w:r>
    </w:p>
    <w:p>
      <w:pPr>
        <w:pStyle w:val="FirstParagraph"/>
      </w:pPr>
      <w:r>
        <w:t xml:space="preserve">Suppose there were a self-adjoint operator</w:t>
      </w:r>
      <w:r>
        <w:t xml:space="preserve"> </w:t>
      </w:r>
      <m:oMath>
        <m:r>
          <m:t>H</m:t>
        </m:r>
      </m:oMath>
      <w:r>
        <w:t xml:space="preserve"> </w:t>
      </w:r>
      <w:r>
        <w:t xml:space="preserve">with spectrum</w:t>
      </w:r>
    </w:p>
    <w:p>
      <w:pPr>
        <w:pStyle w:val="BodyText"/>
      </w:pPr>
      <m:oMathPara>
        <m:oMathParaPr>
          <m:jc m:val="center"/>
        </m:oMathParaPr>
        <m:oMath>
          <m:r>
            <m:rPr>
              <m:sty m:val="p"/>
            </m:rPr>
            <m:t>Spec</m:t>
          </m:r>
          <m:d>
            <m:dPr>
              <m:begChr m:val="("/>
              <m:endChr m:val=")"/>
              <m:sepChr m:val=""/>
              <m:grow/>
            </m:dPr>
            <m:e>
              <m:r>
                <m:t>H</m:t>
              </m:r>
            </m:e>
          </m:d>
          <m:r>
            <m:rPr>
              <m:sty m:val="p"/>
            </m:rPr>
            <m:t>=</m:t>
          </m:r>
          <m:r>
            <m:rPr>
              <m:sty m:val="p"/>
            </m:rPr>
            <m:t>{</m:t>
          </m:r>
          <m:r>
            <m:t>γ</m:t>
          </m:r>
          <m:r>
            <m:rPr>
              <m:sty m:val="p"/>
            </m:rPr>
            <m:t>:</m:t>
          </m:r>
          <m:r>
            <m:t>ζ</m:t>
          </m:r>
          <m:d>
            <m:dPr>
              <m:begChr m:val="("/>
              <m:endChr m:val=")"/>
              <m:sepChr m:val=""/>
              <m:grow/>
            </m:dPr>
            <m:e>
              <m:r>
                <m:t>1</m:t>
              </m:r>
              <m:r>
                <m:rPr>
                  <m:sty m:val="p"/>
                </m:rPr>
                <m:t>/</m:t>
              </m:r>
              <m:r>
                <m:t>2</m:t>
              </m:r>
              <m:r>
                <m:rPr>
                  <m:sty m:val="p"/>
                </m:rPr>
                <m:t>+</m:t>
              </m:r>
              <m:r>
                <m:t>i</m:t>
              </m:r>
              <m:r>
                <m:t>γ</m:t>
              </m:r>
            </m:e>
          </m:d>
          <m:r>
            <m:rPr>
              <m:sty m:val="p"/>
            </m:rPr>
            <m:t>=</m:t>
          </m:r>
          <m:r>
            <m:t>0</m:t>
          </m:r>
          <m:r>
            <m:rPr>
              <m:sty m:val="p"/>
            </m:rPr>
            <m:t>}</m:t>
          </m:r>
          <m:r>
            <m:rPr>
              <m:sty m:val="p"/>
            </m:rPr>
            <m:t>,</m:t>
          </m:r>
        </m:oMath>
      </m:oMathPara>
    </w:p>
    <w:p>
      <w:pPr>
        <w:pStyle w:val="FirstParagraph"/>
      </w:pPr>
      <w:r>
        <w:t xml:space="preserve">including the correct multiplicities, and suppose the construction did not assume RH. Self-adjointness would force the spectral parameters</w:t>
      </w:r>
      <w:r>
        <w:t xml:space="preserve"> </w:t>
      </w:r>
      <m:oMath>
        <m:r>
          <m:t>γ</m:t>
        </m:r>
      </m:oMath>
      <w:r>
        <w:t xml:space="preserve"> </w:t>
      </w:r>
      <w:r>
        <w:t xml:space="preserve">to be real, which is the desired geometry after the functional-equation symmetry has been incorporated correctly.</w:t>
      </w:r>
    </w:p>
    <w:p>
      <w:pPr>
        <w:pStyle w:val="BodyText"/>
      </w:pPr>
      <w:r>
        <w:t xml:space="preserve">But several obligations have to close:</w:t>
      </w:r>
    </w:p>
    <w:p>
      <w:pPr>
        <w:pStyle w:val="Compact"/>
        <w:numPr>
          <w:ilvl w:val="0"/>
          <w:numId w:val="1010"/>
        </w:numPr>
      </w:pPr>
      <w:r>
        <w:t xml:space="preserve">define the operator on a genuine Hilbert space;</w:t>
      </w:r>
    </w:p>
    <w:p>
      <w:pPr>
        <w:pStyle w:val="Compact"/>
        <w:numPr>
          <w:ilvl w:val="0"/>
          <w:numId w:val="1010"/>
        </w:numPr>
      </w:pPr>
      <w:r>
        <w:t xml:space="preserve">specify a dense domain;</w:t>
      </w:r>
    </w:p>
    <w:p>
      <w:pPr>
        <w:pStyle w:val="Compact"/>
        <w:numPr>
          <w:ilvl w:val="0"/>
          <w:numId w:val="1010"/>
        </w:numPr>
      </w:pPr>
      <w:r>
        <w:t xml:space="preserve">prove self-adjointness, not merely formal symmetry;</w:t>
      </w:r>
    </w:p>
    <w:p>
      <w:pPr>
        <w:pStyle w:val="Compact"/>
        <w:numPr>
          <w:ilvl w:val="0"/>
          <w:numId w:val="1010"/>
        </w:numPr>
      </w:pPr>
      <w:r>
        <w:t xml:space="preserve">prove the exact spectral correspondence;</w:t>
      </w:r>
    </w:p>
    <w:p>
      <w:pPr>
        <w:pStyle w:val="Compact"/>
        <w:numPr>
          <w:ilvl w:val="0"/>
          <w:numId w:val="1010"/>
        </w:numPr>
      </w:pPr>
      <w:r>
        <w:t xml:space="preserve">account for multiplicities and missing/extra spectrum;</w:t>
      </w:r>
    </w:p>
    <w:p>
      <w:pPr>
        <w:pStyle w:val="Compact"/>
        <w:numPr>
          <w:ilvl w:val="0"/>
          <w:numId w:val="1010"/>
        </w:numPr>
      </w:pPr>
      <w:r>
        <w:t xml:space="preserve">avoid importing the zero locations into the definition circularly.</w:t>
      </w:r>
    </w:p>
    <w:p>
      <w:pPr>
        <w:pStyle w:val="FirstParagraph"/>
      </w:pPr>
      <w:r>
        <w:t xml:space="preserve">A proposed Hamiltonian that fails any one of these is not yet a Hilbert-Pólya proof.</w:t>
      </w:r>
    </w:p>
    <w:bookmarkEnd w:id="108"/>
    <w:bookmarkStart w:id="109" w:name="X918e5a35a147bea2c67359c71c55c3cce3f7459"/>
    <w:p>
      <w:pPr>
        <w:pStyle w:val="Heading3"/>
      </w:pPr>
      <w:r>
        <w:t xml:space="preserve">17.8.2 The Riemann-von Mangoldt counting law as a Weyl-law target</w:t>
      </w:r>
    </w:p>
    <w:p>
      <w:pPr>
        <w:pStyle w:val="FirstParagraph"/>
      </w:pPr>
      <w:r>
        <w:t xml:space="preserve">The zero counting function satisfies</w:t>
      </w:r>
    </w:p>
    <w:p>
      <w:pPr>
        <w:pStyle w:val="BodyText"/>
      </w:pPr>
      <m:oMathPara>
        <m:oMathParaPr>
          <m:jc m:val="center"/>
        </m:oMathParaPr>
        <m:oMath>
          <m:r>
            <m:t>N</m:t>
          </m:r>
          <m:d>
            <m:dPr>
              <m:begChr m:val="("/>
              <m:endChr m:val=")"/>
              <m:sepChr m:val=""/>
              <m:grow/>
            </m:dPr>
            <m:e>
              <m:r>
                <m:t>T</m:t>
              </m:r>
            </m:e>
          </m:d>
          <m:r>
            <m:rPr>
              <m:sty m:val="p"/>
            </m:rPr>
            <m:t>=</m:t>
          </m:r>
          <m:f>
            <m:fPr>
              <m:type m:val="bar"/>
            </m:fPr>
            <m:num>
              <m:r>
                <m:t>T</m:t>
              </m:r>
            </m:num>
            <m:den>
              <m:r>
                <m:t>2</m:t>
              </m:r>
              <m:r>
                <m:t>π</m:t>
              </m:r>
            </m:den>
          </m:f>
          <m:r>
            <m:rPr>
              <m:sty m:val="p"/>
            </m:rPr>
            <m:t>log</m:t>
          </m:r>
          <m:f>
            <m:fPr>
              <m:type m:val="bar"/>
            </m:fPr>
            <m:num>
              <m:r>
                <m:t>T</m:t>
              </m:r>
            </m:num>
            <m:den>
              <m:r>
                <m:t>2</m:t>
              </m:r>
              <m:r>
                <m:t>π</m:t>
              </m:r>
            </m:den>
          </m:f>
          <m:r>
            <m:rPr>
              <m:sty m:val="p"/>
            </m:rPr>
            <m:t>−</m:t>
          </m:r>
          <m:f>
            <m:fPr>
              <m:type m:val="bar"/>
            </m:fPr>
            <m:num>
              <m:r>
                <m:t>T</m:t>
              </m:r>
            </m:num>
            <m:den>
              <m:r>
                <m:t>2</m:t>
              </m:r>
              <m:r>
                <m:t>π</m:t>
              </m:r>
            </m:den>
          </m:f>
          <m:r>
            <m:rPr>
              <m:sty m:val="p"/>
            </m:rPr>
            <m:t>+</m:t>
          </m:r>
          <m:r>
            <m:t>O</m:t>
          </m:r>
          <m:d>
            <m:dPr>
              <m:begChr m:val="("/>
              <m:endChr m:val=")"/>
              <m:sepChr m:val=""/>
              <m:grow/>
            </m:dPr>
            <m:e>
              <m:r>
                <m:rPr>
                  <m:sty m:val="p"/>
                </m:rPr>
                <m:t>log</m:t>
              </m:r>
              <m:r>
                <m:t>T</m:t>
              </m:r>
            </m:e>
          </m:d>
          <m:r>
            <m:rPr>
              <m:sty m:val="p"/>
            </m:rPr>
            <m:t>.</m:t>
          </m:r>
        </m:oMath>
      </m:oMathPara>
    </w:p>
    <w:p>
      <w:pPr>
        <w:pStyle w:val="FirstParagraph"/>
      </w:pPr>
      <w:r>
        <w:t xml:space="preserve">In quantum mechanics and spectral geometry, eigenvalue counts often obey a Weyl law determined by phase-space volume. Berry-Keating [33] investigate a semiclassical</w:t>
      </w:r>
      <w:r>
        <w:t xml:space="preserve"> </w:t>
      </w:r>
      <m:oMath>
        <m:r>
          <m:t>x</m:t>
        </m:r>
        <m:r>
          <m:t>p</m:t>
        </m:r>
      </m:oMath>
      <w:r>
        <w:t xml:space="preserve"> </w:t>
      </w:r>
      <w:r>
        <w:t xml:space="preserve">Hamiltonian because its phase-space counting can reproduce the leading shape of the Riemann-von Mangoldt law after a suitable regularization.</w:t>
      </w:r>
    </w:p>
    <w:p>
      <w:pPr>
        <w:pStyle w:val="BodyText"/>
      </w:pPr>
      <w:r>
        <w:t xml:space="preserve">Matching the counting law is evidence that a model has the right macroscopic density. It is nowhere near enough to establish exact eigenvalue equality.</w:t>
      </w:r>
    </w:p>
    <w:bookmarkEnd w:id="109"/>
    <w:bookmarkStart w:id="110" w:name="X8dbae0b47772db3df7ea3c09d56493282924b0c"/>
    <w:p>
      <w:pPr>
        <w:pStyle w:val="Heading3"/>
      </w:pPr>
      <w:r>
        <w:t xml:space="preserve">17.8.3 GUE statistics as a second spectral fingerprint</w:t>
      </w:r>
    </w:p>
    <w:p>
      <w:pPr>
        <w:pStyle w:val="FirstParagraph"/>
      </w:pPr>
      <w:r>
        <w:t xml:space="preserve">Montgomery’s pair-correlation conjecture [16] and Odlyzko’s computations [27] point toward the local eigenvalue statistics of the Gaussian Unitary Ensemble. Keating-Snaith [38] extend the random-matrix dictionary to moments and value distributions of</w:t>
      </w:r>
      <w:r>
        <w:t xml:space="preserve"> </w:t>
      </w:r>
      <m:oMath>
        <m:r>
          <m:t>ζ</m:t>
        </m:r>
      </m:oMath>
      <w:r>
        <w:t xml:space="preserve">.</w:t>
      </w:r>
    </w:p>
    <w:p>
      <w:pPr>
        <w:pStyle w:val="BodyText"/>
      </w:pPr>
      <w:r>
        <w:t xml:space="preserve">The network therefore contains two different spectral fingerprints:</w:t>
      </w:r>
    </w:p>
    <w:p>
      <w:pPr>
        <w:pStyle w:val="BodyText"/>
      </w:pPr>
      <m:oMathPara>
        <m:oMathParaPr>
          <m:jc m:val="center"/>
        </m:oMathParaPr>
        <m:oMath>
          <m:r>
            <m:rPr>
              <m:nor/>
              <m:sty m:val="p"/>
            </m:rPr>
            <m:t>macroscopic count: Riemann-von Mangoldt</m:t>
          </m:r>
        </m:oMath>
      </m:oMathPara>
    </w:p>
    <w:p>
      <w:pPr>
        <w:pStyle w:val="FirstParagraph"/>
      </w:pPr>
      <w:r>
        <w:t xml:space="preserve">and</w:t>
      </w:r>
    </w:p>
    <w:p>
      <w:pPr>
        <w:pStyle w:val="BodyText"/>
      </w:pPr>
      <m:oMathPara>
        <m:oMathParaPr>
          <m:jc m:val="center"/>
        </m:oMathParaPr>
        <m:oMath>
          <m:r>
            <m:rPr>
              <m:nor/>
              <m:sty m:val="p"/>
            </m:rPr>
            <m:t>microscopic spacings: GUE-type statistics</m:t>
          </m:r>
          <m:r>
            <m:rPr>
              <m:sty m:val="p"/>
            </m:rPr>
            <m:t>.</m:t>
          </m:r>
        </m:oMath>
      </m:oMathPara>
    </w:p>
    <w:p>
      <w:pPr>
        <w:pStyle w:val="FirstParagraph"/>
      </w:pPr>
      <w:r>
        <w:t xml:space="preserve">A credible spectral model would ideally explain both, not merely one.</w:t>
      </w:r>
    </w:p>
    <w:bookmarkEnd w:id="110"/>
    <w:bookmarkStart w:id="111" w:name="X3a5f9471844467841c32a022c9ba41a03c663a0"/>
    <w:p>
      <w:pPr>
        <w:pStyle w:val="Heading3"/>
      </w:pPr>
      <w:r>
        <w:t xml:space="preserve">17.8.4 Random matrices predict; they do not locate every zero</w:t>
      </w:r>
    </w:p>
    <w:p>
      <w:pPr>
        <w:pStyle w:val="FirstParagraph"/>
      </w:pPr>
      <w:r>
        <w:t xml:space="preserve">RMT has extraordinary predictive power for moments, extremes, and local statistics. But a probability law can be satisfied asymptotically while exceptional deterministic events remain. Thus GUE evidence is naturally connected to density/statistical nodes, not directly to the universal pointwise statement RH.</w:t>
      </w:r>
    </w:p>
    <w:bookmarkEnd w:id="111"/>
    <w:bookmarkEnd w:id="112"/>
    <w:bookmarkStart w:id="120" w:name="X11ef2276fa1b9d6e3432c84dbd69b6d2ae3977f"/>
    <w:p>
      <w:pPr>
        <w:pStyle w:val="Heading2"/>
      </w:pPr>
      <w:r>
        <w:t xml:space="preserve">17.9 A consumer matrix: what each object can feed</w:t>
      </w:r>
    </w:p>
    <w:p>
      <w:pPr>
        <w:pStyle w:val="FirstParagraph"/>
      </w:pPr>
      <w:r>
        <w:t xml:space="preserve">The easiest way to traverse the map is to ask what a theorem outputs and who accepts that type of output.</w:t>
      </w:r>
    </w:p>
    <w:bookmarkStart w:id="113" w:name="zero-density-exponent-asigma"/>
    <w:p>
      <w:pPr>
        <w:pStyle w:val="Heading3"/>
      </w:pPr>
      <w:r>
        <w:t xml:space="preserve">Zero-density exponent</w:t>
      </w:r>
      <w:r>
        <w:t xml:space="preserve"> </w:t>
      </w:r>
      <m:oMath>
        <m:r>
          <m:t>A</m:t>
        </m:r>
        <m:d>
          <m:dPr>
            <m:begChr m:val="("/>
            <m:endChr m:val=")"/>
            <m:sepChr m:val=""/>
            <m:grow/>
          </m:dPr>
          <m:e>
            <m:r>
              <m:t>σ</m:t>
            </m:r>
          </m:e>
        </m:d>
      </m:oMath>
    </w:p>
    <w:p>
      <w:pPr>
        <w:pStyle w:val="FirstParagraph"/>
      </w:pPr>
      <w:r>
        <w:t xml:space="preserve">Typical consumers:</w:t>
      </w:r>
    </w:p>
    <w:p>
      <w:pPr>
        <w:pStyle w:val="Compact"/>
        <w:numPr>
          <w:ilvl w:val="0"/>
          <w:numId w:val="1011"/>
        </w:numPr>
      </w:pPr>
      <w:r>
        <w:t xml:space="preserve">exceptional-set bounds for primes in short intervals [36,74];</w:t>
      </w:r>
    </w:p>
    <w:p>
      <w:pPr>
        <w:pStyle w:val="Compact"/>
        <w:numPr>
          <w:ilvl w:val="0"/>
          <w:numId w:val="1011"/>
        </w:numPr>
      </w:pPr>
      <w:r>
        <w:t xml:space="preserve">zero-detection bootstraps;</w:t>
      </w:r>
    </w:p>
    <w:p>
      <w:pPr>
        <w:pStyle w:val="Compact"/>
        <w:numPr>
          <w:ilvl w:val="0"/>
          <w:numId w:val="1011"/>
        </w:numPr>
      </w:pPr>
      <w:r>
        <w:t xml:space="preserve">quantitative statements that far-off-line zeros have small density;</w:t>
      </w:r>
    </w:p>
    <w:p>
      <w:pPr>
        <w:pStyle w:val="Compact"/>
        <w:numPr>
          <w:ilvl w:val="0"/>
          <w:numId w:val="1011"/>
        </w:numPr>
      </w:pPr>
      <w:r>
        <w:t xml:space="preserve">optimizers that explicitly accept a zero-density profile.</w:t>
      </w:r>
    </w:p>
    <w:p>
      <w:pPr>
        <w:pStyle w:val="FirstParagraph"/>
      </w:pPr>
      <w:r>
        <w:t xml:space="preserve">Not automatic consumers:</w:t>
      </w:r>
    </w:p>
    <w:p>
      <w:pPr>
        <w:pStyle w:val="Compact"/>
        <w:numPr>
          <w:ilvl w:val="0"/>
          <w:numId w:val="1012"/>
        </w:numPr>
      </w:pPr>
      <w:r>
        <w:t xml:space="preserve">pair correlation;</w:t>
      </w:r>
    </w:p>
    <w:p>
      <w:pPr>
        <w:pStyle w:val="Compact"/>
        <w:numPr>
          <w:ilvl w:val="0"/>
          <w:numId w:val="1012"/>
        </w:numPr>
      </w:pPr>
      <w:r>
        <w:t xml:space="preserve">mollified second moments;</w:t>
      </w:r>
    </w:p>
    <w:p>
      <w:pPr>
        <w:pStyle w:val="Compact"/>
        <w:numPr>
          <w:ilvl w:val="0"/>
          <w:numId w:val="1012"/>
        </w:numPr>
      </w:pPr>
      <w:r>
        <w:t xml:space="preserve">Hilbert-Pólya operators.</w:t>
      </w:r>
    </w:p>
    <w:bookmarkEnd w:id="113"/>
    <w:bookmarkStart w:id="114" w:name="zero-additive-energy-asigma"/>
    <w:p>
      <w:pPr>
        <w:pStyle w:val="Heading3"/>
      </w:pPr>
      <w:r>
        <w:t xml:space="preserve">Zero additive energy</w:t>
      </w:r>
      <w:r>
        <w:t xml:space="preserve"> </w:t>
      </w:r>
      <m:oMath>
        <m:sSup>
          <m:e>
            <m:r>
              <m:t>A</m:t>
            </m:r>
          </m:e>
          <m:sup>
            <m:r>
              <m:rPr>
                <m:sty m:val="p"/>
              </m:rPr>
              <m:t>*</m:t>
            </m:r>
          </m:sup>
        </m:sSup>
        <m:d>
          <m:dPr>
            <m:begChr m:val="("/>
            <m:endChr m:val=")"/>
            <m:sepChr m:val=""/>
            <m:grow/>
          </m:dPr>
          <m:e>
            <m:r>
              <m:t>σ</m:t>
            </m:r>
          </m:e>
        </m:d>
      </m:oMath>
    </w:p>
    <w:p>
      <w:pPr>
        <w:pStyle w:val="FirstParagraph"/>
      </w:pPr>
      <w:r>
        <w:t xml:space="preserve">Typical consumers:</w:t>
      </w:r>
    </w:p>
    <w:p>
      <w:pPr>
        <w:pStyle w:val="Compact"/>
        <w:numPr>
          <w:ilvl w:val="0"/>
          <w:numId w:val="1013"/>
        </w:numPr>
      </w:pPr>
      <w:r>
        <w:t xml:space="preserve">fourth-moment bounds for localized zero sums;</w:t>
      </w:r>
    </w:p>
    <w:p>
      <w:pPr>
        <w:pStyle w:val="Compact"/>
        <w:numPr>
          <w:ilvl w:val="0"/>
          <w:numId w:val="1013"/>
        </w:numPr>
      </w:pPr>
      <w:r>
        <w:t xml:space="preserve">refined exceptional-set estimates [63,74];</w:t>
      </w:r>
    </w:p>
    <w:p>
      <w:pPr>
        <w:pStyle w:val="Compact"/>
        <w:numPr>
          <w:ilvl w:val="0"/>
          <w:numId w:val="1013"/>
        </w:numPr>
      </w:pPr>
      <w:r>
        <w:t xml:space="preserve">potentially other problems where additive relations among ordinates drive an</w:t>
      </w:r>
      <w:r>
        <w:t xml:space="preserve"> </w:t>
      </w:r>
      <m:oMath>
        <m:sSup>
          <m:e>
            <m:r>
              <m:t>L</m:t>
            </m:r>
          </m:e>
          <m:sup>
            <m:r>
              <m:t>4</m:t>
            </m:r>
          </m:sup>
        </m:sSup>
      </m:oMath>
      <w:r>
        <w:t xml:space="preserve"> </w:t>
      </w:r>
      <w:r>
        <w:t xml:space="preserve">norm.</w:t>
      </w:r>
    </w:p>
    <w:bookmarkEnd w:id="114"/>
    <w:bookmarkStart w:id="115" w:name="pair-correlation-transform"/>
    <w:p>
      <w:pPr>
        <w:pStyle w:val="Heading3"/>
      </w:pPr>
      <w:r>
        <w:t xml:space="preserve">Pair-correlation transform</w:t>
      </w:r>
    </w:p>
    <w:p>
      <w:pPr>
        <w:pStyle w:val="FirstParagraph"/>
      </w:pPr>
      <w:r>
        <w:t xml:space="preserve">Typical consumers:</w:t>
      </w:r>
    </w:p>
    <w:p>
      <w:pPr>
        <w:pStyle w:val="Compact"/>
        <w:numPr>
          <w:ilvl w:val="0"/>
          <w:numId w:val="1014"/>
        </w:numPr>
      </w:pPr>
      <w:r>
        <w:t xml:space="preserve">simple-zero and critical-zero proportions [64,65,72,76];</w:t>
      </w:r>
    </w:p>
    <w:p>
      <w:pPr>
        <w:pStyle w:val="Compact"/>
        <w:numPr>
          <w:ilvl w:val="0"/>
          <w:numId w:val="1014"/>
        </w:numPr>
      </w:pPr>
      <w:r>
        <w:t xml:space="preserve">variance of primes in short intervals through Goldston-Montgomery type equivalences [26,41];</w:t>
      </w:r>
    </w:p>
    <w:p>
      <w:pPr>
        <w:pStyle w:val="Compact"/>
        <w:numPr>
          <w:ilvl w:val="0"/>
          <w:numId w:val="1014"/>
        </w:numPr>
      </w:pPr>
      <w:r>
        <w:t xml:space="preserve">spectral finite-compression calculations.</w:t>
      </w:r>
    </w:p>
    <w:bookmarkEnd w:id="115"/>
    <w:bookmarkStart w:id="116" w:name="twisted-or-mollified-moments"/>
    <w:p>
      <w:pPr>
        <w:pStyle w:val="Heading3"/>
      </w:pPr>
      <w:r>
        <w:t xml:space="preserve">Twisted or mollified moments</w:t>
      </w:r>
    </w:p>
    <w:p>
      <w:pPr>
        <w:pStyle w:val="FirstParagraph"/>
      </w:pPr>
      <w:r>
        <w:t xml:space="preserve">Typical consumers:</w:t>
      </w:r>
    </w:p>
    <w:p>
      <w:pPr>
        <w:pStyle w:val="Compact"/>
        <w:numPr>
          <w:ilvl w:val="0"/>
          <w:numId w:val="1015"/>
        </w:numPr>
      </w:pPr>
      <w:r>
        <w:t xml:space="preserve">Levinson-Conrey critical-line proportion machinery [17,28,46,47,54,67];</w:t>
      </w:r>
    </w:p>
    <w:p>
      <w:pPr>
        <w:pStyle w:val="Compact"/>
        <w:numPr>
          <w:ilvl w:val="0"/>
          <w:numId w:val="1015"/>
        </w:numPr>
      </w:pPr>
      <w:r>
        <w:t xml:space="preserve">moment conjecture testing and random-matrix comparisons [38].</w:t>
      </w:r>
    </w:p>
    <w:bookmarkEnd w:id="116"/>
    <w:bookmarkStart w:id="117" w:name="weil-form-positivity"/>
    <w:p>
      <w:pPr>
        <w:pStyle w:val="Heading3"/>
      </w:pPr>
      <w:r>
        <w:t xml:space="preserve">Weil-form positivity</w:t>
      </w:r>
    </w:p>
    <w:p>
      <w:pPr>
        <w:pStyle w:val="FirstParagraph"/>
      </w:pPr>
      <w:r>
        <w:t xml:space="preserve">Consumer:</w:t>
      </w:r>
    </w:p>
    <w:p>
      <w:pPr>
        <w:pStyle w:val="Compact"/>
        <w:numPr>
          <w:ilvl w:val="0"/>
          <w:numId w:val="1016"/>
        </w:numPr>
      </w:pPr>
      <w:r>
        <w:t xml:space="preserve">RH itself, if positivity is proved on the full admissible class [13,39,43].</w:t>
      </w:r>
    </w:p>
    <w:p>
      <w:pPr>
        <w:pStyle w:val="FirstParagraph"/>
      </w:pPr>
      <w:r>
        <w:t xml:space="preserve">A finite-dimensional positive-rank estimate is instead consumed by proportion theorems such as [76].</w:t>
      </w:r>
    </w:p>
    <w:bookmarkEnd w:id="117"/>
    <w:bookmarkStart w:id="118" w:name="short-interval-prime-variance"/>
    <w:p>
      <w:pPr>
        <w:pStyle w:val="Heading3"/>
      </w:pPr>
      <w:r>
        <w:t xml:space="preserve">Short-interval prime variance</w:t>
      </w:r>
    </w:p>
    <w:p>
      <w:pPr>
        <w:pStyle w:val="FirstParagraph"/>
      </w:pPr>
      <w:r>
        <w:t xml:space="preserve">Typical consumer:</w:t>
      </w:r>
    </w:p>
    <w:p>
      <w:pPr>
        <w:pStyle w:val="Compact"/>
        <w:numPr>
          <w:ilvl w:val="0"/>
          <w:numId w:val="1017"/>
        </w:numPr>
      </w:pPr>
      <w:r>
        <w:t xml:space="preserve">pair-correlation information under the precise hypotheses of Goldston-Montgomery type equivalences [26,41].</w:t>
      </w:r>
    </w:p>
    <w:p>
      <w:pPr>
        <w:pStyle w:val="FirstParagraph"/>
      </w:pPr>
      <w:r>
        <w:t xml:space="preserve">This is stronger and more structured than merely bounding the measure of an exceptional set.</w:t>
      </w:r>
    </w:p>
    <w:bookmarkEnd w:id="118"/>
    <w:bookmarkStart w:id="119" w:name="exceptional-set-exponent-mutheta"/>
    <w:p>
      <w:pPr>
        <w:pStyle w:val="Heading3"/>
      </w:pPr>
      <w:r>
        <w:t xml:space="preserve">Exceptional-set exponent</w:t>
      </w:r>
      <w:r>
        <w:t xml:space="preserve"> </w:t>
      </w:r>
      <m:oMath>
        <m:r>
          <m:t>μ</m:t>
        </m:r>
        <m:d>
          <m:dPr>
            <m:begChr m:val="("/>
            <m:endChr m:val=")"/>
            <m:sepChr m:val=""/>
            <m:grow/>
          </m:dPr>
          <m:e>
            <m:r>
              <m:t>θ</m:t>
            </m:r>
          </m:e>
        </m:d>
      </m:oMath>
    </w:p>
    <w:p>
      <w:pPr>
        <w:pStyle w:val="FirstParagraph"/>
      </w:pPr>
      <w:r>
        <w:t xml:space="preserve">Typical consumers:</w:t>
      </w:r>
    </w:p>
    <w:p>
      <w:pPr>
        <w:pStyle w:val="Compact"/>
        <w:numPr>
          <w:ilvl w:val="0"/>
          <w:numId w:val="1018"/>
        </w:numPr>
      </w:pPr>
      <w:r>
        <w:t xml:space="preserve">arithmetic arguments needing primes in many or almost all short intervals;</w:t>
      </w:r>
    </w:p>
    <w:p>
      <w:pPr>
        <w:pStyle w:val="Compact"/>
        <w:numPr>
          <w:ilvl w:val="0"/>
          <w:numId w:val="1018"/>
        </w:numPr>
      </w:pPr>
      <w:r>
        <w:t xml:space="preserve">sieve and multiplicative constructions where a small bad set can be discarded;</w:t>
      </w:r>
    </w:p>
    <w:p>
      <w:pPr>
        <w:pStyle w:val="Compact"/>
        <w:numPr>
          <w:ilvl w:val="0"/>
          <w:numId w:val="1018"/>
        </w:numPr>
      </w:pPr>
      <w:r>
        <w:t xml:space="preserve">concrete downstream work such as Tao [73].</w:t>
      </w:r>
    </w:p>
    <w:p>
      <w:pPr>
        <w:pStyle w:val="FirstParagraph"/>
      </w:pPr>
      <w:r>
        <w:t xml:space="preserve">It does not automatically feed back to zero statistics.</w:t>
      </w:r>
    </w:p>
    <w:bookmarkEnd w:id="119"/>
    <w:bookmarkEnd w:id="120"/>
    <w:bookmarkStart w:id="126" w:name="routes-starting-at-guth-maynard-71"/>
    <w:p>
      <w:pPr>
        <w:pStyle w:val="Heading2"/>
      </w:pPr>
      <w:r>
        <w:t xml:space="preserve">17.10 Routes starting at Guth-Maynard [71]</w:t>
      </w:r>
    </w:p>
    <w:p>
      <w:pPr>
        <w:pStyle w:val="FirstParagraph"/>
      </w:pPr>
      <w:r>
        <w:t xml:space="preserve">Node [71] has several distinct outputs, so there is no single</w:t>
      </w:r>
      <w:r>
        <w:t xml:space="preserve"> </w:t>
      </w:r>
      <w:r>
        <w:t xml:space="preserve">“</w:t>
      </w:r>
      <w:r>
        <w:t xml:space="preserve">next paper</w:t>
      </w:r>
      <w:r>
        <w:t xml:space="preserve">”</w:t>
      </w:r>
      <w:r>
        <w:t xml:space="preserve">.</w:t>
      </w:r>
    </w:p>
    <w:bookmarkStart w:id="121" w:name="route-gm-a-large-values-to-zero-density"/>
    <w:p>
      <w:pPr>
        <w:pStyle w:val="Heading3"/>
      </w:pPr>
      <w:r>
        <w:t xml:space="preserve">Route GM-A: large values to zero density</w:t>
      </w:r>
    </w:p>
    <w:p>
      <w:pPr>
        <w:pStyle w:val="FirstParagraph"/>
      </w:pPr>
      <w:r>
        <w:t xml:space="preserve">This is the paper’s central analytic corridor:</w:t>
      </w:r>
    </w:p>
    <w:p>
      <w:pPr>
        <w:pStyle w:val="BodyText"/>
      </w:pPr>
      <m:oMathPara>
        <m:oMathParaPr>
          <m:jc m:val="center"/>
        </m:oMathParaPr>
        <m:oMath>
          <m:r>
            <m:rPr>
              <m:nor/>
              <m:sty m:val="p"/>
            </m:rPr>
            <m:t>large Dirichlet-polynomial values</m:t>
          </m:r>
          <m:r>
            <m:rPr>
              <m:sty m:val="p"/>
            </m:rPr>
            <m:t>→</m:t>
          </m:r>
          <m:r>
            <m:rPr>
              <m:nor/>
              <m:sty m:val="p"/>
            </m:rPr>
            <m:t>zero detection</m:t>
          </m:r>
          <m:r>
            <m:rPr>
              <m:sty m:val="p"/>
            </m:rPr>
            <m:t>→</m:t>
          </m:r>
          <m:r>
            <m:t>A</m:t>
          </m:r>
          <m:d>
            <m:dPr>
              <m:begChr m:val="("/>
              <m:endChr m:val=")"/>
              <m:sepChr m:val=""/>
              <m:grow/>
            </m:dPr>
            <m:e>
              <m:r>
                <m:t>σ</m:t>
              </m:r>
            </m:e>
          </m:d>
          <m:r>
            <m:rPr>
              <m:sty m:val="p"/>
            </m:rPr>
            <m:t>.</m:t>
          </m:r>
        </m:oMath>
      </m:oMathPara>
    </w:p>
    <w:p>
      <w:pPr>
        <w:pStyle w:val="FirstParagraph"/>
      </w:pPr>
      <w:r>
        <w:t xml:space="preserve">Downstream, one can combine the resulting profile with other classical bounds to form a best-known envelope.</w:t>
      </w:r>
    </w:p>
    <w:bookmarkEnd w:id="121"/>
    <w:bookmarkStart w:id="122" w:name="Xa11ef3089fa1dc559324d66d6b4b3742c97c42f"/>
    <w:p>
      <w:pPr>
        <w:pStyle w:val="Heading3"/>
      </w:pPr>
      <w:r>
        <w:t xml:space="preserve">Route GM-B: zero density to exceptional primes</w:t>
      </w:r>
    </w:p>
    <w:p>
      <w:pPr>
        <w:pStyle w:val="FirstParagraph"/>
      </w:pPr>
      <w:r>
        <w:t xml:space="preserve">This is the live Gafni-Tao corridor:</w:t>
      </w:r>
    </w:p>
    <w:p>
      <w:pPr>
        <w:pStyle w:val="BodyText"/>
      </w:pPr>
      <m:oMathPara>
        <m:oMathParaPr>
          <m:jc m:val="center"/>
        </m:oMathParaPr>
        <m:oMath>
          <m:r>
            <m:rPr>
              <m:nor/>
              <m:sty m:val="p"/>
            </m:rPr>
            <m:t>GM </m:t>
          </m:r>
          <m:r>
            <m:t>A</m:t>
          </m:r>
          <m:d>
            <m:dPr>
              <m:begChr m:val="("/>
              <m:endChr m:val=")"/>
              <m:sepChr m:val=""/>
              <m:grow/>
            </m:dPr>
            <m:e>
              <m:r>
                <m:t>σ</m:t>
              </m:r>
            </m:e>
          </m:d>
          <m:r>
            <m:rPr>
              <m:sty m:val="p"/>
            </m:rPr>
            <m:t>→</m:t>
          </m:r>
          <m:r>
            <m:rPr>
              <m:nor/>
              <m:sty m:val="p"/>
            </m:rPr>
            <m:t>Gafni-Tao transfer [74]</m:t>
          </m:r>
          <m:r>
            <m:rPr>
              <m:sty m:val="p"/>
            </m:rPr>
            <m:t>→</m:t>
          </m:r>
          <m:r>
            <m:t>μ</m:t>
          </m:r>
          <m:d>
            <m:dPr>
              <m:begChr m:val="("/>
              <m:endChr m:val=")"/>
              <m:sepChr m:val=""/>
              <m:grow/>
            </m:dPr>
            <m:e>
              <m:r>
                <m:t>θ</m:t>
              </m:r>
            </m:e>
          </m:d>
          <m:r>
            <m:rPr>
              <m:sty m:val="p"/>
            </m:rPr>
            <m:t>.</m:t>
          </m:r>
        </m:oMath>
      </m:oMathPara>
    </w:p>
    <w:p>
      <w:pPr>
        <w:pStyle w:val="FirstParagraph"/>
      </w:pPr>
      <w:r>
        <w:t xml:space="preserve">This output has already been used in [73].</w:t>
      </w:r>
    </w:p>
    <w:bookmarkEnd w:id="122"/>
    <w:bookmarkStart w:id="123" w:name="X2096fd22f163acd4521de7c25ad44a60e20de5f"/>
    <w:p>
      <w:pPr>
        <w:pStyle w:val="Heading3"/>
      </w:pPr>
      <w:r>
        <w:t xml:space="preserve">Route GM-C: internal large-value machinery to another arithmetic problem</w:t>
      </w:r>
    </w:p>
    <w:p>
      <w:pPr>
        <w:pStyle w:val="FirstParagraph"/>
      </w:pPr>
      <w:r>
        <w:t xml:space="preserve">The theorem statement is not the only reusable asset. The proof contains large-value and mean-value machinery that may apply to other Dirichlet-polynomial consumers. Any such route has to identify the exact downstream sum before claiming a bridge.</w:t>
      </w:r>
    </w:p>
    <w:bookmarkEnd w:id="123"/>
    <w:bookmarkStart w:id="124" w:name="route-gm-d-near-line-concentration"/>
    <w:p>
      <w:pPr>
        <w:pStyle w:val="Heading3"/>
      </w:pPr>
      <w:r>
        <w:t xml:space="preserve">Route GM-D: near-line concentration</w:t>
      </w:r>
    </w:p>
    <w:p>
      <w:pPr>
        <w:pStyle w:val="FirstParagraph"/>
      </w:pPr>
      <w:r>
        <w:t xml:space="preserve">The uniform</w:t>
      </w:r>
      <w:r>
        <w:t xml:space="preserve"> </w:t>
      </w:r>
      <m:oMath>
        <m:r>
          <m:t>30</m:t>
        </m:r>
        <m:r>
          <m:rPr>
            <m:sty m:val="p"/>
          </m:rPr>
          <m:t>/</m:t>
        </m:r>
        <m:r>
          <m:t>13</m:t>
        </m:r>
      </m:oMath>
      <w:r>
        <w:t xml:space="preserve"> </w:t>
      </w:r>
      <w:r>
        <w:t xml:space="preserve">bound yields the fixed-strip density-zero consequence for every</w:t>
      </w:r>
      <w:r>
        <w:t xml:space="preserve"> </w:t>
      </w:r>
      <m:oMath>
        <m:r>
          <m:t>η</m:t>
        </m:r>
        <m:r>
          <m:rPr>
            <m:sty m:val="p"/>
          </m:rPr>
          <m:t>&gt;</m:t>
        </m:r>
        <m:r>
          <m:t>1</m:t>
        </m:r>
        <m:r>
          <m:rPr>
            <m:sty m:val="p"/>
          </m:rPr>
          <m:t>/</m:t>
        </m:r>
        <m:r>
          <m:t>15</m:t>
        </m:r>
      </m:oMath>
      <w:r>
        <w:t xml:space="preserve"> </w:t>
      </w:r>
      <w:r>
        <w:t xml:space="preserve">derived in Section 17.1.2. This is an honest zero-distribution corollary, but it should not be confused with a theorem putting additional individual zeros exactly on the line.</w:t>
      </w:r>
    </w:p>
    <w:bookmarkEnd w:id="124"/>
    <w:bookmarkStart w:id="125" w:name="Xdf84067deb08d9b2c0cb0b5626c8337a41f6d2c"/>
    <w:p>
      <w:pPr>
        <w:pStyle w:val="Heading3"/>
      </w:pPr>
      <w:r>
        <w:t xml:space="preserve">Route GM-E: possible interaction with pair/trace programs</w:t>
      </w:r>
    </w:p>
    <w:p>
      <w:pPr>
        <w:pStyle w:val="FirstParagraph"/>
      </w:pPr>
      <w:r>
        <w:t xml:space="preserve">This is a research question, not an established arrow. A pair/trace consumer requires two-point or weighted prime-correlation information. The large-value theorem may or may not provide a useful ingredient after a specific reduction. The correct procedure is:</w:t>
      </w:r>
    </w:p>
    <w:p>
      <w:pPr>
        <w:pStyle w:val="BodyText"/>
      </w:pPr>
      <m:oMathPara>
        <m:oMathParaPr>
          <m:jc m:val="center"/>
        </m:oMathParaPr>
        <m:oMath>
          <m:r>
            <m:rPr>
              <m:nor/>
              <m:sty m:val="p"/>
            </m:rPr>
            <m:t>exact consumer sum</m:t>
          </m:r>
          <m:r>
            <m:rPr>
              <m:sty m:val="p"/>
            </m:rPr>
            <m:t>→</m:t>
          </m:r>
          <m:r>
            <m:rPr>
              <m:nor/>
              <m:sty m:val="p"/>
            </m:rPr>
            <m:t>required bound</m:t>
          </m:r>
          <m:r>
            <m:rPr>
              <m:sty m:val="p"/>
            </m:rPr>
            <m:t>→</m:t>
          </m:r>
          <m:r>
            <m:rPr>
              <m:nor/>
              <m:sty m:val="p"/>
            </m:rPr>
            <m:t>test GM machinery</m:t>
          </m:r>
          <m:r>
            <m:rPr>
              <m:sty m:val="p"/>
            </m:rPr>
            <m:t>.</m:t>
          </m:r>
        </m:oMath>
      </m:oMathPara>
    </w:p>
    <w:p>
      <w:pPr>
        <w:pStyle w:val="FirstParagraph"/>
      </w:pPr>
      <w:r>
        <w:t xml:space="preserve">The reverse order invites wishful reasoning.</w:t>
      </w:r>
    </w:p>
    <w:bookmarkEnd w:id="125"/>
    <w:bookmarkEnd w:id="126"/>
    <w:bookmarkStart w:id="131" w:name="routes-starting-at-gafni-tao-74"/>
    <w:p>
      <w:pPr>
        <w:pStyle w:val="Heading2"/>
      </w:pPr>
      <w:r>
        <w:t xml:space="preserve">17.11 Routes starting at Gafni-Tao [74]</w:t>
      </w:r>
    </w:p>
    <w:p>
      <w:pPr>
        <w:pStyle w:val="FirstParagraph"/>
      </w:pPr>
      <w:r>
        <w:t xml:space="preserve">Gafni-Tao outputs an exceptional-set theorem, not a new zero-location theorem.</w:t>
      </w:r>
    </w:p>
    <w:bookmarkStart w:id="127" w:name="route-gt-a-direct-arithmetic-consumption"/>
    <w:p>
      <w:pPr>
        <w:pStyle w:val="Heading3"/>
      </w:pPr>
      <w:r>
        <w:t xml:space="preserve">Route GT-A: direct arithmetic consumption</w:t>
      </w:r>
    </w:p>
    <w:p>
      <w:pPr>
        <w:pStyle w:val="FirstParagraph"/>
      </w:pPr>
      <w:r>
        <w:t xml:space="preserve">The proved example is [73]: an argument needs primes in sufficiently short intervals for almost all relevant starting points, and the exceptional set can be discarded quantitatively.</w:t>
      </w:r>
    </w:p>
    <w:bookmarkEnd w:id="127"/>
    <w:bookmarkStart w:id="128" w:name="X759200f5c69e845593f9d8318e1a57b33296423"/>
    <w:p>
      <w:pPr>
        <w:pStyle w:val="Heading3"/>
      </w:pPr>
      <w:r>
        <w:t xml:space="preserve">Route GT-B: prime gaps and local prime availability</w:t>
      </w:r>
    </w:p>
    <w:p>
      <w:pPr>
        <w:pStyle w:val="FirstParagraph"/>
      </w:pPr>
      <w:r>
        <w:t xml:space="preserve">A strong bound on intervals with abnormal prime count can support problems where the existence or typical density of primes in moving windows is the input. The exact consumer must be checked case by case because</w:t>
      </w:r>
      <w:r>
        <w:t xml:space="preserve"> </w:t>
      </w:r>
      <w:r>
        <w:t xml:space="preserve">“</w:t>
      </w:r>
      <w:r>
        <w:t xml:space="preserve">almost all intervals</w:t>
      </w:r>
      <w:r>
        <w:t xml:space="preserve">”</w:t>
      </w:r>
      <w:r>
        <w:t xml:space="preserve"> </w:t>
      </w:r>
      <w:r>
        <w:t xml:space="preserve">may not suffice when an argument needs</w:t>
      </w:r>
      <w:r>
        <w:t xml:space="preserve"> </w:t>
      </w:r>
      <w:r>
        <w:rPr>
          <w:b/>
          <w:bCs/>
        </w:rPr>
        <w:t xml:space="preserve">every</w:t>
      </w:r>
      <w:r>
        <w:t xml:space="preserve"> </w:t>
      </w:r>
      <w:r>
        <w:t xml:space="preserve">interval.</w:t>
      </w:r>
    </w:p>
    <w:bookmarkEnd w:id="128"/>
    <w:bookmarkStart w:id="129" w:name="Xe903a9108555599a173dadca76ee5b47072eff6"/>
    <w:p>
      <w:pPr>
        <w:pStyle w:val="Heading3"/>
      </w:pPr>
      <w:r>
        <w:t xml:space="preserve">Route GT-C: toward pair correlation only through a stronger prime statistic</w:t>
      </w:r>
    </w:p>
    <w:p>
      <w:pPr>
        <w:pStyle w:val="FirstParagraph"/>
      </w:pPr>
      <w:r>
        <w:t xml:space="preserve">Goldston-Montgomery [26] teach that suitable variance asymptotics for primes in short intervals are tied to pair correlation. But Gafni-Tao supplies an exceptional-set exponent. To use GT on that reverse corridor one would need to upgrade or combine its output into a variance statement of the required precision:</w:t>
      </w:r>
    </w:p>
    <w:p>
      <w:pPr>
        <w:pStyle w:val="BodyText"/>
      </w:pPr>
      <w:r>
        <w:rPr>
          <w:b/>
          <w:bCs/>
        </w:rPr>
        <w:t xml:space="preserve">An exceptional-set exponent does not by itself imply a prime-variance asymptotic.</w:t>
      </w:r>
    </w:p>
    <w:bookmarkEnd w:id="129"/>
    <w:bookmarkStart w:id="130" w:name="Xb23b9953b64fefedc41b380f45ae947be0e9453"/>
    <w:p>
      <w:pPr>
        <w:pStyle w:val="Heading3"/>
      </w:pPr>
      <w:r>
        <w:t xml:space="preserve">Route GT-D: consume future</w:t>
      </w:r>
      <w:r>
        <w:t xml:space="preserve"> </w:t>
      </w:r>
      <m:oMath>
        <m:r>
          <m:t>A</m:t>
        </m:r>
        <m:d>
          <m:dPr>
            <m:begChr m:val="("/>
            <m:endChr m:val=")"/>
            <m:sepChr m:val=""/>
            <m:grow/>
          </m:dPr>
          <m:e>
            <m:r>
              <m:t>σ</m:t>
            </m:r>
          </m:e>
        </m:d>
      </m:oMath>
      <w:r>
        <w:t xml:space="preserve"> </w:t>
      </w:r>
      <w:r>
        <w:t xml:space="preserve">or</w:t>
      </w:r>
      <w:r>
        <w:t xml:space="preserve"> </w:t>
      </w:r>
      <m:oMath>
        <m:sSup>
          <m:e>
            <m:r>
              <m:t>A</m:t>
            </m:r>
          </m:e>
          <m:sup>
            <m:r>
              <m:rPr>
                <m:sty m:val="p"/>
              </m:rPr>
              <m:t>*</m:t>
            </m:r>
          </m:sup>
        </m:sSup>
        <m:d>
          <m:dPr>
            <m:begChr m:val="("/>
            <m:endChr m:val=")"/>
            <m:sepChr m:val=""/>
            <m:grow/>
          </m:dPr>
          <m:e>
            <m:r>
              <m:t>σ</m:t>
            </m:r>
          </m:e>
        </m:d>
      </m:oMath>
      <w:r>
        <w:t xml:space="preserve"> </w:t>
      </w:r>
      <w:r>
        <w:t xml:space="preserve">improvements</w:t>
      </w:r>
    </w:p>
    <w:p>
      <w:pPr>
        <w:pStyle w:val="FirstParagraph"/>
      </w:pPr>
      <w:r>
        <w:t xml:space="preserve">This is perhaps GT’s most durable role. It is a reusable compiler. If another paper improves zero density or zero additive energy, the transfer can potentially improve</w:t>
      </w:r>
      <w:r>
        <w:t xml:space="preserve"> </w:t>
      </w:r>
      <m:oMath>
        <m:r>
          <m:t>μ</m:t>
        </m:r>
        <m:d>
          <m:dPr>
            <m:begChr m:val="("/>
            <m:endChr m:val=")"/>
            <m:sepChr m:val=""/>
            <m:grow/>
          </m:dPr>
          <m:e>
            <m:r>
              <m:t>θ</m:t>
            </m:r>
          </m:e>
        </m:d>
      </m:oMath>
      <w:r>
        <w:t xml:space="preserve"> </w:t>
      </w:r>
      <w:r>
        <w:t xml:space="preserve">immediately after a finite optimization and verification of ranges.</w:t>
      </w:r>
    </w:p>
    <w:bookmarkEnd w:id="130"/>
    <w:bookmarkEnd w:id="131"/>
    <w:bookmarkStart w:id="138" w:name="the-major-bottleneck-types"/>
    <w:p>
      <w:pPr>
        <w:pStyle w:val="Heading2"/>
      </w:pPr>
      <w:r>
        <w:t xml:space="preserve">17.12 The major bottleneck types</w:t>
      </w:r>
    </w:p>
    <w:p>
      <w:pPr>
        <w:pStyle w:val="FirstParagraph"/>
      </w:pPr>
      <w:r>
        <w:t xml:space="preserve">Across the map, obstacles recur in a small number of forms.</w:t>
      </w:r>
    </w:p>
    <w:bookmarkStart w:id="132" w:name="Xd55d8b2167d0668bce07568e951dfd9891264e0"/>
    <w:p>
      <w:pPr>
        <w:pStyle w:val="Heading3"/>
      </w:pPr>
      <w:r>
        <w:t xml:space="preserve">Bottleneck 1: one-point versus multi-point information</w:t>
      </w:r>
    </w:p>
    <w:p>
      <w:pPr>
        <w:pStyle w:val="FirstParagraph"/>
      </w:pPr>
      <w:r>
        <w:t xml:space="preserve">Zero density is one-point. Pair correlation is two-point. Additive energy is four-point. A theorem at one level generally does not determine the next.</w:t>
      </w:r>
    </w:p>
    <w:bookmarkEnd w:id="132"/>
    <w:bookmarkStart w:id="133" w:name="X61a9ae344eb4682f967f3d324968896c433aa2d"/>
    <w:p>
      <w:pPr>
        <w:pStyle w:val="Heading3"/>
      </w:pPr>
      <w:r>
        <w:t xml:space="preserve">Bottleneck 2: diagonal versus off-diagonal arithmetic</w:t>
      </w:r>
    </w:p>
    <w:p>
      <w:pPr>
        <w:pStyle w:val="FirstParagraph"/>
      </w:pPr>
      <w:r>
        <w:t xml:space="preserve">Many mean-value formulas are tractable while only diagonal terms survive. Extending a parameter often exposes shifted convolution or prime-pair terms. The formal statement may change only slightly while the arithmetic difficulty changes completely.</w:t>
      </w:r>
    </w:p>
    <w:bookmarkEnd w:id="133"/>
    <w:bookmarkStart w:id="134" w:name="Xd72de7e3155efc3562f5bad6c89b4f84bb0e545"/>
    <w:p>
      <w:pPr>
        <w:pStyle w:val="Heading3"/>
      </w:pPr>
      <w:r>
        <w:t xml:space="preserve">Bottleneck 3: average versus pointwise control</w:t>
      </w:r>
    </w:p>
    <w:p>
      <w:pPr>
        <w:pStyle w:val="FirstParagraph"/>
      </w:pPr>
      <w:r>
        <w:t xml:space="preserve">Almost-all statements can be extremely strong and useful, yet RH is universal. Any path ending in an averaged theorem eventually needs a new rigidity mechanism if it is to become a pointwise statement about every zero.</w:t>
      </w:r>
    </w:p>
    <w:bookmarkEnd w:id="134"/>
    <w:bookmarkStart w:id="135" w:name="X7b634103ed44862a69de6cfb9e39ce6012529f8"/>
    <w:p>
      <w:pPr>
        <w:pStyle w:val="Heading3"/>
      </w:pPr>
      <w:r>
        <w:t xml:space="preserve">Bottleneck 4: finite-dimensional certificate versus analytic input</w:t>
      </w:r>
    </w:p>
    <w:p>
      <w:pPr>
        <w:pStyle w:val="FirstParagraph"/>
      </w:pPr>
      <w:r>
        <w:t xml:space="preserve">SDP, kernel, or matrix optimization can find the best conclusion available from a specified set of moments. Once the optimizer saturates, further numerical cleverness cannot compensate for missing analytic information.</w:t>
      </w:r>
    </w:p>
    <w:bookmarkEnd w:id="135"/>
    <w:bookmarkStart w:id="136" w:name="X9e61c548f3c889591a016728e37e2197810bc11"/>
    <w:p>
      <w:pPr>
        <w:pStyle w:val="Heading3"/>
      </w:pPr>
      <w:r>
        <w:t xml:space="preserve">Bottleneck 5: proposed spectrum versus self-adjoint operator</w:t>
      </w:r>
    </w:p>
    <w:p>
      <w:pPr>
        <w:pStyle w:val="FirstParagraph"/>
      </w:pPr>
      <w:r>
        <w:t xml:space="preserve">Spectral models often reproduce asymptotics or formal eigenvalue equations. The missing step is usually operator theory: domain, self-adjointness, completeness, and exact spectral identity.</w:t>
      </w:r>
    </w:p>
    <w:bookmarkEnd w:id="136"/>
    <w:bookmarkStart w:id="137" w:name="X8f55fc9e3ee9e3c924b02ac2a7076cdb00391c6"/>
    <w:p>
      <w:pPr>
        <w:pStyle w:val="Heading3"/>
      </w:pPr>
      <w:r>
        <w:t xml:space="preserve">Bottleneck 6: analogy versus transport theorem</w:t>
      </w:r>
    </w:p>
    <w:p>
      <w:pPr>
        <w:pStyle w:val="FirstParagraph"/>
      </w:pPr>
      <w:r>
        <w:t xml:space="preserve">Finite-field geometry and RMT can be stunningly predictive. The research problem is to construct a theorem that transports the structure to the classical zeta function. Until that exists, the arrow remains dotted.</w:t>
      </w:r>
    </w:p>
    <w:bookmarkEnd w:id="137"/>
    <w:bookmarkEnd w:id="138"/>
    <w:bookmarkStart w:id="139" w:name="Xa600c6c7aeef09e8238c0899a68ec6683e1bd57"/>
    <w:p>
      <w:pPr>
        <w:pStyle w:val="Heading2"/>
      </w:pPr>
      <w:r>
        <w:t xml:space="preserve">17.13 How to read a new RH-adjacent paper in ten questions</w:t>
      </w:r>
    </w:p>
    <w:p>
      <w:pPr>
        <w:pStyle w:val="FirstParagraph"/>
      </w:pPr>
      <w:r>
        <w:t xml:space="preserve">When a new paper appears, ask:</w:t>
      </w:r>
    </w:p>
    <w:p>
      <w:pPr>
        <w:pStyle w:val="Compact"/>
        <w:numPr>
          <w:ilvl w:val="0"/>
          <w:numId w:val="1019"/>
        </w:numPr>
      </w:pPr>
      <w:r>
        <w:rPr>
          <w:b/>
          <w:bCs/>
        </w:rPr>
        <w:t xml:space="preserve">What is the primary output object?</w:t>
      </w:r>
      <w:r>
        <w:t xml:space="preserve"> </w:t>
      </w:r>
      <w:r>
        <w:t xml:space="preserve">A bound on</w:t>
      </w:r>
      <w:r>
        <w:t xml:space="preserve"> </w:t>
      </w:r>
      <m:oMath>
        <m:r>
          <m:t>N</m:t>
        </m:r>
        <m:d>
          <m:dPr>
            <m:begChr m:val="("/>
            <m:endChr m:val=")"/>
            <m:sepChr m:val=""/>
            <m:grow/>
          </m:dPr>
          <m:e>
            <m:r>
              <m:t>σ</m:t>
            </m:r>
            <m:r>
              <m:rPr>
                <m:sty m:val="p"/>
              </m:rPr>
              <m:t>,</m:t>
            </m:r>
            <m:r>
              <m:t>T</m:t>
            </m:r>
          </m:e>
        </m:d>
      </m:oMath>
      <w:r>
        <w:t xml:space="preserve">, a moment, a correlation, an exceptional exponent, a spectral operator, a criterion?</w:t>
      </w:r>
    </w:p>
    <w:p>
      <w:pPr>
        <w:pStyle w:val="Compact"/>
        <w:numPr>
          <w:ilvl w:val="0"/>
          <w:numId w:val="1019"/>
        </w:numPr>
      </w:pPr>
      <w:r>
        <w:rPr>
          <w:b/>
          <w:bCs/>
        </w:rPr>
        <w:t xml:space="preserve">Is the result unconditional?</w:t>
      </w:r>
      <w:r>
        <w:t xml:space="preserve"> </w:t>
      </w:r>
      <w:r>
        <w:t xml:space="preserve">If not, what exact conjecture is assumed?</w:t>
      </w:r>
    </w:p>
    <w:p>
      <w:pPr>
        <w:pStyle w:val="Compact"/>
        <w:numPr>
          <w:ilvl w:val="0"/>
          <w:numId w:val="1019"/>
        </w:numPr>
      </w:pPr>
      <w:r>
        <w:rPr>
          <w:b/>
          <w:bCs/>
        </w:rPr>
        <w:t xml:space="preserve">Where is RH used, if anywhere?</w:t>
      </w:r>
      <w:r>
        <w:t xml:space="preserve"> </w:t>
      </w:r>
      <w:r>
        <w:t xml:space="preserve">Some older pair-correlation arguments assume RH only to simplify horizontal zero geometry.</w:t>
      </w:r>
    </w:p>
    <w:p>
      <w:pPr>
        <w:pStyle w:val="Compact"/>
        <w:numPr>
          <w:ilvl w:val="0"/>
          <w:numId w:val="1019"/>
        </w:numPr>
      </w:pPr>
      <w:r>
        <w:rPr>
          <w:b/>
          <w:bCs/>
        </w:rPr>
        <w:t xml:space="preserve">What range changed?</w:t>
      </w:r>
      <w:r>
        <w:t xml:space="preserve"> </w:t>
      </w:r>
      <w:r>
        <w:t xml:space="preserve">A new theorem may matter because a support, length, exponent, or uniformity interval crossed a barrier.</w:t>
      </w:r>
    </w:p>
    <w:p>
      <w:pPr>
        <w:pStyle w:val="Compact"/>
        <w:numPr>
          <w:ilvl w:val="0"/>
          <w:numId w:val="1019"/>
        </w:numPr>
      </w:pPr>
      <w:r>
        <w:rPr>
          <w:b/>
          <w:bCs/>
        </w:rPr>
        <w:t xml:space="preserve">What is diagonal and what is off-diagonal?</w:t>
      </w:r>
      <w:r>
        <w:t xml:space="preserve"> </w:t>
      </w:r>
      <w:r>
        <w:t xml:space="preserve">This often reveals the true source of difficulty.</w:t>
      </w:r>
    </w:p>
    <w:p>
      <w:pPr>
        <w:pStyle w:val="Compact"/>
        <w:numPr>
          <w:ilvl w:val="0"/>
          <w:numId w:val="1019"/>
        </w:numPr>
      </w:pPr>
      <w:r>
        <w:rPr>
          <w:b/>
          <w:bCs/>
        </w:rPr>
        <w:t xml:space="preserve">What theorem consumes the output today?</w:t>
      </w:r>
      <w:r>
        <w:t xml:space="preserve"> </w:t>
      </w:r>
      <w:r>
        <w:t xml:space="preserve">If none, can one be written as an oracle and priced?</w:t>
      </w:r>
    </w:p>
    <w:p>
      <w:pPr>
        <w:pStyle w:val="Compact"/>
        <w:numPr>
          <w:ilvl w:val="0"/>
          <w:numId w:val="1019"/>
        </w:numPr>
      </w:pPr>
      <w:r>
        <w:rPr>
          <w:b/>
          <w:bCs/>
        </w:rPr>
        <w:t xml:space="preserve">Does the paper improve a theorem statement or the machinery underneath it?</w:t>
      </w:r>
      <w:r>
        <w:t xml:space="preserve"> </w:t>
      </w:r>
      <w:r>
        <w:t xml:space="preserve">Reusable machinery may have more future value.</w:t>
      </w:r>
    </w:p>
    <w:p>
      <w:pPr>
        <w:pStyle w:val="Compact"/>
        <w:numPr>
          <w:ilvl w:val="0"/>
          <w:numId w:val="1019"/>
        </w:numPr>
      </w:pPr>
      <w:r>
        <w:rPr>
          <w:b/>
          <w:bCs/>
        </w:rPr>
        <w:t xml:space="preserve">Is the conclusion statistical or pointwise?</w:t>
      </w:r>
      <w:r>
        <w:t xml:space="preserve"> </w:t>
      </w:r>
      <w:r>
        <w:t xml:space="preserve">This determines how far it is logically from RH.</w:t>
      </w:r>
    </w:p>
    <w:p>
      <w:pPr>
        <w:pStyle w:val="Compact"/>
        <w:numPr>
          <w:ilvl w:val="0"/>
          <w:numId w:val="1019"/>
        </w:numPr>
      </w:pPr>
      <w:r>
        <w:rPr>
          <w:b/>
          <w:bCs/>
        </w:rPr>
        <w:t xml:space="preserve">Is an equivalence criterion merely restating RH in new coordinates?</w:t>
      </w:r>
      <w:r>
        <w:t xml:space="preserve"> </w:t>
      </w:r>
      <w:r>
        <w:t xml:space="preserve">If so, what new structure makes the criterion more tractable?</w:t>
      </w:r>
    </w:p>
    <w:p>
      <w:pPr>
        <w:pStyle w:val="Compact"/>
        <w:numPr>
          <w:ilvl w:val="0"/>
          <w:numId w:val="1019"/>
        </w:numPr>
      </w:pPr>
      <w:r>
        <w:rPr>
          <w:b/>
          <w:bCs/>
        </w:rPr>
        <w:t xml:space="preserve">What would falsify the proposed next bridge cheaply?</w:t>
      </w:r>
      <w:r>
        <w:t xml:space="preserve"> </w:t>
      </w:r>
      <w:r>
        <w:t xml:space="preserve">A good research program has kill conditions.</w:t>
      </w:r>
    </w:p>
    <w:p>
      <w:pPr>
        <w:pStyle w:val="FirstParagraph"/>
      </w:pPr>
      <w:r>
        <w:t xml:space="preserve">These questions turn the map from a historical picture into a working research instrument.</w:t>
      </w:r>
    </w:p>
    <w:bookmarkEnd w:id="139"/>
    <w:bookmarkEnd w:id="140"/>
    <w:bookmarkStart w:id="217" w:name="node-by-node-traversal-notes"/>
    <w:p>
      <w:pPr>
        <w:pStyle w:val="Heading1"/>
      </w:pPr>
      <w:r>
        <w:t xml:space="preserve">18. Node-by-node traversal notes</w:t>
      </w:r>
    </w:p>
    <w:p>
      <w:pPr>
        <w:pStyle w:val="FirstParagraph"/>
      </w:pPr>
      <w:r>
        <w:t xml:space="preserve">The following notes are deliberately concise. They are not substitutes for the papers. Their purpose is to tell you why each node is on the map and which corridor it feeds.</w:t>
      </w:r>
    </w:p>
    <w:bookmarkStart w:id="141" w:name="riemann-1859-1"/>
    <w:p>
      <w:pPr>
        <w:pStyle w:val="Heading2"/>
      </w:pPr>
      <w:r>
        <w:t xml:space="preserve">01 Riemann, 1859 [1]</w:t>
      </w:r>
    </w:p>
    <w:p>
      <w:pPr>
        <w:pStyle w:val="FirstParagraph"/>
      </w:pPr>
      <w:r>
        <w:t xml:space="preserve">Creates the entire network. Introduces analytic continuation ideas, the functional equation, the connection between zeros and prime counting, and the conjecture that all nontrivial zeros have real part</w:t>
      </w:r>
      <w:r>
        <w:t xml:space="preserve"> </w:t>
      </w:r>
      <m:oMath>
        <m:r>
          <m:t>1</m:t>
        </m:r>
        <m:r>
          <m:rPr>
            <m:sty m:val="p"/>
          </m:rPr>
          <m:t>/</m:t>
        </m:r>
        <m:r>
          <m:t>2</m:t>
        </m:r>
      </m:oMath>
      <w:r>
        <w:t xml:space="preserve">.</w:t>
      </w:r>
    </w:p>
    <w:bookmarkEnd w:id="141"/>
    <w:bookmarkStart w:id="142" w:name="hadamard-1896-2"/>
    <w:p>
      <w:pPr>
        <w:pStyle w:val="Heading2"/>
      </w:pPr>
      <w:r>
        <w:t xml:space="preserve">02 Hadamard, 1896 [2]</w:t>
      </w:r>
    </w:p>
    <w:p>
      <w:pPr>
        <w:pStyle w:val="FirstParagraph"/>
      </w:pPr>
      <w:r>
        <w:t xml:space="preserve">Develops entire-function factorization and zero analysis sufficient for the PNT. Feeds the classical zero-free/PNT corridor.</w:t>
      </w:r>
    </w:p>
    <w:bookmarkEnd w:id="142"/>
    <w:bookmarkStart w:id="143" w:name="de-la-vallée-poussin-1896-3"/>
    <w:p>
      <w:pPr>
        <w:pStyle w:val="Heading2"/>
      </w:pPr>
      <w:r>
        <w:t xml:space="preserve">03 de la Vallée Poussin, 1896 [3]</w:t>
      </w:r>
    </w:p>
    <w:p>
      <w:pPr>
        <w:pStyle w:val="FirstParagraph"/>
      </w:pPr>
      <w:r>
        <w:t xml:space="preserve">Independent PNT proof with a zero-free region near</w:t>
      </w:r>
      <w:r>
        <w:t xml:space="preserve"> </w:t>
      </w:r>
      <m:oMath>
        <m:r>
          <m:rPr>
            <m:sty m:val="p"/>
          </m:rPr>
          <m:t>Re</m:t>
        </m:r>
        <m:d>
          <m:dPr>
            <m:begChr m:val="("/>
            <m:endChr m:val=")"/>
            <m:sepChr m:val=""/>
            <m:grow/>
          </m:dPr>
          <m:e>
            <m:r>
              <m:t>s</m:t>
            </m:r>
          </m:e>
        </m:d>
        <m:r>
          <m:rPr>
            <m:sty m:val="p"/>
          </m:rPr>
          <m:t>=</m:t>
        </m:r>
        <m:r>
          <m:t>1</m:t>
        </m:r>
      </m:oMath>
      <w:r>
        <w:t xml:space="preserve">. Establishes the paradigm that quantitative exclusion of zeros has quantitative consequences for primes.</w:t>
      </w:r>
    </w:p>
    <w:bookmarkEnd w:id="143"/>
    <w:bookmarkStart w:id="144" w:name="hardy-1914-4"/>
    <w:p>
      <w:pPr>
        <w:pStyle w:val="Heading2"/>
      </w:pPr>
      <w:r>
        <w:t xml:space="preserve">04 Hardy, 1914 [4]</w:t>
      </w:r>
    </w:p>
    <w:p>
      <w:pPr>
        <w:pStyle w:val="FirstParagraph"/>
      </w:pPr>
      <w:r>
        <w:t xml:space="preserve">Proves infinitely many critical-line zeros. Starts the direct critical-line corridor.</w:t>
      </w:r>
    </w:p>
    <w:bookmarkEnd w:id="144"/>
    <w:bookmarkStart w:id="145" w:name="hardy-littlewood-1921-5"/>
    <w:p>
      <w:pPr>
        <w:pStyle w:val="Heading2"/>
      </w:pPr>
      <w:r>
        <w:t xml:space="preserve">05 Hardy-Littlewood, 1921 [5]</w:t>
      </w:r>
    </w:p>
    <w:p>
      <w:pPr>
        <w:pStyle w:val="FirstParagraph"/>
      </w:pPr>
      <w:r>
        <w:t xml:space="preserve">Strengthens critical-line zero counting and analytic techniques around Hardy’s method.</w:t>
      </w:r>
    </w:p>
    <w:bookmarkEnd w:id="145"/>
    <w:bookmarkStart w:id="146" w:name="speiser-1934-6"/>
    <w:p>
      <w:pPr>
        <w:pStyle w:val="Heading2"/>
      </w:pPr>
      <w:r>
        <w:t xml:space="preserve">06 Speiser, 1934 [6]</w:t>
      </w:r>
    </w:p>
    <w:p>
      <w:pPr>
        <w:pStyle w:val="FirstParagraph"/>
      </w:pPr>
      <w:r>
        <w:t xml:space="preserve">Moves RH into the geometry of zeros of</w:t>
      </w:r>
      <w:r>
        <w:t xml:space="preserve"> </w:t>
      </w:r>
      <m:oMath>
        <m:r>
          <m:t>ζ</m:t>
        </m:r>
        <m:r>
          <m:rPr>
            <m:sty m:val="p"/>
          </m:rPr>
          <m:t>′</m:t>
        </m:r>
      </m:oMath>
      <w:r>
        <w:t xml:space="preserve">. An exact equivalence corridor, not a weaker approximation.</w:t>
      </w:r>
    </w:p>
    <w:bookmarkEnd w:id="146"/>
    <w:bookmarkStart w:id="147" w:name="ingham-1940-7"/>
    <w:p>
      <w:pPr>
        <w:pStyle w:val="Heading2"/>
      </w:pPr>
      <w:r>
        <w:t xml:space="preserve">07 Ingham, 1940 [7]</w:t>
      </w:r>
    </w:p>
    <w:p>
      <w:pPr>
        <w:pStyle w:val="FirstParagraph"/>
      </w:pPr>
      <w:r>
        <w:t xml:space="preserve">Classical zero-density theorem. Still appears as a competitive piece of the best exponent envelope in parts of the strip.</w:t>
      </w:r>
    </w:p>
    <w:bookmarkEnd w:id="147"/>
    <w:bookmarkStart w:id="148" w:name="selberg-1942-8"/>
    <w:p>
      <w:pPr>
        <w:pStyle w:val="Heading2"/>
      </w:pPr>
      <w:r>
        <w:t xml:space="preserve">08 Selberg, 1942 [8]</w:t>
      </w:r>
    </w:p>
    <w:p>
      <w:pPr>
        <w:pStyle w:val="FirstParagraph"/>
      </w:pPr>
      <w:r>
        <w:t xml:space="preserve">Positive-proportion critical-line theorem. Major predecessor of modern mollifier methods.</w:t>
      </w:r>
    </w:p>
    <w:bookmarkEnd w:id="148"/>
    <w:bookmarkStart w:id="149" w:name="selberg-1946-9"/>
    <w:p>
      <w:pPr>
        <w:pStyle w:val="Heading2"/>
      </w:pPr>
      <w:r>
        <w:t xml:space="preserve">09 Selberg, 1946 [9]</w:t>
      </w:r>
    </w:p>
    <w:p>
      <w:pPr>
        <w:pStyle w:val="FirstParagraph"/>
      </w:pPr>
      <w:r>
        <w:t xml:space="preserve">Deepens analytic zeta theory and mean-value methods that feed later proportion and distribution arguments.</w:t>
      </w:r>
    </w:p>
    <w:bookmarkEnd w:id="149"/>
    <w:bookmarkStart w:id="150" w:name="weil-1949-10"/>
    <w:p>
      <w:pPr>
        <w:pStyle w:val="Heading2"/>
      </w:pPr>
      <w:r>
        <w:t xml:space="preserve">10 Weil, 1949 [10]</w:t>
      </w:r>
    </w:p>
    <w:p>
      <w:pPr>
        <w:pStyle w:val="FirstParagraph"/>
      </w:pPr>
      <w:r>
        <w:t xml:space="preserve">Finite-field zeta work and the geometric model that ultimately becomes the proved RH analogue under Deligne.</w:t>
      </w:r>
    </w:p>
    <w:bookmarkEnd w:id="150"/>
    <w:bookmarkStart w:id="151" w:name="nyman-1950-11"/>
    <w:p>
      <w:pPr>
        <w:pStyle w:val="Heading2"/>
      </w:pPr>
      <w:r>
        <w:t xml:space="preserve">11 Nyman, 1950 [11]</w:t>
      </w:r>
    </w:p>
    <w:p>
      <w:pPr>
        <w:pStyle w:val="FirstParagraph"/>
      </w:pPr>
      <w:r>
        <w:t xml:space="preserve">Introduces a functional-space closure criterion equivalent to RH.</w:t>
      </w:r>
    </w:p>
    <w:bookmarkEnd w:id="151"/>
    <w:bookmarkStart w:id="152" w:name="de-bruijn-1950-12"/>
    <w:p>
      <w:pPr>
        <w:pStyle w:val="Heading2"/>
      </w:pPr>
      <w:r>
        <w:t xml:space="preserve">12 de Bruijn, 1950 [12]</w:t>
      </w:r>
    </w:p>
    <w:p>
      <w:pPr>
        <w:pStyle w:val="FirstParagraph"/>
      </w:pPr>
      <w:r>
        <w:t xml:space="preserve">Creates the heat-flow deformation later encoded by the de Bruijn-Newman constant.</w:t>
      </w:r>
    </w:p>
    <w:bookmarkEnd w:id="152"/>
    <w:bookmarkStart w:id="153" w:name="weil-1952-13"/>
    <w:p>
      <w:pPr>
        <w:pStyle w:val="Heading2"/>
      </w:pPr>
      <w:r>
        <w:t xml:space="preserve">13 Weil, 1952 [13]</w:t>
      </w:r>
    </w:p>
    <w:p>
      <w:pPr>
        <w:pStyle w:val="FirstParagraph"/>
      </w:pPr>
      <w:r>
        <w:t xml:space="preserve">Explicit-formula quadratic-form framework. One of the strongest theorem-level bridges from test-function positivity to RH.</w:t>
      </w:r>
    </w:p>
    <w:bookmarkEnd w:id="153"/>
    <w:bookmarkStart w:id="154" w:name="turing-1953-14"/>
    <w:p>
      <w:pPr>
        <w:pStyle w:val="Heading2"/>
      </w:pPr>
      <w:r>
        <w:t xml:space="preserve">14 Turing, 1953 [14]</w:t>
      </w:r>
    </w:p>
    <w:p>
      <w:pPr>
        <w:pStyle w:val="FirstParagraph"/>
      </w:pPr>
      <w:r>
        <w:t xml:space="preserve">Turns computation of zeros into a rigorous certification process. Foundation of modern finite-height verification.</w:t>
      </w:r>
    </w:p>
    <w:bookmarkEnd w:id="154"/>
    <w:bookmarkStart w:id="155" w:name="beurling-1955-15"/>
    <w:p>
      <w:pPr>
        <w:pStyle w:val="Heading2"/>
      </w:pPr>
      <w:r>
        <w:t xml:space="preserve">15 Beurling, 1955 [15]</w:t>
      </w:r>
    </w:p>
    <w:p>
      <w:pPr>
        <w:pStyle w:val="FirstParagraph"/>
      </w:pPr>
      <w:r>
        <w:t xml:space="preserve">Refines Nyman’s closure criterion into the form now usually called Nyman-Beurling.</w:t>
      </w:r>
    </w:p>
    <w:bookmarkEnd w:id="155"/>
    <w:bookmarkStart w:id="156" w:name="montgomery-1973-16"/>
    <w:p>
      <w:pPr>
        <w:pStyle w:val="Heading2"/>
      </w:pPr>
      <w:r>
        <w:t xml:space="preserve">16 Montgomery, 1973 [16]</w:t>
      </w:r>
    </w:p>
    <w:p>
      <w:pPr>
        <w:pStyle w:val="FirstParagraph"/>
      </w:pPr>
      <w:r>
        <w:t xml:space="preserve">Creates pair correlation. Feeds number theory, random matrix theory, quantum chaos, and modern critical-zero proportion work.</w:t>
      </w:r>
    </w:p>
    <w:bookmarkEnd w:id="156"/>
    <w:bookmarkStart w:id="157" w:name="levinson-1974-17"/>
    <w:p>
      <w:pPr>
        <w:pStyle w:val="Heading2"/>
      </w:pPr>
      <w:r>
        <w:t xml:space="preserve">17 Levinson, 1974 [17]</w:t>
      </w:r>
    </w:p>
    <w:p>
      <w:pPr>
        <w:pStyle w:val="FirstParagraph"/>
      </w:pPr>
      <w:r>
        <w:t xml:space="preserve">Makes mollified moments a powerful machine for proving a positive proportion of critical-line zeros, exceeding one third.</w:t>
      </w:r>
    </w:p>
    <w:bookmarkEnd w:id="157"/>
    <w:bookmarkStart w:id="158" w:name="deligne-1974-18"/>
    <w:p>
      <w:pPr>
        <w:pStyle w:val="Heading2"/>
      </w:pPr>
      <w:r>
        <w:t xml:space="preserve">18 Deligne, 1974 [18]</w:t>
      </w:r>
    </w:p>
    <w:p>
      <w:pPr>
        <w:pStyle w:val="FirstParagraph"/>
      </w:pPr>
      <w:r>
        <w:t xml:space="preserve">Proves the Weil conjectures. This is the strongest successful RH analogue in the map and the main evidence that a geometric/purity mechanism can force an RH-type spectral law.</w:t>
      </w:r>
    </w:p>
    <w:bookmarkEnd w:id="158"/>
    <w:bookmarkStart w:id="159" w:name="huxley-1975-19"/>
    <w:p>
      <w:pPr>
        <w:pStyle w:val="Heading2"/>
      </w:pPr>
      <w:r>
        <w:t xml:space="preserve">19 Huxley, 1975 [19]</w:t>
      </w:r>
    </w:p>
    <w:p>
      <w:pPr>
        <w:pStyle w:val="FirstParagraph"/>
      </w:pPr>
      <w:r>
        <w:t xml:space="preserve">Large-value and zero-density technology. Remains part of the classical envelope against which modern improvements are measured.</w:t>
      </w:r>
    </w:p>
    <w:bookmarkEnd w:id="159"/>
    <w:bookmarkStart w:id="160" w:name="newman-1976-20"/>
    <w:p>
      <w:pPr>
        <w:pStyle w:val="Heading2"/>
      </w:pPr>
      <w:r>
        <w:t xml:space="preserve">20 Newman, 1976 [20]</w:t>
      </w:r>
    </w:p>
    <w:p>
      <w:pPr>
        <w:pStyle w:val="FirstParagraph"/>
      </w:pPr>
      <w:r>
        <w:t xml:space="preserve">Sharpens de Bruijn’s deformation into the constant</w:t>
      </w:r>
      <w:r>
        <w:t xml:space="preserve"> </w:t>
      </w:r>
      <m:oMath>
        <m:r>
          <m:t>Λ</m:t>
        </m:r>
      </m:oMath>
      <w:r>
        <w:t xml:space="preserve"> </w:t>
      </w:r>
      <w:r>
        <w:t xml:space="preserve">and the</w:t>
      </w:r>
      <w:r>
        <w:t xml:space="preserve"> </w:t>
      </w:r>
      <w:r>
        <w:t xml:space="preserve">“</w:t>
      </w:r>
      <w:r>
        <w:t xml:space="preserve">barely true</w:t>
      </w:r>
      <w:r>
        <w:t xml:space="preserve">”</w:t>
      </w:r>
      <w:r>
        <w:t xml:space="preserve"> </w:t>
      </w:r>
      <w:r>
        <w:t xml:space="preserve">philosophy.</w:t>
      </w:r>
    </w:p>
    <w:bookmarkEnd w:id="160"/>
    <w:bookmarkStart w:id="161" w:name="gallagher-mueller-1978-21"/>
    <w:p>
      <w:pPr>
        <w:pStyle w:val="Heading2"/>
      </w:pPr>
      <w:r>
        <w:t xml:space="preserve">21 Gallagher-Mueller, 1978 [21]</w:t>
      </w:r>
    </w:p>
    <w:p>
      <w:pPr>
        <w:pStyle w:val="FirstParagraph"/>
      </w:pPr>
      <w:r>
        <w:t xml:space="preserve">Connects pair statistics of zeros with primes in short intervals and later becomes relevant to removing RH from simplicity deductions.</w:t>
      </w:r>
    </w:p>
    <w:bookmarkEnd w:id="161"/>
    <w:bookmarkStart w:id="162" w:name="heath-brown-1979-22"/>
    <w:p>
      <w:pPr>
        <w:pStyle w:val="Heading2"/>
      </w:pPr>
      <w:r>
        <w:t xml:space="preserve">22 Heath-Brown, 1979 [22]</w:t>
      </w:r>
    </w:p>
    <w:p>
      <w:pPr>
        <w:pStyle w:val="FirstParagraph"/>
      </w:pPr>
      <w:r>
        <w:t xml:space="preserve">Zero density plus higher-order zero-energy information. A direct ancestor of the</w:t>
      </w:r>
      <w:r>
        <w:t xml:space="preserve"> </w:t>
      </w:r>
      <m:oMath>
        <m:sSup>
          <m:e>
            <m:r>
              <m:t>A</m:t>
            </m:r>
          </m:e>
          <m:sup>
            <m:r>
              <m:rPr>
                <m:sty m:val="p"/>
              </m:rPr>
              <m:t>*</m:t>
            </m:r>
          </m:sup>
        </m:sSup>
        <m:d>
          <m:dPr>
            <m:begChr m:val="("/>
            <m:endChr m:val=")"/>
            <m:sepChr m:val=""/>
            <m:grow/>
          </m:dPr>
          <m:e>
            <m:r>
              <m:t>σ</m:t>
            </m:r>
          </m:e>
        </m:d>
      </m:oMath>
      <w:r>
        <w:t xml:space="preserve"> </w:t>
      </w:r>
      <w:r>
        <w:t xml:space="preserve">machinery later systematized in [63] and consumed by [74].</w:t>
      </w:r>
    </w:p>
    <w:bookmarkEnd w:id="162"/>
    <w:bookmarkStart w:id="163" w:name="robin-1984-23"/>
    <w:p>
      <w:pPr>
        <w:pStyle w:val="Heading2"/>
      </w:pPr>
      <w:r>
        <w:t xml:space="preserve">23 Robin, 1984 [23]</w:t>
      </w:r>
    </w:p>
    <w:p>
      <w:pPr>
        <w:pStyle w:val="FirstParagraph"/>
      </w:pPr>
      <w:r>
        <w:t xml:space="preserve">Gives an arithmetic inequality involving the divisor-sum function equivalent to RH.</w:t>
      </w:r>
    </w:p>
    <w:bookmarkEnd w:id="163"/>
    <w:bookmarkStart w:id="164" w:name="ivić-1984-24"/>
    <w:p>
      <w:pPr>
        <w:pStyle w:val="Heading2"/>
      </w:pPr>
      <w:r>
        <w:t xml:space="preserve">24 Ivić, 1984 [24]</w:t>
      </w:r>
    </w:p>
    <w:p>
      <w:pPr>
        <w:pStyle w:val="FirstParagraph"/>
      </w:pPr>
      <w:r>
        <w:t xml:space="preserve">Another major zero-density node in the pre-modern envelope.</w:t>
      </w:r>
    </w:p>
    <w:bookmarkEnd w:id="164"/>
    <w:bookmarkStart w:id="165" w:name="berry-1986-25"/>
    <w:p>
      <w:pPr>
        <w:pStyle w:val="Heading2"/>
      </w:pPr>
      <w:r>
        <w:t xml:space="preserve">25 Berry, 1986 [25]</w:t>
      </w:r>
    </w:p>
    <w:p>
      <w:pPr>
        <w:pStyle w:val="FirstParagraph"/>
      </w:pPr>
      <w:r>
        <w:t xml:space="preserve">Frames zeta zeros as a quantum-chaos spectrum. Major physics entry point.</w:t>
      </w:r>
    </w:p>
    <w:bookmarkEnd w:id="165"/>
    <w:bookmarkStart w:id="166" w:name="goldston-montgomery-1987-26"/>
    <w:p>
      <w:pPr>
        <w:pStyle w:val="Heading2"/>
      </w:pPr>
      <w:r>
        <w:t xml:space="preserve">26 Goldston-Montgomery, 1987 [26]</w:t>
      </w:r>
    </w:p>
    <w:p>
      <w:pPr>
        <w:pStyle w:val="FirstParagraph"/>
      </w:pPr>
      <w:r>
        <w:t xml:space="preserve">Makes the pair-correlation/short-prime-interval connection quantitative and close to bidirectional under suitable hypotheses.</w:t>
      </w:r>
    </w:p>
    <w:bookmarkEnd w:id="166"/>
    <w:bookmarkStart w:id="167" w:name="odlyzko-1987-27"/>
    <w:p>
      <w:pPr>
        <w:pStyle w:val="Heading2"/>
      </w:pPr>
      <w:r>
        <w:t xml:space="preserve">27 Odlyzko, 1987 [27]</w:t>
      </w:r>
    </w:p>
    <w:p>
      <w:pPr>
        <w:pStyle w:val="FirstParagraph"/>
      </w:pPr>
      <w:r>
        <w:t xml:space="preserve">High-zero computation provides remarkable GUE agreement. Evidence, not proof.</w:t>
      </w:r>
    </w:p>
    <w:bookmarkEnd w:id="167"/>
    <w:bookmarkStart w:id="168" w:name="conrey-1989-28"/>
    <w:p>
      <w:pPr>
        <w:pStyle w:val="Heading2"/>
      </w:pPr>
      <w:r>
        <w:t xml:space="preserve">28 Conrey, 1989 [28]</w:t>
      </w:r>
    </w:p>
    <w:p>
      <w:pPr>
        <w:pStyle w:val="FirstParagraph"/>
      </w:pPr>
      <w:r>
        <w:t xml:space="preserve">Pushes the Levinson method beyond two fifths and establishes the long-lived critical-line proportion benchmark lineage.</w:t>
      </w:r>
    </w:p>
    <w:bookmarkEnd w:id="168"/>
    <w:bookmarkStart w:id="169" w:name="deninger-1992-29"/>
    <w:p>
      <w:pPr>
        <w:pStyle w:val="Heading2"/>
      </w:pPr>
      <w:r>
        <w:t xml:space="preserve">29 Deninger, 1992 [29]</w:t>
      </w:r>
    </w:p>
    <w:p>
      <w:pPr>
        <w:pStyle w:val="FirstParagraph"/>
      </w:pPr>
      <w:r>
        <w:t xml:space="preserve">Pursues determinant/cohomological interpretations of L-factors and zeros, part of the geometric-spectral corridor.</w:t>
      </w:r>
    </w:p>
    <w:bookmarkEnd w:id="169"/>
    <w:bookmarkStart w:id="170" w:name="csordas-smith-varga-1994-30"/>
    <w:p>
      <w:pPr>
        <w:pStyle w:val="Heading2"/>
      </w:pPr>
      <w:r>
        <w:t xml:space="preserve">30 Csordas-Smith-Varga, 1994 [30]</w:t>
      </w:r>
    </w:p>
    <w:p>
      <w:pPr>
        <w:pStyle w:val="FirstParagraph"/>
      </w:pPr>
      <w:r>
        <w:t xml:space="preserve">Links Lehmer pairs and quantitative behavior of the de Bruijn-Newman constant.</w:t>
      </w:r>
    </w:p>
    <w:bookmarkEnd w:id="170"/>
    <w:bookmarkStart w:id="171" w:name="li-1997-31"/>
    <w:p>
      <w:pPr>
        <w:pStyle w:val="Heading2"/>
      </w:pPr>
      <w:r>
        <w:t xml:space="preserve">31 Li, 1997 [31]</w:t>
      </w:r>
    </w:p>
    <w:p>
      <w:pPr>
        <w:pStyle w:val="FirstParagraph"/>
      </w:pPr>
      <w:r>
        <w:t xml:space="preserve">RH becomes positivity of an infinite sequence of explicit coefficients.</w:t>
      </w:r>
    </w:p>
    <w:bookmarkEnd w:id="171"/>
    <w:bookmarkStart w:id="172" w:name="balazard-saias-yor-1999-32"/>
    <w:p>
      <w:pPr>
        <w:pStyle w:val="Heading2"/>
      </w:pPr>
      <w:r>
        <w:t xml:space="preserve">32 Balazard-Saias-Yor, 1999 [32]</w:t>
      </w:r>
    </w:p>
    <w:p>
      <w:pPr>
        <w:pStyle w:val="FirstParagraph"/>
      </w:pPr>
      <w:r>
        <w:t xml:space="preserve">An integral criterion equivalent to RH, converting zero location into a weighted integral of</w:t>
      </w:r>
      <w:r>
        <w:t xml:space="preserve"> </w:t>
      </w:r>
      <m:oMath>
        <m:r>
          <m:rPr>
            <m:sty m:val="p"/>
          </m:rPr>
          <m:t>log</m:t>
        </m:r>
        <m:d>
          <m:dPr>
            <m:begChr m:val="|"/>
            <m:endChr m:val="|"/>
            <m:sepChr m:val=""/>
            <m:grow/>
          </m:dPr>
          <m:e>
            <m:r>
              <m:t>ζ</m:t>
            </m:r>
          </m:e>
        </m:d>
      </m:oMath>
      <w:r>
        <w:t xml:space="preserve">.</w:t>
      </w:r>
    </w:p>
    <w:bookmarkEnd w:id="172"/>
    <w:bookmarkStart w:id="173" w:name="berry-keating-1999-33"/>
    <w:p>
      <w:pPr>
        <w:pStyle w:val="Heading2"/>
      </w:pPr>
      <w:r>
        <w:t xml:space="preserve">33 Berry-Keating, 1999 [33]</w:t>
      </w:r>
    </w:p>
    <w:p>
      <w:pPr>
        <w:pStyle w:val="FirstParagraph"/>
      </w:pPr>
      <w:r>
        <w:t xml:space="preserve">Develops semiclassical spectral asymptotics and the</w:t>
      </w:r>
      <w:r>
        <w:t xml:space="preserve"> </w:t>
      </w:r>
      <m:oMath>
        <m:r>
          <m:t>x</m:t>
        </m:r>
        <m:r>
          <m:t>p</m:t>
        </m:r>
      </m:oMath>
      <w:r>
        <w:t xml:space="preserve">-type Hilbert-Pólya intuition.</w:t>
      </w:r>
    </w:p>
    <w:bookmarkEnd w:id="173"/>
    <w:bookmarkStart w:id="174" w:name="connes-1999-34"/>
    <w:p>
      <w:pPr>
        <w:pStyle w:val="Heading2"/>
      </w:pPr>
      <w:r>
        <w:t xml:space="preserve">34 Connes, 1999 [34]</w:t>
      </w:r>
    </w:p>
    <w:p>
      <w:pPr>
        <w:pStyle w:val="FirstParagraph"/>
      </w:pPr>
      <w:r>
        <w:t xml:space="preserve">Noncommutative geometry and a trace-formula interpretation of zeros. A serious structural program rather than a completed RH proof.</w:t>
      </w:r>
    </w:p>
    <w:bookmarkEnd w:id="174"/>
    <w:bookmarkStart w:id="175" w:name="bombieri-lagarias-1999-35"/>
    <w:p>
      <w:pPr>
        <w:pStyle w:val="Heading2"/>
      </w:pPr>
      <w:r>
        <w:t xml:space="preserve">35 Bombieri-Lagarias, 1999 [35]</w:t>
      </w:r>
    </w:p>
    <w:p>
      <w:pPr>
        <w:pStyle w:val="FirstParagraph"/>
      </w:pPr>
      <w:r>
        <w:t xml:space="preserve">Generalizes Li-type criteria and clarifies positivity conditions for zero sets.</w:t>
      </w:r>
    </w:p>
    <w:bookmarkEnd w:id="175"/>
    <w:bookmarkStart w:id="176" w:name="bazzanella-perelli-2000-36"/>
    <w:p>
      <w:pPr>
        <w:pStyle w:val="Heading2"/>
      </w:pPr>
      <w:r>
        <w:t xml:space="preserve">36 Bazzanella-Perelli, 2000 [36]</w:t>
      </w:r>
    </w:p>
    <w:p>
      <w:pPr>
        <w:pStyle w:val="FirstParagraph"/>
      </w:pPr>
      <w:r>
        <w:t xml:space="preserve">Exceptional sets for primes in short intervals. A direct methodological ancestor of Gafni-Tao.</w:t>
      </w:r>
    </w:p>
    <w:bookmarkEnd w:id="176"/>
    <w:bookmarkStart w:id="177" w:name="goldston-gonek-özlük-snyder-2000-37"/>
    <w:p>
      <w:pPr>
        <w:pStyle w:val="Heading2"/>
      </w:pPr>
      <w:r>
        <w:t xml:space="preserve">37 Goldston-Gonek-Özlük-Snyder, 2000 [37]</w:t>
      </w:r>
    </w:p>
    <w:p>
      <w:pPr>
        <w:pStyle w:val="FirstParagraph"/>
      </w:pPr>
      <w:r>
        <w:t xml:space="preserve">Improves pair-correlation technology and quantitative zero-spacing information.</w:t>
      </w:r>
    </w:p>
    <w:bookmarkEnd w:id="177"/>
    <w:bookmarkStart w:id="178" w:name="keating-snaith-2000-38"/>
    <w:p>
      <w:pPr>
        <w:pStyle w:val="Heading2"/>
      </w:pPr>
      <w:r>
        <w:t xml:space="preserve">38 Keating-Snaith, 2000 [38]</w:t>
      </w:r>
    </w:p>
    <w:p>
      <w:pPr>
        <w:pStyle w:val="FirstParagraph"/>
      </w:pPr>
      <w:r>
        <w:t xml:space="preserve">Random matrix characteristic-polynomial models predict zeta moments and constants, deeply influencing modern moment conjectures.</w:t>
      </w:r>
    </w:p>
    <w:bookmarkEnd w:id="178"/>
    <w:bookmarkStart w:id="179" w:name="bombieri-2000-39"/>
    <w:p>
      <w:pPr>
        <w:pStyle w:val="Heading2"/>
      </w:pPr>
      <w:r>
        <w:t xml:space="preserve">39 Bombieri, 2000 [39]</w:t>
      </w:r>
    </w:p>
    <w:p>
      <w:pPr>
        <w:pStyle w:val="FirstParagraph"/>
      </w:pPr>
      <w:r>
        <w:t xml:space="preserve">Develops Weil’s quadratic functional and positivity viewpoint.</w:t>
      </w:r>
    </w:p>
    <w:bookmarkEnd w:id="179"/>
    <w:bookmarkStart w:id="180" w:name="lagarias-2002-40"/>
    <w:p>
      <w:pPr>
        <w:pStyle w:val="Heading2"/>
      </w:pPr>
      <w:r>
        <w:t xml:space="preserve">40 Lagarias, 2002 [40]</w:t>
      </w:r>
    </w:p>
    <w:p>
      <w:pPr>
        <w:pStyle w:val="FirstParagraph"/>
      </w:pPr>
      <w:r>
        <w:t xml:space="preserve">Turns Robin’s criterion into an elementary harmonic-number inequality equivalent to RH.</w:t>
      </w:r>
    </w:p>
    <w:bookmarkEnd w:id="180"/>
    <w:bookmarkStart w:id="181" w:name="chan-2003-41"/>
    <w:p>
      <w:pPr>
        <w:pStyle w:val="Heading2"/>
      </w:pPr>
      <w:r>
        <w:t xml:space="preserve">41 Chan, 2003 [41]</w:t>
      </w:r>
    </w:p>
    <w:p>
      <w:pPr>
        <w:pStyle w:val="FirstParagraph"/>
      </w:pPr>
      <w:r>
        <w:t xml:space="preserve">Refines the prime-short-interval versus pair-correlation dictionary.</w:t>
      </w:r>
    </w:p>
    <w:bookmarkEnd w:id="181"/>
    <w:bookmarkStart w:id="182" w:name="báez-duarte-2003-42"/>
    <w:p>
      <w:pPr>
        <w:pStyle w:val="Heading2"/>
      </w:pPr>
      <w:r>
        <w:t xml:space="preserve">42 Báez-Duarte, 2003 [42]</w:t>
      </w:r>
    </w:p>
    <w:p>
      <w:pPr>
        <w:pStyle w:val="FirstParagraph"/>
      </w:pPr>
      <w:r>
        <w:t xml:space="preserve">Strengthens the Nyman-Beurling criterion and makes the approximation problem more discrete.</w:t>
      </w:r>
    </w:p>
    <w:bookmarkEnd w:id="182"/>
    <w:bookmarkStart w:id="183" w:name="bombieri-2003-43"/>
    <w:p>
      <w:pPr>
        <w:pStyle w:val="Heading2"/>
      </w:pPr>
      <w:r>
        <w:t xml:space="preserve">43 Bombieri, 2003 [43]</w:t>
      </w:r>
    </w:p>
    <w:p>
      <w:pPr>
        <w:pStyle w:val="FirstParagraph"/>
      </w:pPr>
      <w:r>
        <w:t xml:space="preserve">Variational treatment of the explicit formula, connecting optimization and positivity.</w:t>
      </w:r>
    </w:p>
    <w:bookmarkEnd w:id="183"/>
    <w:bookmarkStart w:id="184" w:name="burnol-2004-44"/>
    <w:p>
      <w:pPr>
        <w:pStyle w:val="Heading2"/>
      </w:pPr>
      <w:r>
        <w:t xml:space="preserve">44 Burnol, 2004 [44]</w:t>
      </w:r>
    </w:p>
    <w:p>
      <w:pPr>
        <w:pStyle w:val="FirstParagraph"/>
      </w:pPr>
      <w:r>
        <w:t xml:space="preserve">Constructs complete/minimal systems associated with zeta zeros, another functional-spectral approach.</w:t>
      </w:r>
    </w:p>
    <w:bookmarkEnd w:id="184"/>
    <w:bookmarkStart w:id="185" w:name="ki-kim-lee-2009-45"/>
    <w:p>
      <w:pPr>
        <w:pStyle w:val="Heading2"/>
      </w:pPr>
      <w:r>
        <w:t xml:space="preserve">45 Ki-Kim-Lee, 2009 [45]</w:t>
      </w:r>
    </w:p>
    <w:p>
      <w:pPr>
        <w:pStyle w:val="FirstParagraph"/>
      </w:pPr>
      <w:r>
        <w:t xml:space="preserve">Advances quantitative control of the de Bruijn-Newman constant from the upper-bound side.</w:t>
      </w:r>
    </w:p>
    <w:bookmarkEnd w:id="185"/>
    <w:bookmarkStart w:id="186" w:name="bui-conrey-young-2011-46"/>
    <w:p>
      <w:pPr>
        <w:pStyle w:val="Heading2"/>
      </w:pPr>
      <w:r>
        <w:t xml:space="preserve">46 Bui-Conrey-Young, 2011 [46]</w:t>
      </w:r>
    </w:p>
    <w:p>
      <w:pPr>
        <w:pStyle w:val="FirstParagraph"/>
      </w:pPr>
      <w:r>
        <w:t xml:space="preserve">Two-piece mollifier improves critical-line proportions to more than 41 percent and refines the simplicity statistic.</w:t>
      </w:r>
    </w:p>
    <w:bookmarkEnd w:id="186"/>
    <w:bookmarkStart w:id="187" w:name="feng-2012-47"/>
    <w:p>
      <w:pPr>
        <w:pStyle w:val="Heading2"/>
      </w:pPr>
      <w:r>
        <w:t xml:space="preserve">47 Feng, 2012 [47]</w:t>
      </w:r>
    </w:p>
    <w:p>
      <w:pPr>
        <w:pStyle w:val="FirstParagraph"/>
      </w:pPr>
      <w:r>
        <w:t xml:space="preserve">Further refinement of the mollifier/critical-line proportion corridor.</w:t>
      </w:r>
    </w:p>
    <w:bookmarkEnd w:id="187"/>
    <w:bookmarkStart w:id="188" w:name="connes-consani-2014-48"/>
    <w:p>
      <w:pPr>
        <w:pStyle w:val="Heading2"/>
      </w:pPr>
      <w:r>
        <w:t xml:space="preserve">48 Connes-Consani, 2014 [48]</w:t>
      </w:r>
    </w:p>
    <w:p>
      <w:pPr>
        <w:pStyle w:val="FirstParagraph"/>
      </w:pPr>
      <w:r>
        <w:t xml:space="preserve">Arithmetic-site program seeks geometry appropriate to arithmetic over the integers/characteristic one.</w:t>
      </w:r>
    </w:p>
    <w:bookmarkEnd w:id="188"/>
    <w:bookmarkStart w:id="189" w:name="fyodorov-keating-2014-49"/>
    <w:p>
      <w:pPr>
        <w:pStyle w:val="Heading2"/>
      </w:pPr>
      <w:r>
        <w:t xml:space="preserve">49 Fyodorov-Keating, 2014 [49]</w:t>
      </w:r>
    </w:p>
    <w:p>
      <w:pPr>
        <w:pStyle w:val="FirstParagraph"/>
      </w:pPr>
      <w:r>
        <w:t xml:space="preserve">Statistical mechanics of zeta extremes, including freezing-transition predictions.</w:t>
      </w:r>
    </w:p>
    <w:bookmarkEnd w:id="189"/>
    <w:bookmarkStart w:id="190" w:name="bender-brody-müller-2017-50"/>
    <w:p>
      <w:pPr>
        <w:pStyle w:val="Heading2"/>
      </w:pPr>
      <w:r>
        <w:t xml:space="preserve">50 Bender-Brody-Müller, 2017 [50]</w:t>
      </w:r>
    </w:p>
    <w:p>
      <w:pPr>
        <w:pStyle w:val="FirstParagraph"/>
      </w:pPr>
      <w:r>
        <w:t xml:space="preserve">Proposes a Hamiltonian aimed at encoding the zeros. The remaining operator-domain/self-adjointness/completeness issues are exactly the kind of gaps that distinguish a spectral model from an RH proof.</w:t>
      </w:r>
    </w:p>
    <w:bookmarkEnd w:id="190"/>
    <w:bookmarkStart w:id="191" w:name="kerr-2019-51"/>
    <w:p>
      <w:pPr>
        <w:pStyle w:val="Heading2"/>
      </w:pPr>
      <w:r>
        <w:t xml:space="preserve">51 Kerr, 2019 [51]</w:t>
      </w:r>
    </w:p>
    <w:p>
      <w:pPr>
        <w:pStyle w:val="FirstParagraph"/>
      </w:pPr>
      <w:r>
        <w:t xml:space="preserve">Large values of Dirichlet polynomials and zero density. A nearby predecessor in the analytic corridor later transformed by Guth-Maynard.</w:t>
      </w:r>
    </w:p>
    <w:bookmarkEnd w:id="191"/>
    <w:bookmarkStart w:id="192" w:name="d.-h.-j.-polymath-2019-52"/>
    <w:p>
      <w:pPr>
        <w:pStyle w:val="Heading2"/>
      </w:pPr>
      <w:r>
        <w:t xml:space="preserve">52 D. H. J. Polymath, 2019 [52]</w:t>
      </w:r>
    </w:p>
    <w:p>
      <w:pPr>
        <w:pStyle w:val="FirstParagraph"/>
      </w:pPr>
      <w:r>
        <w:t xml:space="preserve">Rigorous heat-flow computation and improved upper bound for the de Bruijn-Newman constant.</w:t>
      </w:r>
    </w:p>
    <w:bookmarkEnd w:id="192"/>
    <w:bookmarkStart w:id="193" w:name="chirre-gonçalves-de-laat-2020-53"/>
    <w:p>
      <w:pPr>
        <w:pStyle w:val="Heading2"/>
      </w:pPr>
      <w:r>
        <w:t xml:space="preserve">53 Chirre-Gonçalves-de Laat, 2020 [53]</w:t>
      </w:r>
    </w:p>
    <w:p>
      <w:pPr>
        <w:pStyle w:val="FirstParagraph"/>
      </w:pPr>
      <w:r>
        <w:t xml:space="preserve">Uses semidefinite programming to optimize pair-correlation bounds. Important model for machine-discovered but rigorously certifiable analytic inequalities.</w:t>
      </w:r>
    </w:p>
    <w:bookmarkEnd w:id="193"/>
    <w:bookmarkStart w:id="194" w:name="pratt-robles-zaharescu-zeindler-2020-54"/>
    <w:p>
      <w:pPr>
        <w:pStyle w:val="Heading2"/>
      </w:pPr>
      <w:r>
        <w:t xml:space="preserve">54 Pratt-Robles-Zaharescu-Zeindler, 2020 [54]</w:t>
      </w:r>
    </w:p>
    <w:p>
      <w:pPr>
        <w:pStyle w:val="FirstParagraph"/>
      </w:pPr>
      <w:r>
        <w:t xml:space="preserve">Proves more than five twelfths of zeros lie on the critical line, a major modern Levinson-type benchmark.</w:t>
      </w:r>
    </w:p>
    <w:bookmarkEnd w:id="194"/>
    <w:bookmarkStart w:id="195" w:name="rodgers-tao-2020-55"/>
    <w:p>
      <w:pPr>
        <w:pStyle w:val="Heading2"/>
      </w:pPr>
      <w:r>
        <w:t xml:space="preserve">55 Rodgers-Tao, 2020 [55]</w:t>
      </w:r>
    </w:p>
    <w:p>
      <w:pPr>
        <w:pStyle w:val="FirstParagraph"/>
      </w:pPr>
      <w:r>
        <w:t xml:space="preserve">Proves</w:t>
      </w:r>
      <w:r>
        <w:t xml:space="preserve"> </w:t>
      </w:r>
      <m:oMath>
        <m:r>
          <m:t>Λ</m:t>
        </m:r>
        <m:r>
          <m:rPr>
            <m:sty m:val="p"/>
          </m:rPr>
          <m:t>≥</m:t>
        </m:r>
        <m:r>
          <m:t>0</m:t>
        </m:r>
      </m:oMath>
      <w:r>
        <w:t xml:space="preserve">. RH becomes exactly</w:t>
      </w:r>
      <w:r>
        <w:t xml:space="preserve"> </w:t>
      </w:r>
      <m:oMath>
        <m:r>
          <m:t>Λ</m:t>
        </m:r>
        <m:r>
          <m:rPr>
            <m:sty m:val="p"/>
          </m:rPr>
          <m:t>=</m:t>
        </m:r>
        <m:r>
          <m:t>0</m:t>
        </m:r>
      </m:oMath>
      <w:r>
        <w:t xml:space="preserve"> </w:t>
      </w:r>
      <w:r>
        <w:t xml:space="preserve">in the de Bruijn-Newman language.</w:t>
      </w:r>
    </w:p>
    <w:bookmarkEnd w:id="195"/>
    <w:bookmarkStart w:id="196" w:name="platt-trudgian-2021-56"/>
    <w:p>
      <w:pPr>
        <w:pStyle w:val="Heading2"/>
      </w:pPr>
      <w:r>
        <w:t xml:space="preserve">56 Platt-Trudgian, 2021 [56]</w:t>
      </w:r>
    </w:p>
    <w:p>
      <w:pPr>
        <w:pStyle w:val="FirstParagraph"/>
      </w:pPr>
      <w:r>
        <w:t xml:space="preserve">Rigorous finite verification of RH to height</w:t>
      </w:r>
      <w:r>
        <w:t xml:space="preserve"> </w:t>
      </w:r>
      <m:oMath>
        <m:r>
          <m:t>3</m:t>
        </m:r>
        <m:r>
          <m:rPr>
            <m:sty m:val="p"/>
          </m:rPr>
          <m:t>×</m:t>
        </m:r>
        <m:sSup>
          <m:e>
            <m:r>
              <m:t>10</m:t>
            </m:r>
          </m:e>
          <m:sup>
            <m:r>
              <m:t>12</m:t>
            </m:r>
          </m:sup>
        </m:sSup>
      </m:oMath>
      <w:r>
        <w:t xml:space="preserve">.</w:t>
      </w:r>
    </w:p>
    <w:bookmarkEnd w:id="196"/>
    <w:bookmarkStart w:id="197" w:name="aryan-2022-57"/>
    <w:p>
      <w:pPr>
        <w:pStyle w:val="Heading2"/>
      </w:pPr>
      <w:r>
        <w:t xml:space="preserve">57 Aryan, 2022 [57]</w:t>
      </w:r>
    </w:p>
    <w:p>
      <w:pPr>
        <w:pStyle w:val="FirstParagraph"/>
      </w:pPr>
      <w:r>
        <w:t xml:space="preserve">Extends a Landau-Gonek formula and supplies analytic input later used in modern pair-correlation/critical-zero arguments.</w:t>
      </w:r>
    </w:p>
    <w:bookmarkEnd w:id="197"/>
    <w:bookmarkStart w:id="198" w:name="mossinghoff-trudgian-yang-2024-58"/>
    <w:p>
      <w:pPr>
        <w:pStyle w:val="Heading2"/>
      </w:pPr>
      <w:r>
        <w:t xml:space="preserve">58 Mossinghoff-Trudgian-Yang, 2024 [58]</w:t>
      </w:r>
    </w:p>
    <w:p>
      <w:pPr>
        <w:pStyle w:val="FirstParagraph"/>
      </w:pPr>
      <w:r>
        <w:t xml:space="preserve">Improves explicit zero-free-region constants and the computational-analytic interface near</w:t>
      </w:r>
      <w:r>
        <w:t xml:space="preserve"> </w:t>
      </w:r>
      <m:oMath>
        <m:r>
          <m:rPr>
            <m:sty m:val="p"/>
          </m:rPr>
          <m:t>Re</m:t>
        </m:r>
        <m:d>
          <m:dPr>
            <m:begChr m:val="("/>
            <m:endChr m:val=")"/>
            <m:sepChr m:val=""/>
            <m:grow/>
          </m:dPr>
          <m:e>
            <m:r>
              <m:t>s</m:t>
            </m:r>
          </m:e>
        </m:d>
        <m:r>
          <m:rPr>
            <m:sty m:val="p"/>
          </m:rPr>
          <m:t>=</m:t>
        </m:r>
        <m:r>
          <m:t>1</m:t>
        </m:r>
      </m:oMath>
      <w:r>
        <w:t xml:space="preserve">.</w:t>
      </w:r>
    </w:p>
    <w:bookmarkEnd w:id="198"/>
    <w:bookmarkStart w:id="199" w:name="kapustin-2024-59"/>
    <w:p>
      <w:pPr>
        <w:pStyle w:val="Heading2"/>
      </w:pPr>
      <w:r>
        <w:t xml:space="preserve">59 Kapustin, 2024 [59]</w:t>
      </w:r>
    </w:p>
    <w:p>
      <w:pPr>
        <w:pStyle w:val="FirstParagraph"/>
      </w:pPr>
      <w:r>
        <w:t xml:space="preserve">Explores Hilbert-Pólya operators in an indefinite inner-product setting, widening the spectral framework beyond standard Hilbert spaces.</w:t>
      </w:r>
    </w:p>
    <w:bookmarkEnd w:id="199"/>
    <w:bookmarkStart w:id="200" w:name="conrey-2024-60"/>
    <w:p>
      <w:pPr>
        <w:pStyle w:val="Heading2"/>
      </w:pPr>
      <w:r>
        <w:t xml:space="preserve">60 Conrey, 2024 [60]</w:t>
      </w:r>
    </w:p>
    <w:p>
      <w:pPr>
        <w:pStyle w:val="FirstParagraph"/>
      </w:pPr>
      <w:r>
        <w:t xml:space="preserve">A character-sum inequality is shown sufficient for RH. A finite-arithmetic criterion whose missing estimate remains deep.</w:t>
      </w:r>
    </w:p>
    <w:bookmarkEnd w:id="200"/>
    <w:bookmarkStart w:id="201" w:name="leclair-mussardo-2024-61"/>
    <w:p>
      <w:pPr>
        <w:pStyle w:val="Heading2"/>
      </w:pPr>
      <w:r>
        <w:t xml:space="preserve">61 LeClair-Mussardo, 2024 [61]</w:t>
      </w:r>
    </w:p>
    <w:p>
      <w:pPr>
        <w:pStyle w:val="FirstParagraph"/>
      </w:pPr>
      <w:r>
        <w:t xml:space="preserve">Scattering/Bethe-ansatz interpretation of critical-line zeros as quantized energies. Physics-inspired spectral model.</w:t>
      </w:r>
    </w:p>
    <w:bookmarkEnd w:id="201"/>
    <w:bookmarkStart w:id="202" w:name="X71f41c537467f512b44594adff00c83e47789ff"/>
    <w:p>
      <w:pPr>
        <w:pStyle w:val="Heading2"/>
      </w:pPr>
      <w:r>
        <w:t xml:space="preserve">62 Baluyot-Goldston-Suriajaya-Turnage-Butterbaugh, 2024 [62]</w:t>
      </w:r>
    </w:p>
    <w:p>
      <w:pPr>
        <w:pStyle w:val="FirstParagraph"/>
      </w:pPr>
      <w:r>
        <w:t xml:space="preserve">Removes RH from a Montgomery-type pair-correlation theorem, opening a route to analyze horizontal as well as vertical zero distribution.</w:t>
      </w:r>
    </w:p>
    <w:bookmarkEnd w:id="202"/>
    <w:bookmarkStart w:id="203" w:name="tao-trudgian-yang-2025-63"/>
    <w:p>
      <w:pPr>
        <w:pStyle w:val="Heading2"/>
      </w:pPr>
      <w:r>
        <w:t xml:space="preserve">63 Tao-Trudgian-Yang, 2025 [63]</w:t>
      </w:r>
    </w:p>
    <w:p>
      <w:pPr>
        <w:pStyle w:val="FirstParagraph"/>
      </w:pPr>
      <w:r>
        <w:t xml:space="preserve">Systematizes exponent pairs, zero-density estimates, and zero additive energy. Supplies optimized</w:t>
      </w:r>
      <w:r>
        <w:t xml:space="preserve"> </w:t>
      </w:r>
      <m:oMath>
        <m:r>
          <m:t>A</m:t>
        </m:r>
        <m:d>
          <m:dPr>
            <m:begChr m:val="("/>
            <m:endChr m:val=")"/>
            <m:sepChr m:val=""/>
            <m:grow/>
          </m:dPr>
          <m:e>
            <m:r>
              <m:t>σ</m:t>
            </m:r>
          </m:e>
        </m:d>
      </m:oMath>
      <w:r>
        <w:t xml:space="preserve"> </w:t>
      </w:r>
      <w:r>
        <w:t xml:space="preserve">and</w:t>
      </w:r>
      <w:r>
        <w:t xml:space="preserve"> </w:t>
      </w:r>
      <m:oMath>
        <m:sSup>
          <m:e>
            <m:r>
              <m:t>A</m:t>
            </m:r>
          </m:e>
          <m:sup>
            <m:r>
              <m:rPr>
                <m:sty m:val="p"/>
              </m:rPr>
              <m:t>*</m:t>
            </m:r>
          </m:sup>
        </m:sSup>
        <m:d>
          <m:dPr>
            <m:begChr m:val="("/>
            <m:endChr m:val=")"/>
            <m:sepChr m:val=""/>
            <m:grow/>
          </m:dPr>
          <m:e>
            <m:r>
              <m:t>σ</m:t>
            </m:r>
          </m:e>
        </m:d>
      </m:oMath>
      <w:r>
        <w:t xml:space="preserve"> </w:t>
      </w:r>
      <w:r>
        <w:t xml:space="preserve">information used by later transfer arguments.</w:t>
      </w:r>
    </w:p>
    <w:bookmarkEnd w:id="203"/>
    <w:bookmarkStart w:id="204" w:name="baluyot-et-al.-2025-64"/>
    <w:p>
      <w:pPr>
        <w:pStyle w:val="Heading2"/>
      </w:pPr>
      <w:r>
        <w:t xml:space="preserve">64 Baluyot et al., 2025 [64]</w:t>
      </w:r>
    </w:p>
    <w:p>
      <w:pPr>
        <w:pStyle w:val="FirstParagraph"/>
      </w:pPr>
      <w:r>
        <w:t xml:space="preserve">Modern pair-correlation program focused on proportions of simple and critical zeros without simply assuming all zeros start on the line.</w:t>
      </w:r>
    </w:p>
    <w:bookmarkEnd w:id="204"/>
    <w:bookmarkStart w:id="205" w:name="goldston-lee-schettler-suriajaya-2025-65"/>
    <w:p>
      <w:pPr>
        <w:pStyle w:val="Heading2"/>
      </w:pPr>
      <w:r>
        <w:t xml:space="preserve">65 Goldston-Lee-Schettler-Suriajaya, 2025 [65]</w:t>
      </w:r>
    </w:p>
    <w:p>
      <w:pPr>
        <w:pStyle w:val="FirstParagraph"/>
      </w:pPr>
      <w:r>
        <w:t xml:space="preserve">Shows full PCC implies asymptotically 100 percent simple and critical zeros without separately assuming RH. A major conditional bridge, still stopping at density one.</w:t>
      </w:r>
    </w:p>
    <w:bookmarkEnd w:id="205"/>
    <w:bookmarkStart w:id="206" w:name="goldston-lee-schettler-suriajaya-2025-66"/>
    <w:p>
      <w:pPr>
        <w:pStyle w:val="Heading2"/>
      </w:pPr>
      <w:r>
        <w:t xml:space="preserve">66 Goldston-Lee-Schettler-Suriajaya, 2025 [66]</w:t>
      </w:r>
    </w:p>
    <w:p>
      <w:pPr>
        <w:pStyle w:val="FirstParagraph"/>
      </w:pPr>
      <w:r>
        <w:t xml:space="preserve">Studies an alternative pair-statistical hypothesis and its consequences, helping separate which statistical features force which zero-distribution conclusions.</w:t>
      </w:r>
    </w:p>
    <w:bookmarkEnd w:id="206"/>
    <w:bookmarkStart w:id="207" w:name="X53656b4a6b86ea2170addc7bc231fce8aefd481"/>
    <w:p>
      <w:pPr>
        <w:pStyle w:val="Heading2"/>
      </w:pPr>
      <w:r>
        <w:t xml:space="preserve">67 Conrey-Farmer-Kwan-Lin-Turnage-Butterbaugh, 2025 [67]</w:t>
      </w:r>
    </w:p>
    <w:p>
      <w:pPr>
        <w:pStyle w:val="FirstParagraph"/>
      </w:pPr>
      <w:r>
        <w:t xml:space="preserve">Shows that better optimization of derivative combinations can make very short mollifiers useful in Levinson’s framework. A reminder that optimizer design can matter as much as stronger arithmetic input.</w:t>
      </w:r>
    </w:p>
    <w:bookmarkEnd w:id="207"/>
    <w:bookmarkStart w:id="208" w:name="goldston-suriajaya-2025-68"/>
    <w:p>
      <w:pPr>
        <w:pStyle w:val="Heading2"/>
      </w:pPr>
      <w:r>
        <w:t xml:space="preserve">68 Goldston-Suriajaya, 2025 [68]</w:t>
      </w:r>
    </w:p>
    <w:p>
      <w:pPr>
        <w:pStyle w:val="FirstParagraph"/>
      </w:pPr>
      <w:r>
        <w:t xml:space="preserve">Develops a route for detecting critical zeros using generalized zero-pair sums rather than assuming RH outright.</w:t>
      </w:r>
    </w:p>
    <w:bookmarkEnd w:id="208"/>
    <w:bookmarkStart w:id="209" w:name="Xbe5921754d74139922f4b7069c8617f3b704870"/>
    <w:p>
      <w:pPr>
        <w:pStyle w:val="Heading2"/>
      </w:pPr>
      <w:r>
        <w:t xml:space="preserve">69 Matomäki-Radziwiłł-Shao-Tao-Teräväinen, 2026 [69]</w:t>
      </w:r>
    </w:p>
    <w:p>
      <w:pPr>
        <w:pStyle w:val="FirstParagraph"/>
      </w:pPr>
      <w:r>
        <w:t xml:space="preserve">Powerful higher-uniformity results for arithmetic functions in almost all short intervals, including prime correlations with one averaged variable. A major potential arithmetic input for future prime-correlation consumers.</w:t>
      </w:r>
    </w:p>
    <w:bookmarkEnd w:id="209"/>
    <w:bookmarkStart w:id="210" w:name="connes-2026-70"/>
    <w:p>
      <w:pPr>
        <w:pStyle w:val="Heading2"/>
      </w:pPr>
      <w:r>
        <w:t xml:space="preserve">70 Connes, 2026 [70]</w:t>
      </w:r>
    </w:p>
    <w:p>
      <w:pPr>
        <w:pStyle w:val="FirstParagraph"/>
      </w:pPr>
      <w:r>
        <w:t xml:space="preserve">A broad current survey plus an original Weil-form extremization perspective. Useful as a map of the geometric, spectral, and explicit-formula programs, not as an accepted RH proof.</w:t>
      </w:r>
    </w:p>
    <w:bookmarkEnd w:id="210"/>
    <w:bookmarkStart w:id="211" w:name="guth-maynard-2026-71"/>
    <w:p>
      <w:pPr>
        <w:pStyle w:val="Heading2"/>
      </w:pPr>
      <w:r>
        <w:t xml:space="preserve">71 Guth-Maynard, 2026 [71]</w:t>
      </w:r>
    </w:p>
    <w:p>
      <w:pPr>
        <w:pStyle w:val="FirstParagraph"/>
      </w:pPr>
      <w:r>
        <w:t xml:space="preserve">New large-value estimates, improved zero density, and improved prime results in short intervals. One of the central live analytic hubs.</w:t>
      </w:r>
    </w:p>
    <w:bookmarkEnd w:id="211"/>
    <w:bookmarkStart w:id="212" w:name="goldston-suriajaya-2026-72"/>
    <w:p>
      <w:pPr>
        <w:pStyle w:val="Heading2"/>
      </w:pPr>
      <w:r>
        <w:t xml:space="preserve">72 Goldston-Suriajaya, 2026 [72]</w:t>
      </w:r>
    </w:p>
    <w:p>
      <w:pPr>
        <w:pStyle w:val="FirstParagraph"/>
      </w:pPr>
      <w:r>
        <w:t xml:space="preserve">Shows that if zeros in a height window are confined to a shrinking vertical box around the critical line, then a Montgomery-style argument yields at least two thirds simple and critical. A bridge from horizontal concentration to critical-line proportion.</w:t>
      </w:r>
    </w:p>
    <w:bookmarkEnd w:id="212"/>
    <w:bookmarkStart w:id="213" w:name="tao-2026-73"/>
    <w:p>
      <w:pPr>
        <w:pStyle w:val="Heading2"/>
      </w:pPr>
      <w:r>
        <w:t xml:space="preserve">73 Tao, 2026 [73]</w:t>
      </w:r>
    </w:p>
    <w:p>
      <w:pPr>
        <w:pStyle w:val="FirstParagraph"/>
      </w:pPr>
      <w:r>
        <w:t xml:space="preserve">Uses the new short-interval prime landscape in a separate arithmetic problem. Contains a concrete proposition whose availability below the classical</w:t>
      </w:r>
      <w:r>
        <w:t xml:space="preserve"> </w:t>
      </w:r>
      <m:oMath>
        <m:r>
          <m:t>1</m:t>
        </m:r>
        <m:r>
          <m:rPr>
            <m:sty m:val="p"/>
          </m:rPr>
          <m:t>/</m:t>
        </m:r>
        <m:r>
          <m:t>6</m:t>
        </m:r>
      </m:oMath>
      <w:r>
        <w:t xml:space="preserve"> </w:t>
      </w:r>
      <w:r>
        <w:t xml:space="preserve">threshold relies on Guth-Maynard combined with Gafni-Tao/Bazzanella-Perelli type exceptional-set arguments.</w:t>
      </w:r>
    </w:p>
    <w:bookmarkEnd w:id="213"/>
    <w:bookmarkStart w:id="214" w:name="gafni-tao-2026-74"/>
    <w:p>
      <w:pPr>
        <w:pStyle w:val="Heading2"/>
      </w:pPr>
      <w:r>
        <w:t xml:space="preserve">74 Gafni-Tao, 2026 [74]</w:t>
      </w:r>
    </w:p>
    <w:p>
      <w:pPr>
        <w:pStyle w:val="FirstParagraph"/>
      </w:pPr>
      <w:r>
        <w:t xml:space="preserve">Builds an explicit transfer from zero density and zero additive energy to exceptional-set exponents for the PNT in short intervals. A key modern converter between zero information and prime information.</w:t>
      </w:r>
    </w:p>
    <w:bookmarkEnd w:id="214"/>
    <w:bookmarkStart w:id="215" w:name="hedenmalm-2026-75"/>
    <w:p>
      <w:pPr>
        <w:pStyle w:val="Heading2"/>
      </w:pPr>
      <w:r>
        <w:t xml:space="preserve">75 Hedenmalm, 2026 [75]</w:t>
      </w:r>
    </w:p>
    <w:p>
      <w:pPr>
        <w:pStyle w:val="FirstParagraph"/>
      </w:pPr>
      <w:r>
        <w:t xml:space="preserve">Develops a new second-order differential spectral interpretation of zeta zeros, tied to the Jacobi theta function and an adapted self-adjointness concept. Promising operator structure, not an RH proof.</w:t>
      </w:r>
    </w:p>
    <w:bookmarkEnd w:id="215"/>
    <w:bookmarkStart w:id="216" w:name="alpöge-furman-2026-76"/>
    <w:p>
      <w:pPr>
        <w:pStyle w:val="Heading2"/>
      </w:pPr>
      <w:r>
        <w:t xml:space="preserve">76 Alpöge-Furman, 2026 [76]</w:t>
      </w:r>
    </w:p>
    <w:p>
      <w:pPr>
        <w:pStyle w:val="FirstParagraph"/>
      </w:pPr>
      <w:r>
        <w:t xml:space="preserve">Combines Weil’s Hermitian form, finite compression, Sylvester inertia, and modern unconditional pair-correlation inputs to prove more than two thirds of zeros are simple and on the critical line. A major 2026 merger of analytic and spectral corridors.</w:t>
      </w:r>
    </w:p>
    <w:bookmarkEnd w:id="216"/>
    <w:bookmarkEnd w:id="217"/>
    <w:bookmarkStart w:id="224" w:name="common-false-inferences-to-avoid"/>
    <w:p>
      <w:pPr>
        <w:pStyle w:val="Heading1"/>
      </w:pPr>
      <w:r>
        <w:t xml:space="preserve">19. Common false inferences to avoid</w:t>
      </w:r>
    </w:p>
    <w:bookmarkStart w:id="218" w:name="X6e9ae7585084d433a1a691837882e7bca1790f6"/>
    <w:p>
      <w:pPr>
        <w:pStyle w:val="Heading2"/>
      </w:pPr>
      <w:r>
        <w:t xml:space="preserve">18.1 Better zero density does not automatically improve a critical-line proportion theorem</w:t>
      </w:r>
    </w:p>
    <w:p>
      <w:pPr>
        <w:pStyle w:val="FirstParagraph"/>
      </w:pPr>
      <w:r>
        <w:t xml:space="preserve">A zero-density theorem controls a one-point horizontal statistic. A pair-correlation or mollifier theorem may require two-point or twisted moment information that is not determined by zero density.</w:t>
      </w:r>
    </w:p>
    <w:bookmarkEnd w:id="218"/>
    <w:bookmarkStart w:id="219" w:name="X5fcb55037711fa56e7f0c130847845a9d78c5f7"/>
    <w:p>
      <w:pPr>
        <w:pStyle w:val="Heading2"/>
      </w:pPr>
      <w:r>
        <w:t xml:space="preserve">18.2 Pair correlation does not automatically imply RH</w:t>
      </w:r>
    </w:p>
    <w:p>
      <w:pPr>
        <w:pStyle w:val="FirstParagraph"/>
      </w:pPr>
      <w:r>
        <w:t xml:space="preserve">Even full PCC yields density one simple-critical zeros [65], not immediate elimination of every exceptional zero.</w:t>
      </w:r>
    </w:p>
    <w:bookmarkEnd w:id="219"/>
    <w:bookmarkStart w:id="220" w:name="X90372529088d8222f04d8150084893a89929589"/>
    <w:p>
      <w:pPr>
        <w:pStyle w:val="Heading2"/>
      </w:pPr>
      <w:r>
        <w:t xml:space="preserve">18.3 A finite verification is not an asymptotic proof</w:t>
      </w:r>
    </w:p>
    <w:p>
      <w:pPr>
        <w:pStyle w:val="FirstParagraph"/>
      </w:pPr>
      <w:r>
        <w:t xml:space="preserve">Node [56] is enormously strong computational mathematics, but no finite height can prove an all-height statement.</w:t>
      </w:r>
    </w:p>
    <w:bookmarkEnd w:id="220"/>
    <w:bookmarkStart w:id="221" w:name="Xfaa348258534a63fa2e80afc0fb964119277918"/>
    <w:p>
      <w:pPr>
        <w:pStyle w:val="Heading2"/>
      </w:pPr>
      <w:r>
        <w:t xml:space="preserve">18.4 A spectral model is not a Hilbert-Pólya proof until the operator theory closes</w:t>
      </w:r>
    </w:p>
    <w:p>
      <w:pPr>
        <w:pStyle w:val="FirstParagraph"/>
      </w:pPr>
      <w:r>
        <w:t xml:space="preserve">A formal eigenvalue equation is not enough. Domain, self-adjointness, exact spectral correspondence, multiplicity, and noncircularity matter.</w:t>
      </w:r>
    </w:p>
    <w:bookmarkEnd w:id="221"/>
    <w:bookmarkStart w:id="222" w:name="X3767a35be8a6d12ba6a8ff2ed3a528856779eb6"/>
    <w:p>
      <w:pPr>
        <w:pStyle w:val="Heading2"/>
      </w:pPr>
      <w:r>
        <w:t xml:space="preserve">18.5 The finite-field analogue does not transfer automatically</w:t>
      </w:r>
    </w:p>
    <w:p>
      <w:pPr>
        <w:pStyle w:val="FirstParagraph"/>
      </w:pPr>
      <w:r>
        <w:t xml:space="preserve">Deligne [18] proves an analogue because the correct geometric machinery exists in that setting. The missing classical object is the problem.</w:t>
      </w:r>
    </w:p>
    <w:bookmarkEnd w:id="222"/>
    <w:bookmarkStart w:id="223" w:name="X42b740ff8790fda2e3a85ca6d8a040d62c5a577"/>
    <w:p>
      <w:pPr>
        <w:pStyle w:val="Heading2"/>
      </w:pPr>
      <w:r>
        <w:t xml:space="preserve">18.6 An RH-equivalent criterion can be just as hard as RH</w:t>
      </w:r>
    </w:p>
    <w:p>
      <w:pPr>
        <w:pStyle w:val="FirstParagraph"/>
      </w:pPr>
      <w:r>
        <w:t xml:space="preserve">Robin, Li, Nyman-Beurling, Speiser, and de Bruijn-Newman compress or transform the statement. Equivalence does not provide a complexity reduction by itself.</w:t>
      </w:r>
    </w:p>
    <w:bookmarkEnd w:id="223"/>
    <w:bookmarkEnd w:id="224"/>
    <w:bookmarkStart w:id="229" w:name="a-researchers-traversal-strategy"/>
    <w:p>
      <w:pPr>
        <w:pStyle w:val="Heading1"/>
      </w:pPr>
      <w:r>
        <w:t xml:space="preserve">20. A researcher’s traversal strategy</w:t>
      </w:r>
    </w:p>
    <w:p>
      <w:pPr>
        <w:pStyle w:val="FirstParagraph"/>
      </w:pPr>
      <w:r>
        <w:t xml:space="preserve">If you want to navigate this network with limited resources, ask four questions at every node.</w:t>
      </w:r>
    </w:p>
    <w:bookmarkStart w:id="225" w:name="q1.-what-object-does-this-theorem-output"/>
    <w:p>
      <w:pPr>
        <w:pStyle w:val="Heading3"/>
      </w:pPr>
      <w:r>
        <w:t xml:space="preserve">Q1. What object does this theorem output?</w:t>
      </w:r>
    </w:p>
    <w:p>
      <w:pPr>
        <w:pStyle w:val="FirstParagraph"/>
      </w:pPr>
      <w:r>
        <w:t xml:space="preserve">Examples: a zero-density exponent, a mollified moment, a pair-correlation transform, a positivity inequality, a short-interval exceptional exponent.</w:t>
      </w:r>
    </w:p>
    <w:bookmarkEnd w:id="225"/>
    <w:bookmarkStart w:id="226" w:name="q2.-who-consumes-that-object"/>
    <w:p>
      <w:pPr>
        <w:pStyle w:val="Heading3"/>
      </w:pPr>
      <w:r>
        <w:t xml:space="preserve">Q2. Who consumes that object?</w:t>
      </w:r>
    </w:p>
    <w:p>
      <w:pPr>
        <w:pStyle w:val="FirstParagraph"/>
      </w:pPr>
      <w:r>
        <w:t xml:space="preserve">A theorem with no consumer may still be valuable, but it is a terminal node for the current campaign. Gafni-Tao [74] is attractive because its output has a concrete consumer [73] and can plausibly feed more prime-distribution work.</w:t>
      </w:r>
    </w:p>
    <w:bookmarkEnd w:id="226"/>
    <w:bookmarkStart w:id="227" w:name="X4ce7c73c381dd02876a703c1ee0f6912c00326a"/>
    <w:p>
      <w:pPr>
        <w:pStyle w:val="Heading3"/>
      </w:pPr>
      <w:r>
        <w:t xml:space="preserve">Q3. Is the next arrow theorem-level or only analogy?</w:t>
      </w:r>
    </w:p>
    <w:p>
      <w:pPr>
        <w:pStyle w:val="FirstParagraph"/>
      </w:pPr>
      <w:r>
        <w:t xml:space="preserve">This prevents accidentally spending theorem-proof resources on a connection that exists only as a heuristic.</w:t>
      </w:r>
    </w:p>
    <w:bookmarkEnd w:id="227"/>
    <w:bookmarkStart w:id="228" w:name="X7df7a16f50e2a1d4ba8d38015b4de00cae4fe2b"/>
    <w:p>
      <w:pPr>
        <w:pStyle w:val="Heading3"/>
      </w:pPr>
      <w:r>
        <w:t xml:space="preserve">Q4. Can the downstream value be priced before proving the upstream theorem?</w:t>
      </w:r>
    </w:p>
    <w:p>
      <w:pPr>
        <w:pStyle w:val="FirstParagraph"/>
      </w:pPr>
      <w:r>
        <w:t xml:space="preserve">This is especially useful for mollifier optimization, semidefinite programs, finite matrix certificates, and parameterized exponent envelopes. Treat a proposed new theorem as an oracle first. If the oracle would not improve the endpoint, do not formalize it.</w:t>
      </w:r>
    </w:p>
    <w:bookmarkEnd w:id="228"/>
    <w:bookmarkEnd w:id="229"/>
    <w:bookmarkStart w:id="235" w:name="Xb790081ee70a6d522b572d1cfa97e44b2b12d06"/>
    <w:p>
      <w:pPr>
        <w:pStyle w:val="Heading1"/>
      </w:pPr>
      <w:r>
        <w:t xml:space="preserve">21. Where formalization can create disproportionate value</w:t>
      </w:r>
    </w:p>
    <w:p>
      <w:pPr>
        <w:pStyle w:val="FirstParagraph"/>
      </w:pPr>
      <w:r>
        <w:t xml:space="preserve">Formalization is most useful where the network has reusable interfaces.</w:t>
      </w:r>
    </w:p>
    <w:bookmarkStart w:id="230" w:name="exponent-envelopes"/>
    <w:p>
      <w:pPr>
        <w:pStyle w:val="Heading2"/>
      </w:pPr>
      <w:r>
        <w:t xml:space="preserve">20.1 Exponent envelopes</w:t>
      </w:r>
    </w:p>
    <w:p>
      <w:pPr>
        <w:pStyle w:val="FirstParagraph"/>
      </w:pPr>
      <w:r>
        <w:t xml:space="preserve">Represent</w:t>
      </w:r>
      <w:r>
        <w:t xml:space="preserve"> </w:t>
      </w:r>
      <m:oMath>
        <m:r>
          <m:t>A</m:t>
        </m:r>
        <m:d>
          <m:dPr>
            <m:begChr m:val="("/>
            <m:endChr m:val=")"/>
            <m:sepChr m:val=""/>
            <m:grow/>
          </m:dPr>
          <m:e>
            <m:r>
              <m:t>σ</m:t>
            </m:r>
          </m:e>
        </m:d>
      </m:oMath>
      <w:r>
        <w:t xml:space="preserve"> </w:t>
      </w:r>
      <w:r>
        <w:t xml:space="preserve">and</w:t>
      </w:r>
      <w:r>
        <w:t xml:space="preserve"> </w:t>
      </w:r>
      <m:oMath>
        <m:sSup>
          <m:e>
            <m:r>
              <m:t>A</m:t>
            </m:r>
          </m:e>
          <m:sup>
            <m:r>
              <m:rPr>
                <m:sty m:val="p"/>
              </m:rPr>
              <m:t>*</m:t>
            </m:r>
          </m:sup>
        </m:sSup>
        <m:d>
          <m:dPr>
            <m:begChr m:val="("/>
            <m:endChr m:val=")"/>
            <m:sepChr m:val=""/>
            <m:grow/>
          </m:dPr>
          <m:e>
            <m:r>
              <m:t>σ</m:t>
            </m:r>
          </m:e>
        </m:d>
      </m:oMath>
      <w:r>
        <w:t xml:space="preserve"> </w:t>
      </w:r>
      <w:r>
        <w:t xml:space="preserve">as explicit functions with proved bounds and allow downstream optimization to choose the best branch automatically.</w:t>
      </w:r>
    </w:p>
    <w:bookmarkEnd w:id="230"/>
    <w:bookmarkStart w:id="231" w:name="exact-consumer-contracts"/>
    <w:p>
      <w:pPr>
        <w:pStyle w:val="Heading2"/>
      </w:pPr>
      <w:r>
        <w:t xml:space="preserve">20.2 Exact consumer contracts</w:t>
      </w:r>
    </w:p>
    <w:p>
      <w:pPr>
        <w:pStyle w:val="FirstParagraph"/>
      </w:pPr>
      <w:r>
        <w:t xml:space="preserve">For example:</w:t>
      </w:r>
    </w:p>
    <w:p>
      <w:pPr>
        <w:pStyle w:val="BodyText"/>
      </w:pPr>
      <m:oMathPara>
        <m:oMathParaPr>
          <m:jc m:val="center"/>
        </m:oMathParaPr>
        <m:oMath>
          <m:r>
            <m:rPr>
              <m:nor/>
              <m:sty m:val="p"/>
              <m:scr m:val="monospace"/>
            </m:rPr>
            <m:t>ZeroDensityEnvelope</m:t>
          </m:r>
          <m:r>
            <m:rPr>
              <m:sty m:val="p"/>
            </m:rPr>
            <m:t>→</m:t>
          </m:r>
          <m:r>
            <m:rPr>
              <m:nor/>
              <m:sty m:val="p"/>
              <m:scr m:val="monospace"/>
            </m:rPr>
            <m:t>ExceptionalIntervalBound</m:t>
          </m:r>
          <m:r>
            <m:rPr>
              <m:sty m:val="p"/>
            </m:rPr>
            <m:t>.</m:t>
          </m:r>
        </m:oMath>
      </m:oMathPara>
    </w:p>
    <w:p>
      <w:pPr>
        <w:pStyle w:val="FirstParagraph"/>
      </w:pPr>
      <w:r>
        <w:t xml:space="preserve">A future zero-density improvement then becomes a plug-in rather than a reproof.</w:t>
      </w:r>
    </w:p>
    <w:bookmarkEnd w:id="231"/>
    <w:bookmarkStart w:id="232" w:name="optimizer-separation"/>
    <w:p>
      <w:pPr>
        <w:pStyle w:val="Heading2"/>
      </w:pPr>
      <w:r>
        <w:t xml:space="preserve">20.3 Optimizer separation</w:t>
      </w:r>
    </w:p>
    <w:p>
      <w:pPr>
        <w:pStyle w:val="FirstParagraph"/>
      </w:pPr>
      <w:r>
        <w:t xml:space="preserve">Keep the finite-dimensional certificate independent of the analytic theorem supplying its moments. This is the architecture suggested by [53], [67], and [76].</w:t>
      </w:r>
    </w:p>
    <w:bookmarkEnd w:id="232"/>
    <w:bookmarkStart w:id="233" w:name="negative-results"/>
    <w:p>
      <w:pPr>
        <w:pStyle w:val="Heading2"/>
      </w:pPr>
      <w:r>
        <w:t xml:space="preserve">20.4 Negative results</w:t>
      </w:r>
    </w:p>
    <w:p>
      <w:pPr>
        <w:pStyle w:val="FirstParagraph"/>
      </w:pPr>
      <w:r>
        <w:t xml:space="preserve">A formal no-gain theorem can be as valuable as an improvement because it permanently kills a class of expensive searches.</w:t>
      </w:r>
    </w:p>
    <w:bookmarkEnd w:id="233"/>
    <w:bookmarkStart w:id="234" w:name="branch-and-phase-infrastructure"/>
    <w:p>
      <w:pPr>
        <w:pStyle w:val="Heading2"/>
      </w:pPr>
      <w:r>
        <w:t xml:space="preserve">20.5 Branch and phase infrastructure</w:t>
      </w:r>
    </w:p>
    <w:p>
      <w:pPr>
        <w:pStyle w:val="FirstParagraph"/>
      </w:pPr>
      <w:r>
        <w:t xml:space="preserve">Hardy</w:t>
      </w:r>
      <w:r>
        <w:t xml:space="preserve"> </w:t>
      </w:r>
      <m:oMath>
        <m:r>
          <m:t>Z</m:t>
        </m:r>
      </m:oMath>
      <w:r>
        <w:t xml:space="preserve">, Riemann-Siegel theta, continuous phase lifts, and real-valued critical-line functions are reusable across sign-change, moment, and zero-counting arguments.</w:t>
      </w:r>
    </w:p>
    <w:bookmarkEnd w:id="234"/>
    <w:bookmarkEnd w:id="235"/>
    <w:bookmarkStart w:id="236" w:name="live-frontiers-as-of-30-august-2026"/>
    <w:p>
      <w:pPr>
        <w:pStyle w:val="Heading1"/>
      </w:pPr>
      <w:r>
        <w:t xml:space="preserve">22. Live frontiers as of 30 August 2026</w:t>
      </w:r>
    </w:p>
    <w:p>
      <w:pPr>
        <w:pStyle w:val="FirstParagraph"/>
      </w:pPr>
      <w:r>
        <w:t xml:space="preserve">The most active theorem-level zones on this map are:</w:t>
      </w:r>
    </w:p>
    <w:p>
      <w:pPr>
        <w:pStyle w:val="Compact"/>
        <w:numPr>
          <w:ilvl w:val="0"/>
          <w:numId w:val="1020"/>
        </w:numPr>
      </w:pPr>
      <w:r>
        <w:rPr>
          <w:b/>
          <w:bCs/>
        </w:rPr>
        <w:t xml:space="preserve">large values / zero density / zero energy:</w:t>
      </w:r>
      <w:r>
        <w:t xml:space="preserve"> </w:t>
      </w:r>
      <w:r>
        <w:t xml:space="preserve">[63], [71];</w:t>
      </w:r>
    </w:p>
    <w:p>
      <w:pPr>
        <w:pStyle w:val="Compact"/>
        <w:numPr>
          <w:ilvl w:val="0"/>
          <w:numId w:val="1020"/>
        </w:numPr>
      </w:pPr>
      <w:r>
        <w:rPr>
          <w:b/>
          <w:bCs/>
        </w:rPr>
        <w:t xml:space="preserve">exceptional primes in short intervals:</w:t>
      </w:r>
      <w:r>
        <w:t xml:space="preserve"> </w:t>
      </w:r>
      <w:r>
        <w:t xml:space="preserve">[69], [74], with downstream use [73];</w:t>
      </w:r>
    </w:p>
    <w:p>
      <w:pPr>
        <w:pStyle w:val="Compact"/>
        <w:numPr>
          <w:ilvl w:val="0"/>
          <w:numId w:val="1020"/>
        </w:numPr>
      </w:pPr>
      <w:r>
        <w:rPr>
          <w:b/>
          <w:bCs/>
        </w:rPr>
        <w:t xml:space="preserve">unconditional pair correlation and critical zeros:</w:t>
      </w:r>
      <w:r>
        <w:t xml:space="preserve"> </w:t>
      </w:r>
      <w:r>
        <w:t xml:space="preserve">[62], [64], [65], [68], [72], [76];</w:t>
      </w:r>
    </w:p>
    <w:p>
      <w:pPr>
        <w:pStyle w:val="Compact"/>
        <w:numPr>
          <w:ilvl w:val="0"/>
          <w:numId w:val="1020"/>
        </w:numPr>
      </w:pPr>
      <w:r>
        <w:rPr>
          <w:b/>
          <w:bCs/>
        </w:rPr>
        <w:t xml:space="preserve">mollifier/critical-line optimization:</w:t>
      </w:r>
      <w:r>
        <w:t xml:space="preserve"> </w:t>
      </w:r>
      <w:r>
        <w:t xml:space="preserve">[67] and the longer Levinson-Conrey lineage;</w:t>
      </w:r>
    </w:p>
    <w:p>
      <w:pPr>
        <w:pStyle w:val="Compact"/>
        <w:numPr>
          <w:ilvl w:val="0"/>
          <w:numId w:val="1020"/>
        </w:numPr>
      </w:pPr>
      <w:r>
        <w:rPr>
          <w:b/>
          <w:bCs/>
        </w:rPr>
        <w:t xml:space="preserve">spectral/operator proposals:</w:t>
      </w:r>
      <w:r>
        <w:t xml:space="preserve"> </w:t>
      </w:r>
      <w:r>
        <w:t xml:space="preserve">[70], [75], with older physics/operator nodes [33], [34], [50], [59], [61];</w:t>
      </w:r>
    </w:p>
    <w:p>
      <w:pPr>
        <w:pStyle w:val="Compact"/>
        <w:numPr>
          <w:ilvl w:val="0"/>
          <w:numId w:val="1020"/>
        </w:numPr>
      </w:pPr>
      <w:r>
        <w:rPr>
          <w:b/>
          <w:bCs/>
        </w:rPr>
        <w:t xml:space="preserve">de Bruijn-Newman:</w:t>
      </w:r>
      <w:r>
        <w:t xml:space="preserve"> </w:t>
      </w:r>
      <w:r>
        <w:t xml:space="preserve">the exact target remains</w:t>
      </w:r>
      <w:r>
        <w:t xml:space="preserve"> </w:t>
      </w:r>
      <m:oMath>
        <m:r>
          <m:t>Λ</m:t>
        </m:r>
        <m:r>
          <m:rPr>
            <m:sty m:val="p"/>
          </m:rPr>
          <m:t>=</m:t>
        </m:r>
        <m:r>
          <m:t>0</m:t>
        </m:r>
      </m:oMath>
      <w:r>
        <w:t xml:space="preserve"> </w:t>
      </w:r>
      <w:r>
        <w:t xml:space="preserve">after [55];</w:t>
      </w:r>
    </w:p>
    <w:p>
      <w:pPr>
        <w:pStyle w:val="Compact"/>
        <w:numPr>
          <w:ilvl w:val="0"/>
          <w:numId w:val="1020"/>
        </w:numPr>
      </w:pPr>
      <w:r>
        <w:rPr>
          <w:b/>
          <w:bCs/>
        </w:rPr>
        <w:t xml:space="preserve">arithmetic geometry:</w:t>
      </w:r>
      <w:r>
        <w:t xml:space="preserve"> </w:t>
      </w:r>
      <w:r>
        <w:t xml:space="preserve">Deligne’s finite-field success remains the strongest structural analogue, while the classical transfer remains open.</w:t>
      </w:r>
    </w:p>
    <w:p>
      <w:pPr>
        <w:pStyle w:val="FirstParagraph"/>
      </w:pPr>
      <w:r>
        <w:t xml:space="preserve">No item in this list should be described as an imminent proof of RH. What has changed is that several corridors that used to be conditional on RH now have unconditional versions, and several formerly separate methods are beginning to share theorem-level inputs.</w:t>
      </w:r>
    </w:p>
    <w:bookmarkEnd w:id="236"/>
    <w:bookmarkStart w:id="237" w:name="closing-view"/>
    <w:p>
      <w:pPr>
        <w:pStyle w:val="Heading1"/>
      </w:pPr>
      <w:r>
        <w:t xml:space="preserve">23. Closing view</w:t>
      </w:r>
    </w:p>
    <w:p>
      <w:pPr>
        <w:pStyle w:val="FirstParagraph"/>
      </w:pPr>
      <w:r>
        <w:t xml:space="preserve">The RH map has two radically different kinds of progress.</w:t>
      </w:r>
    </w:p>
    <w:p>
      <w:pPr>
        <w:pStyle w:val="BodyText"/>
      </w:pPr>
      <w:r>
        <w:t xml:space="preserve">The first kind is</w:t>
      </w:r>
      <w:r>
        <w:t xml:space="preserve"> </w:t>
      </w:r>
      <w:r>
        <w:rPr>
          <w:b/>
          <w:bCs/>
        </w:rPr>
        <w:t xml:space="preserve">quantitative</w:t>
      </w:r>
      <w:r>
        <w:t xml:space="preserve">:</w:t>
      </w:r>
    </w:p>
    <w:p>
      <w:pPr>
        <w:pStyle w:val="BodyText"/>
      </w:pPr>
      <m:oMathPara>
        <m:oMathParaPr>
          <m:jc m:val="center"/>
        </m:oMathParaPr>
        <m:oMath>
          <m:r>
            <m:rPr>
              <m:nor/>
              <m:sty m:val="p"/>
            </m:rPr>
            <m:t>better exponent</m:t>
          </m:r>
          <m:r>
            <m:rPr>
              <m:sty m:val="p"/>
            </m:rPr>
            <m:t>→</m:t>
          </m:r>
          <m:r>
            <m:rPr>
              <m:nor/>
              <m:sty m:val="p"/>
            </m:rPr>
            <m:t>fewer exceptional zeros</m:t>
          </m:r>
          <m:r>
            <m:rPr>
              <m:sty m:val="p"/>
            </m:rPr>
            <m:t>→</m:t>
          </m:r>
          <m:r>
            <m:rPr>
              <m:nor/>
              <m:sty m:val="p"/>
            </m:rPr>
            <m:t>better prime intervals</m:t>
          </m:r>
          <m:r>
            <m:rPr>
              <m:sty m:val="p"/>
            </m:rPr>
            <m:t>→</m:t>
          </m:r>
          <m:r>
            <m:rPr>
              <m:nor/>
              <m:sty m:val="p"/>
            </m:rPr>
            <m:t>better proportions or correlations</m:t>
          </m:r>
          <m:r>
            <m:rPr>
              <m:sty m:val="p"/>
            </m:rPr>
            <m:t>.</m:t>
          </m:r>
        </m:oMath>
      </m:oMathPara>
    </w:p>
    <w:p>
      <w:pPr>
        <w:pStyle w:val="FirstParagraph"/>
      </w:pPr>
      <w:r>
        <w:t xml:space="preserve">Guth-Maynard [71], Tao-Trudgian-Yang [63], Gafni-Tao [74], the modern pair-correlation papers, and Alpöge-Furman [76] live here.</w:t>
      </w:r>
    </w:p>
    <w:p>
      <w:pPr>
        <w:pStyle w:val="BodyText"/>
      </w:pPr>
      <w:r>
        <w:t xml:space="preserve">The second kind is</w:t>
      </w:r>
      <w:r>
        <w:t xml:space="preserve"> </w:t>
      </w:r>
      <w:r>
        <w:rPr>
          <w:b/>
          <w:bCs/>
        </w:rPr>
        <w:t xml:space="preserve">structural</w:t>
      </w:r>
      <w:r>
        <w:t xml:space="preserve">:</w:t>
      </w:r>
    </w:p>
    <w:p>
      <w:pPr>
        <w:pStyle w:val="BodyText"/>
      </w:pPr>
      <m:oMathPara>
        <m:oMathParaPr>
          <m:jc m:val="center"/>
        </m:oMathParaPr>
        <m:oMath>
          <m:r>
            <m:rPr>
              <m:nor/>
              <m:sty m:val="p"/>
            </m:rPr>
            <m:t>positivity / self-adjointness / purity / exact criterion</m:t>
          </m:r>
          <m:r>
            <m:rPr>
              <m:sty m:val="p"/>
            </m:rPr>
            <m:t>→</m:t>
          </m:r>
          <m:r>
            <m:rPr>
              <m:nor/>
              <m:sty m:val="p"/>
            </m:rPr>
            <m:t>all zeros constrained at once</m:t>
          </m:r>
          <m:r>
            <m:rPr>
              <m:sty m:val="p"/>
            </m:rPr>
            <m:t>.</m:t>
          </m:r>
        </m:oMath>
      </m:oMathPara>
    </w:p>
    <w:p>
      <w:pPr>
        <w:pStyle w:val="FirstParagraph"/>
      </w:pPr>
      <w:r>
        <w:t xml:space="preserve">Weil [13], Deligne [18], Li [31], Nyman-Beurling [11,15,42], de Bruijn-Newman [12,20,55], Connes [34,70], and Hilbert-Pólya-style programs live here.</w:t>
      </w:r>
    </w:p>
    <w:p>
      <w:pPr>
        <w:pStyle w:val="BodyText"/>
      </w:pPr>
      <w:r>
        <w:t xml:space="preserve">A plausible future RH proof may come entirely from one side. It may also require a merger: quantitative analytic work could discover the right invariant, while a structural theory supplies the rigidity that turns</w:t>
      </w:r>
      <w:r>
        <w:t xml:space="preserve"> </w:t>
      </w:r>
      <w:r>
        <w:t xml:space="preserve">“</w:t>
      </w:r>
      <w:r>
        <w:t xml:space="preserve">almost all</w:t>
      </w:r>
      <w:r>
        <w:t xml:space="preserve">”</w:t>
      </w:r>
      <w:r>
        <w:t xml:space="preserve"> </w:t>
      </w:r>
      <w:r>
        <w:t xml:space="preserve">into</w:t>
      </w:r>
      <w:r>
        <w:t xml:space="preserve"> </w:t>
      </w:r>
      <w:r>
        <w:t xml:space="preserve">“</w:t>
      </w:r>
      <w:r>
        <w:t xml:space="preserve">all</w:t>
      </w:r>
      <w:r>
        <w:t xml:space="preserve">”</w:t>
      </w:r>
      <w:r>
        <w:t xml:space="preserve">.</w:t>
      </w:r>
    </w:p>
    <w:p>
      <w:pPr>
        <w:pStyle w:val="BodyText"/>
      </w:pPr>
      <w:r>
        <w:t xml:space="preserve">That is why the map is incestuous. The same explicit formula, Fourier transform, Dirichlet polynomial, trace, or positivity statement keeps reappearing in different costumes. The right question is rarely</w:t>
      </w:r>
      <w:r>
        <w:t xml:space="preserve"> </w:t>
      </w:r>
      <w:r>
        <w:t xml:space="preserve">“</w:t>
      </w:r>
      <w:r>
        <w:t xml:space="preserve">which paper is closest to RH?</w:t>
      </w:r>
      <w:r>
        <w:t xml:space="preserve">”</w:t>
      </w:r>
      <w:r>
        <w:t xml:space="preserve"> </w:t>
      </w:r>
      <w:r>
        <w:t xml:space="preserve">It is:</w:t>
      </w:r>
    </w:p>
    <w:p>
      <w:pPr>
        <w:pStyle w:val="BodyText"/>
      </w:pPr>
      <m:oMathPara>
        <m:oMathParaPr>
          <m:jc m:val="center"/>
        </m:oMathParaPr>
        <m:oMath>
          <m:borderBox>
            <m:e>
              <m:r>
                <m:rPr>
                  <m:nor/>
                  <m:sty m:val="p"/>
                </m:rPr>
                <m:t>Which node outputs an object that another strong node can actually consume?</m:t>
              </m:r>
            </m:e>
          </m:borderBox>
        </m:oMath>
      </m:oMathPara>
    </w:p>
    <w:p>
      <w:pPr>
        <w:pStyle w:val="FirstParagraph"/>
      </w:pPr>
      <w:r>
        <w:t xml:space="preserve">That is the network-level question that turns a bibliography into a research agenda.</w:t>
      </w:r>
    </w:p>
    <w:bookmarkEnd w:id="237"/>
    <w:sectPr>
      <w:headerReference w:type="default" r:id="rId9"/>
      <w:footerReference w:type="default" r:id="rId10"/>
      <w:pgMar w:top="1008" w:bottom="1008" w:left="1152" w:right="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8"/>
      </w:rPr>
      <w:t xml:space="preserve">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i/>
        <w:sz w:val="17"/>
      </w:rPr>
      <w:t>The RH Map - Explanation</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59" w:lineRule="auto"/>
    </w:pPr>
    <w:rPr>
      <w:rFonts w:ascii="Aptos" w:hAnsi="Aptos"/>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ptos Display" w:hAnsi="Aptos Display"/>
      <w:b/>
      <w:bCs/>
      <w:color w:themeColor="accent1" w:themeShade="B5" w:val="345A8A"/>
      <w:sz w:val="44"/>
      <w:szCs w:val="36"/>
    </w:rPr>
  </w:style>
  <w:style w:styleId="Subtitle" w:type="paragraph">
    <w:name w:val="Subtitle"/>
    <w:basedOn w:val="Title"/>
    <w:next w:val="BodyText"/>
    <w:qFormat/>
    <w:pPr>
      <w:keepNext/>
      <w:keepLines/>
      <w:spacing w:after="240" w:before="240"/>
      <w:jc w:val="center"/>
    </w:pPr>
    <w:rPr>
      <w:rFonts w:ascii="Aptos" w:hAnsi="Aptos"/>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sz w:val="18"/>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RH Map - Aug 30, 2026 - Explanation</dc:title>
  <dc:creator/>
  <cp:keywords/>
  <dcterms:created xsi:type="dcterms:W3CDTF">2026-08-30T17:56:11Z</dcterms:created>
  <dcterms:modified xsi:type="dcterms:W3CDTF">2026-08-30T17:56:11Z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30 August 2026</vt:lpwstr>
  </property>
  <property fmtid="{D5CDD505-2E9C-101B-9397-08002B2CF9AE}" pid="3" name="subtitle">
    <vt:lpwstr>A traversal guide to the research network around the Riemann Hypothesis</vt:lpwstr>
  </property>
</Properties>
</file>