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B2A4A" w:val="clear"/>
            <w:tcMar>
              <w:top w:type="dxa" w:w="280"/>
              <w:left w:type="dxa" w:w="360"/>
              <w:bottom w:type="dxa" w:w="280"/>
              <w:right w:type="dxa" w:w="200"/>
            </w:tcMar>
          </w:tcPr>
          <w:p>
            <w:r>
              <w:rPr>
                <w:rFonts w:ascii="Arial" w:cs="Arial" w:eastAsia="Arial" w:hAnsi="Arial"/>
                <w:b/>
                <w:bCs/>
                <w:color w:val="FFFFFF"/>
                <w:sz w:val="36"/>
                <w:szCs w:val="36"/>
              </w:rPr>
              <w:t xml:space="preserve">Farragut Engagement Model</w:t>
            </w:r>
          </w:p>
          <w:p>
            <w:pPr>
              <w:spacing w:before="80"/>
            </w:pPr>
            <w:r>
              <w:rPr>
                <w:rFonts w:ascii="Arial" w:cs="Arial" w:eastAsia="Arial" w:hAnsi="Arial"/>
                <w:color w:val="A8D8C8"/>
                <w:sz w:val="20"/>
                <w:szCs w:val="20"/>
              </w:rPr>
              <w:t xml:space="preserve">Test Case Specification — Multi-State PE Diligence Workflow</w:t>
            </w:r>
          </w:p>
        </w:tc>
        <w:tc>
          <w:tcPr>
            <w:tcW w:type="dxa" w:w="2880"/>
            <w:tcBorders>
              <w:top w:val="none" w:color="FFFFFF" w:sz="0"/>
              <w:left w:val="none" w:color="FFFFFF" w:sz="0"/>
              <w:bottom w:val="none" w:color="FFFFFF" w:sz="0"/>
              <w:right w:val="none" w:color="FFFFFF" w:sz="0"/>
            </w:tcBorders>
            <w:shd w:fill="00C896" w:val="clear"/>
            <w:tcMar>
              <w:top w:type="dxa" w:w="200"/>
              <w:left w:type="dxa" w:w="200"/>
              <w:bottom w:type="dxa" w:w="200"/>
              <w:right w:type="dxa" w:w="200"/>
            </w:tcMar>
          </w:tcPr>
          <w:p>
            <w:pPr>
              <w:jc w:val="center"/>
            </w:pPr>
            <w:r>
              <w:rPr>
                <w:rFonts w:ascii="Arial" w:cs="Arial" w:eastAsia="Arial" w:hAnsi="Arial"/>
                <w:b/>
                <w:bCs/>
                <w:color w:val="1B2A4A"/>
                <w:sz w:val="16"/>
                <w:szCs w:val="16"/>
              </w:rPr>
              <w:t xml:space="preserve">For Claude Code</w:t>
            </w:r>
          </w:p>
          <w:p>
            <w:pPr>
              <w:spacing w:before="40"/>
              <w:jc w:val="center"/>
            </w:pPr>
            <w:r>
              <w:rPr>
                <w:rFonts w:ascii="Arial" w:cs="Arial" w:eastAsia="Arial" w:hAnsi="Arial"/>
                <w:color w:val="1B2A4A"/>
                <w:sz w:val="14"/>
                <w:szCs w:val="14"/>
              </w:rPr>
              <w:t xml:space="preserve">Session Library Tutorial #4</w:t>
            </w:r>
          </w:p>
          <w:p>
            <w:pPr>
              <w:spacing w:before="40"/>
              <w:jc w:val="center"/>
            </w:pPr>
            <w:r>
              <w:rPr>
                <w:rFonts w:ascii="Arial" w:cs="Arial" w:eastAsia="Arial" w:hAnsi="Arial"/>
                <w:color w:val="1B2A4A"/>
                <w:sz w:val="13"/>
                <w:szCs w:val="13"/>
              </w:rPr>
              <w:t xml:space="preserve">v1.0 — March 2026</w:t>
            </w:r>
          </w:p>
        </w:tc>
      </w:tr>
    </w:tbl>
    <w:p>
      <w:pPr>
        <w:spacing w:before="120" w:after="0"/>
      </w:pPr>
      <w:r>
        <w:t xml:space="preserve"/>
      </w:r>
    </w:p>
    <w:p>
      <w:pPr>
        <w:spacing w:before="320" w:after="80"/>
      </w:pPr>
      <w:r>
        <w:rPr>
          <w:rFonts w:ascii="Arial" w:cs="Arial" w:eastAsia="Arial" w:hAnsi="Arial"/>
          <w:b/>
          <w:bCs/>
          <w:color w:val="00C896"/>
          <w:sz w:val="18"/>
          <w:szCs w:val="18"/>
        </w:rPr>
        <w:t xml:space="preserve">PURPOSE AND CONTEXT</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This document specifies a test case for Analytics Workbench that models the core analytical workflow of Farragut Square Group (McDermott+Consulting). It serves three simultaneous purposes:</w:t>
      </w:r>
    </w:p>
    <w:p>
      <w:pPr>
        <w:spacing w:before="40" w:after="0"/>
      </w:pPr>
      <w:r>
        <w:t xml:space="preserve"/>
      </w:r>
    </w:p>
    <w:p>
      <w:pPr>
        <w:pStyle w:val="ListParagraph"/>
        <w:numPr>
          <w:ilvl w:val="0"/>
          <w:numId w:val="2"/>
        </w:numPr>
        <w:spacing w:before="40" w:after="40"/>
      </w:pPr>
      <w:r>
        <w:rPr>
          <w:rFonts w:ascii="Arial" w:cs="Arial" w:eastAsia="Arial" w:hAnsi="Arial"/>
          <w:b/>
          <w:bCs/>
          <w:i w:val="false"/>
          <w:iCs w:val="false"/>
          <w:color w:val="333333"/>
          <w:sz w:val="20"/>
          <w:szCs w:val="20"/>
        </w:rPr>
        <w:t xml:space="preserve">Product validation: </w:t>
      </w:r>
      <w:r>
        <w:rPr>
          <w:rFonts w:ascii="Arial" w:cs="Arial" w:eastAsia="Arial" w:hAnsi="Arial"/>
          <w:b w:val="false"/>
          <w:bCs w:val="false"/>
          <w:i w:val="false"/>
          <w:iCs w:val="false"/>
          <w:color w:val="333333"/>
          <w:sz w:val="20"/>
          <w:szCs w:val="20"/>
        </w:rPr>
        <w:t xml:space="preserve">Confirms AW handles the specific data challenges, query patterns, and output requirements of a healthcare policy consulting firm doing PE diligence.</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Session Library Tutorial #4: </w:t>
      </w:r>
      <w:r>
        <w:rPr>
          <w:rFonts w:ascii="Arial" w:cs="Arial" w:eastAsia="Arial" w:hAnsi="Arial"/>
          <w:b w:val="false"/>
          <w:bCs w:val="false"/>
          <w:i w:val="false"/>
          <w:iCs w:val="false"/>
          <w:color w:val="333333"/>
          <w:sz w:val="20"/>
          <w:szCs w:val="20"/>
        </w:rPr>
        <w:t xml:space="preserve">Becomes a replayable, narrated example case — 'Multi-State Medicaid Diligence' — in the healthcare policy pack.</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Sales demo: </w:t>
      </w:r>
      <w:r>
        <w:rPr>
          <w:rFonts w:ascii="Arial" w:cs="Arial" w:eastAsia="Arial" w:hAnsi="Arial"/>
          <w:b w:val="false"/>
          <w:bCs w:val="false"/>
          <w:i w:val="false"/>
          <w:iCs w:val="false"/>
          <w:color w:val="333333"/>
          <w:sz w:val="20"/>
          <w:szCs w:val="20"/>
        </w:rPr>
        <w:t xml:space="preserve">Gives Casey a domain-specific demo to run in front of Stan (McDermott technical gatekeeper) that mirrors their actual workflow, not a generic example.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
        <w:gridCol w:w="9080"/>
      </w:tblGrid>
      <w:tr>
        <w:tc>
          <w:tcPr>
            <w:tcW w:type="dxa" w:w="280"/>
            <w:tcBorders>
              <w:top w:val="none" w:color="FFFFFF" w:sz="0"/>
              <w:left w:val="none" w:color="FFFFFF" w:sz="0"/>
              <w:bottom w:val="none" w:color="FFFFFF" w:sz="0"/>
              <w:right w:val="none" w:color="FFFFFF" w:sz="0"/>
            </w:tcBorders>
            <w:shd w:fill="D4900A"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pPr>
              <w:spacing w:after="40"/>
            </w:pPr>
            <w:r>
              <w:rPr>
                <w:rFonts w:ascii="Arial" w:cs="Arial" w:eastAsia="Arial" w:hAnsi="Arial"/>
                <w:b/>
                <w:bCs/>
                <w:color w:val="D4900A"/>
                <w:sz w:val="18"/>
                <w:szCs w:val="18"/>
              </w:rPr>
              <w:t xml:space="preserve">Generalization principle</w:t>
            </w:r>
          </w:p>
          <w:p>
            <w:pPr>
              <w:spacing w:after="0"/>
            </w:pPr>
            <w:r>
              <w:rPr>
                <w:rFonts w:ascii="Arial" w:cs="Arial" w:eastAsia="Arial" w:hAnsi="Arial"/>
                <w:color w:val="444444"/>
                <w:sz w:val="18"/>
                <w:szCs w:val="18"/>
              </w:rPr>
              <w:t xml:space="preserve">Every feature tested here must work with non-healthcare data using the same interface. The test uses healthcare data because that's the validated use case. The product capability must be domain-agnostic. If any step requires healthcare-specific logic hardcoded into the product, that is a spec defect.</w:t>
            </w:r>
          </w:p>
        </w:tc>
      </w:tr>
    </w:tbl>
    <w:p>
      <w:pPr>
        <w:spacing w:before="160" w:after="0"/>
      </w:pPr>
      <w:r>
        <w:t xml:space="preserve"/>
      </w:r>
    </w:p>
    <w:p>
      <w:pPr>
        <w:spacing w:before="320" w:after="80"/>
      </w:pPr>
      <w:r>
        <w:rPr>
          <w:rFonts w:ascii="Arial" w:cs="Arial" w:eastAsia="Arial" w:hAnsi="Arial"/>
          <w:b/>
          <w:bCs/>
          <w:color w:val="00C896"/>
          <w:sz w:val="18"/>
          <w:szCs w:val="18"/>
        </w:rPr>
        <w:t xml:space="preserve">ENGAGEMENT SCENARIO</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A private equity firm is evaluating the acquisition of a multi-state home health services platform operating in Texas, Florida, and Ohio. The platform derives approximately 70% of revenue from Medicaid managed care. The PE sponsor has engaged McDermott+Consulting (Farragut) to assess the regulatory and revenue stability of the Medicaid book of business before closing.</w:t>
      </w:r>
    </w:p>
    <w:p>
      <w:pPr>
        <w:spacing w:before="60" w:after="0"/>
      </w:pPr>
      <w:r>
        <w:t xml:space="preserve"/>
      </w:r>
    </w:p>
    <w:p>
      <w:pPr>
        <w:spacing w:before="40" w:after="60"/>
      </w:pPr>
      <w:r>
        <w:rPr>
          <w:rFonts w:ascii="Arial" w:cs="Arial" w:eastAsia="Arial" w:hAnsi="Arial"/>
          <w:b w:val="false"/>
          <w:bCs w:val="false"/>
          <w:i w:val="false"/>
          <w:iCs w:val="false"/>
          <w:color w:val="333333"/>
          <w:sz w:val="20"/>
          <w:szCs w:val="20"/>
        </w:rPr>
        <w:t xml:space="preserve">Farragut's analysts need to:</w:t>
      </w:r>
    </w:p>
    <w:p>
      <w:pPr>
        <w:pStyle w:val="ListParagraph"/>
        <w:numPr>
          <w:ilvl w:val="0"/>
          <w:numId w:val="2"/>
        </w:numPr>
        <w:spacing w:before="40" w:after="40"/>
      </w:pPr>
      <w:r>
        <w:rPr>
          <w:rFonts w:ascii="Arial" w:cs="Arial" w:eastAsia="Arial" w:hAnsi="Arial"/>
          <w:color w:val="333333"/>
          <w:sz w:val="20"/>
          <w:szCs w:val="20"/>
        </w:rPr>
        <w:t xml:space="preserve">Load and normalize Medicaid claims data from three states — each with different column naming conventions and MCO structures</w:t>
      </w:r>
    </w:p>
    <w:p>
      <w:pPr>
        <w:pStyle w:val="ListParagraph"/>
        <w:numPr>
          <w:ilvl w:val="0"/>
          <w:numId w:val="2"/>
        </w:numPr>
        <w:spacing w:before="40" w:after="40"/>
      </w:pPr>
      <w:r>
        <w:rPr>
          <w:rFonts w:ascii="Arial" w:cs="Arial" w:eastAsia="Arial" w:hAnsi="Arial"/>
          <w:color w:val="333333"/>
          <w:sz w:val="20"/>
          <w:szCs w:val="20"/>
        </w:rPr>
        <w:t xml:space="preserve">Identify concentration risk: how much revenue depends on a single MCO or a single service line</w:t>
      </w:r>
    </w:p>
    <w:p>
      <w:pPr>
        <w:pStyle w:val="ListParagraph"/>
        <w:numPr>
          <w:ilvl w:val="0"/>
          <w:numId w:val="2"/>
        </w:numPr>
        <w:spacing w:before="40" w:after="40"/>
      </w:pPr>
      <w:r>
        <w:rPr>
          <w:rFonts w:ascii="Arial" w:cs="Arial" w:eastAsia="Arial" w:hAnsi="Arial"/>
          <w:color w:val="333333"/>
          <w:sz w:val="20"/>
          <w:szCs w:val="20"/>
        </w:rPr>
        <w:t xml:space="preserve">Flag any services with elevated audit or compliance risk based on billing patterns</w:t>
      </w:r>
    </w:p>
    <w:p>
      <w:pPr>
        <w:pStyle w:val="ListParagraph"/>
        <w:numPr>
          <w:ilvl w:val="0"/>
          <w:numId w:val="2"/>
        </w:numPr>
        <w:spacing w:before="40" w:after="40"/>
      </w:pPr>
      <w:r>
        <w:rPr>
          <w:rFonts w:ascii="Arial" w:cs="Arial" w:eastAsia="Arial" w:hAnsi="Arial"/>
          <w:color w:val="333333"/>
          <w:sz w:val="20"/>
          <w:szCs w:val="20"/>
        </w:rPr>
        <w:t xml:space="preserve">Classify services by category and compare reimbursement rates across states</w:t>
      </w:r>
    </w:p>
    <w:p>
      <w:pPr>
        <w:pStyle w:val="ListParagraph"/>
        <w:numPr>
          <w:ilvl w:val="0"/>
          <w:numId w:val="2"/>
        </w:numPr>
        <w:spacing w:before="40" w:after="40"/>
      </w:pPr>
      <w:r>
        <w:rPr>
          <w:rFonts w:ascii="Arial" w:cs="Arial" w:eastAsia="Arial" w:hAnsi="Arial"/>
          <w:color w:val="333333"/>
          <w:sz w:val="20"/>
          <w:szCs w:val="20"/>
        </w:rPr>
        <w:t xml:space="preserve">Produce a structured memo summarizing findings, methodology, and open risk items for the PE sponsor</w:t>
      </w:r>
    </w:p>
    <w:p>
      <w:pPr>
        <w:spacing w:before="80" w:after="0"/>
      </w:pPr>
      <w:r>
        <w:t xml:space="preserve"/>
      </w:r>
    </w:p>
    <w:p>
      <w:pPr>
        <w:spacing w:before="40" w:after="60"/>
      </w:pPr>
      <w:r>
        <w:rPr>
          <w:rFonts w:ascii="Arial" w:cs="Arial" w:eastAsia="Arial" w:hAnsi="Arial"/>
          <w:b w:val="false"/>
          <w:bCs w:val="false"/>
          <w:i w:val="false"/>
          <w:iCs w:val="false"/>
          <w:color w:val="333333"/>
          <w:sz w:val="20"/>
          <w:szCs w:val="20"/>
        </w:rPr>
        <w:t xml:space="preserve">This is a recurring workflow. Farragut runs a version of this analysis on every multi-state healthcare platform acquisition their PE clients pursue. The workflow must be replayable, auditable, and fast.</w:t>
      </w:r>
    </w:p>
    <w:p>
      <w:pPr>
        <w:spacing w:before="160" w:after="0"/>
      </w:pPr>
      <w:r>
        <w:t xml:space="preserve"/>
      </w:r>
    </w:p>
    <w:p>
      <w:pPr>
        <w:spacing w:before="320" w:after="80"/>
      </w:pPr>
      <w:r>
        <w:rPr>
          <w:rFonts w:ascii="Arial" w:cs="Arial" w:eastAsia="Arial" w:hAnsi="Arial"/>
          <w:b/>
          <w:bCs/>
          <w:color w:val="00C896"/>
          <w:sz w:val="18"/>
          <w:szCs w:val="18"/>
        </w:rPr>
        <w:t xml:space="preserve">TEST DATASETS REQUIRED</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Three synthetic datasets must be built for this test case. They must be realistic in structure — column names, data types, and value distributions that match real state Medicaid export formats — but contain no real patient or provider data.</w:t>
      </w:r>
    </w:p>
    <w:p>
      <w:pPr>
        <w:spacing w:before="100" w:after="0"/>
      </w:pPr>
      <w:r>
        <w:t xml:space="preserve"/>
      </w:r>
    </w:p>
    <w:p>
      <w:pPr>
        <w:spacing w:before="180" w:after="60"/>
      </w:pPr>
      <w:r>
        <w:rPr>
          <w:rFonts w:ascii="Arial" w:cs="Arial" w:eastAsia="Arial" w:hAnsi="Arial"/>
          <w:b/>
          <w:bCs/>
          <w:color w:val="1B2A4A"/>
          <w:sz w:val="22"/>
          <w:szCs w:val="22"/>
        </w:rPr>
        <w:t xml:space="preserve">Dataset 1 — Texas Medicaid claims (tx_medicaid_claims.csv)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Rows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~5,000 synthetic claims records</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Key columns (Texas naming convention)</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BENE_ID, PRVDR_NPI, SVC_DT, PROC_CD, DIAG_CD, BILL_AMT, PAID_AMT, MCO_NAME, SVC_CAT, COUNTY_CD</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MCOs included</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3 synthetic MCOs: 'Lone Star Health', 'Texas Complete Care', 'Gulf Coast MCO'</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Service categories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Home Health Aide, Skilled Nursing, Physical Therapy, Personal Care, Hospice</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Intentional data issues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~5% null DIAG_CD values, two providers with unusually high BILL_AMT/PAID_AMT ratios (audit flag test), one MCO with 45%+ concentration</w:t>
            </w:r>
          </w:p>
        </w:tc>
      </w:tr>
    </w:tbl>
    <w:p>
      <w:pPr>
        <w:spacing w:before="100" w:after="0"/>
      </w:pPr>
      <w:r>
        <w:t xml:space="preserve"/>
      </w:r>
    </w:p>
    <w:p>
      <w:pPr>
        <w:spacing w:before="180" w:after="60"/>
      </w:pPr>
      <w:r>
        <w:rPr>
          <w:rFonts w:ascii="Arial" w:cs="Arial" w:eastAsia="Arial" w:hAnsi="Arial"/>
          <w:b/>
          <w:bCs/>
          <w:color w:val="1B2A4A"/>
          <w:sz w:val="22"/>
          <w:szCs w:val="22"/>
        </w:rPr>
        <w:t xml:space="preserve">Dataset 2 — Florida Medicaid claims (fl_medicaid_claims.csv)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Rows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~4,500 synthetic claims records</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Key columns (Florida naming — intentionally different)</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MEMBER_ID, PROVIDER_NPI, DATE_OF_SERVICE, PROCEDURE_CODE, DIAGNOSIS_CODE, BILLED_AMOUNT, ALLOWED_AMOUNT, HEALTH_PLAN, SERVICE_TYPE, REGION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MCOs included</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3 synthetic MCOs: 'Sunshine Health', 'Florida Community Care', 'Prestige Health Choice'</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Service categories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Same five categories as Texas, but labelled differently: 'HHA' vs 'Home Health Aide' etc.</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Intentional data issues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 category label mismatch with Texas (tests normalization), one region with anomalous concentration</w:t>
            </w:r>
          </w:p>
        </w:tc>
      </w:tr>
    </w:tbl>
    <w:p>
      <w:pPr>
        <w:spacing w:before="100" w:after="0"/>
      </w:pPr>
      <w:r>
        <w:t xml:space="preserve"/>
      </w:r>
    </w:p>
    <w:p>
      <w:pPr>
        <w:spacing w:before="180" w:after="60"/>
      </w:pPr>
      <w:r>
        <w:rPr>
          <w:rFonts w:ascii="Arial" w:cs="Arial" w:eastAsia="Arial" w:hAnsi="Arial"/>
          <w:b/>
          <w:bCs/>
          <w:color w:val="1B2A4A"/>
          <w:sz w:val="22"/>
          <w:szCs w:val="22"/>
        </w:rPr>
        <w:t xml:space="preserve">Dataset 3 — Ohio Medicaid claims (oh_medicaid_claims.csv)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Rows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~3,500 synthetic claims records</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Key columns (Ohio naming — third convention)</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CLIENT_ID, NPI, SERVICE_DATE, CPT_CODE, ICD_CODE, CHARGE_AMT, REIMB_AMT, MANAGED_CARE_ORG, CARE_CATEGORY, ZIP_CODE</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MCOs included</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2 synthetic MCOs: 'Buckeye Health Plan', 'CareSource Ohio'</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Service categories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Same five categories, third naming convention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Intentional data issues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Lower reimbursement rates than TX/FL on same service categories (cross-state rate comparison test)</w:t>
            </w:r>
          </w:p>
        </w:tc>
      </w:tr>
    </w:tbl>
    <w:p>
      <w:pPr>
        <w:spacing w:before="100" w:after="0"/>
      </w:pPr>
      <w:r>
        <w:t xml:space="preserve"/>
      </w:r>
    </w:p>
    <w:p>
      <w:pPr>
        <w:spacing w:before="180" w:after="60"/>
      </w:pPr>
      <w:r>
        <w:rPr>
          <w:rFonts w:ascii="Arial" w:cs="Arial" w:eastAsia="Arial" w:hAnsi="Arial"/>
          <w:b/>
          <w:bCs/>
          <w:color w:val="1B2A4A"/>
          <w:sz w:val="22"/>
          <w:szCs w:val="22"/>
        </w:rPr>
        <w:t xml:space="preserve">Reference 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7"/>
                <w:szCs w:val="17"/>
              </w:rPr>
              <w:t xml:space="preserve">File</w:t>
            </w:r>
          </w:p>
        </w:tc>
        <w:tc>
          <w:tcPr>
            <w:tcW w:type="dxa" w:w="324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7"/>
                <w:szCs w:val="17"/>
              </w:rPr>
              <w:t xml:space="preserve">Purpose</w:t>
            </w:r>
          </w:p>
        </w:tc>
        <w:tc>
          <w:tcPr>
            <w:tcW w:type="dxa" w:w="324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7"/>
                <w:szCs w:val="17"/>
              </w:rPr>
              <w:t xml:space="preserve">Key columns</w:t>
            </w:r>
          </w:p>
        </w:tc>
      </w:tr>
      <w:tr>
        <w:tc>
          <w:tcPr>
            <w:tcW w:type="dxa" w:w="288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medicaid_schema_map.csv</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color w:val="444444"/>
                <w:sz w:val="17"/>
                <w:szCs w:val="17"/>
              </w:rPr>
              <w:t xml:space="preserve">Normalize column names across 3 state formats to canonical schema</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color w:val="555555"/>
                <w:sz w:val="17"/>
                <w:szCs w:val="17"/>
              </w:rPr>
              <w:t xml:space="preserve">state, source_column, canonical_column, data_type</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service_category_map.csv</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color w:val="444444"/>
                <w:sz w:val="17"/>
                <w:szCs w:val="17"/>
              </w:rPr>
              <w:t xml:space="preserve">Normalize service category labels across states to standard names</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color w:val="555555"/>
                <w:sz w:val="17"/>
                <w:szCs w:val="17"/>
              </w:rPr>
              <w:t xml:space="preserve">state, raw_label, canonical_category</w:t>
            </w:r>
          </w:p>
        </w:tc>
      </w:tr>
      <w:tr>
        <w:tc>
          <w:tcPr>
            <w:tcW w:type="dxa" w:w="288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mco_lookup.csv</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color w:val="444444"/>
                <w:sz w:val="17"/>
                <w:szCs w:val="17"/>
              </w:rPr>
              <w:t xml:space="preserve">MCO name, state, plan type, market share tier</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color w:val="555555"/>
                <w:sz w:val="17"/>
                <w:szCs w:val="17"/>
              </w:rPr>
              <w:t xml:space="preserve">mco_name, state, plan_type, tier, notes</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audit_risk_flags.csv</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color w:val="444444"/>
                <w:sz w:val="17"/>
                <w:szCs w:val="17"/>
              </w:rPr>
              <w:t xml:space="preserve">CPT/procedure codes with elevated Medicaid audit risk</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color w:val="555555"/>
                <w:sz w:val="17"/>
                <w:szCs w:val="17"/>
              </w:rPr>
              <w:t xml:space="preserve">procedure_code, risk_level, audit_reason, notes</w:t>
            </w:r>
          </w:p>
        </w:tc>
      </w:tr>
    </w:tbl>
    <w:p>
      <w:pPr>
        <w:spacing w:before="160" w:after="0"/>
      </w:pPr>
      <w:r>
        <w:t xml:space="preserve"/>
      </w:r>
    </w:p>
    <w:p>
      <w:pPr>
        <w:spacing w:before="320" w:after="80"/>
      </w:pPr>
      <w:r>
        <w:rPr>
          <w:rFonts w:ascii="Arial" w:cs="Arial" w:eastAsia="Arial" w:hAnsi="Arial"/>
          <w:b/>
          <w:bCs/>
          <w:color w:val="00C896"/>
          <w:sz w:val="18"/>
          <w:szCs w:val="18"/>
        </w:rPr>
        <w:t xml:space="preserve">TEST SEQUENCE — 12 STEPS</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Each step maps to a product capability. Pass/fail criteria are explicit. Steps 1-4 test data ingestion and normalization. Steps 5-9 test the analytical query workflow. Steps 10-12 test output, audit trail, and memo generation.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3240"/>
        <w:gridCol w:w="2160"/>
        <w:gridCol w:w="2160"/>
      </w:tblGrid>
      <w:tr>
        <w:tc>
          <w:tcPr>
            <w:tcW w:type="dxa" w:w="36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tcPr>
          <w:p>
            <w:r>
              <w:rPr>
                <w:rFonts w:ascii="Arial" w:cs="Arial" w:eastAsia="Arial" w:hAnsi="Arial"/>
                <w:b/>
                <w:bCs/>
                <w:color w:val="FFFFFF"/>
                <w:sz w:val="16"/>
                <w:szCs w:val="16"/>
              </w:rPr>
              <w:t xml:space="preserve">#</w:t>
            </w:r>
          </w:p>
        </w:tc>
        <w:tc>
          <w:tcPr>
            <w:tcW w:type="dxa" w:w="144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Phase</w:t>
            </w:r>
          </w:p>
        </w:tc>
        <w:tc>
          <w:tcPr>
            <w:tcW w:type="dxa" w:w="324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Action</w:t>
            </w:r>
          </w:p>
        </w:tc>
        <w:tc>
          <w:tcPr>
            <w:tcW w:type="dxa" w:w="216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Feature tested</w:t>
            </w:r>
          </w:p>
        </w:tc>
        <w:tc>
          <w:tcPr>
            <w:tcW w:type="dxa" w:w="216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Pass condition</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1</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Ingest</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Import tx_medicaid_claims.csv. Record row count and Insights View output.</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Import pipeline, Insights View</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Import succeeds. Insights cards appear within 30s. Concentration card identifies MCO with 45%+ share.</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2</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Ingest</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Import fl_medicaid_claims.csv as second dataset. Both datasets visible in sidebar.</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Multi-dataset handling</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Second import succeeds without clearing first. Both datasets selectable independently.</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3</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Ingest</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Import oh_medicaid_claims.csv as third dataset.</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Multi-dataset handling</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All three datasets loaded. Row counts correct. No data mixing between datasets.</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4</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Normalize</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Load medicaid_schema_map.csv and service_category_map.csv as reference tables. Run JOIN on TX dataset to produce canonical column names.</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Reference Table JOIN, schema normalization</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JOIN returns rows with canonical column names. Source column values preserved. No data loss.</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5</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Query</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Ask: 'What is the total billed amount by MCO for Texas?' Review AI-generated SQL before running.</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NL-to-SQL, SQL review</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AI generates correct GROUP BY on MCO_NAME. Analyst reviews SQL. Results match expected MCO totals.</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6</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Query</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Ask: 'Which MCO accounts for the highest share of total paid amount in Texas?' Verify concentration flag.</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NL-to-SQL, concentration analysis</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AI generates correct percentage calculation. Top MCO share matches Insights card concentration figure.</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7</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Query</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Load audit_risk_flags.csv. Ask: 'Which procedure codes in the Florida dataset appear on the audit risk list?'</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Reference Table JOIN, compliance analysis</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JOIN returns correct matches. Risk level and audit reason columns visible in results.</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8</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Query</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Ask: 'Compare average reimbursement rate for Skilled Nursing across all three states.' Requires querying normalized datasets.</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Cross-dataset comparison, NL-to-SQL</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Query returns per-state average. Ohio rates lower than TX/FL as designed. No schema errors.</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9</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Query</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Ask: 'What percentage of total claims in each state are from the top two service categories?'</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Multi-step aggregation, NL-to-SQL</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AI generates correct subquery or CTE. Results sum correctly per state. Analyst can verify SQL logic.</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10</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Export</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Export Texas query results to Excel. Verify row count and column completeness.</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Export pipeline</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Export file opens correctly. Row count matches query result. All columns present.</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11</w:t>
            </w:r>
          </w:p>
        </w:tc>
        <w:tc>
          <w:tcPr>
            <w:tcW w:type="dxa" w:w="14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7"/>
                <w:szCs w:val="17"/>
              </w:rPr>
              <w:t xml:space="preserve">Audit</w:t>
            </w:r>
          </w:p>
        </w:tc>
        <w:tc>
          <w:tcPr>
            <w:tcW w:type="dxa" w:w="324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Generate Result Passport for the MCO concentration query. Verify contents.</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Result Passport</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Passport contains: query text, SQL, row count, timestamp, AI mode, dataset name, key result values.</w:t>
            </w:r>
          </w:p>
        </w:tc>
      </w:tr>
      <w:tr>
        <w:tc>
          <w:tcPr>
            <w:tcW w:type="dxa" w:w="3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00C896"/>
                <w:sz w:val="17"/>
                <w:szCs w:val="17"/>
              </w:rPr>
              <w:t xml:space="preserve">12</w:t>
            </w:r>
          </w:p>
        </w:tc>
        <w:tc>
          <w:tcPr>
            <w:tcW w:type="dxa" w:w="14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7"/>
                <w:szCs w:val="17"/>
              </w:rPr>
              <w:t xml:space="preserve">Memo</w:t>
            </w:r>
          </w:p>
        </w:tc>
        <w:tc>
          <w:tcPr>
            <w:tcW w:type="dxa" w:w="324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333333"/>
                <w:sz w:val="17"/>
                <w:szCs w:val="17"/>
              </w:rPr>
              <w:t xml:space="preserve">Export Session Log. Verify it captures all 12 steps in sequence with correct metadata.</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555555"/>
                <w:sz w:val="17"/>
                <w:szCs w:val="17"/>
              </w:rPr>
              <w:t xml:space="preserve">Session Log, audit trail</w:t>
            </w:r>
          </w:p>
        </w:tc>
        <w:tc>
          <w:tcPr>
            <w:tcW w:type="dxa" w:w="216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val="false"/>
                <w:bCs w:val="false"/>
                <w:color w:val="226633"/>
                <w:sz w:val="17"/>
                <w:szCs w:val="17"/>
              </w:rPr>
              <w:t xml:space="preserve">Log contains all events: 3 imports, 2 reference loads, 5 queries, 1 export, 1 passport. Timestamps correct.</w:t>
            </w:r>
          </w:p>
        </w:tc>
      </w:tr>
    </w:tbl>
    <w:p>
      <w:pPr>
        <w:spacing w:before="160" w:after="0"/>
      </w:pPr>
      <w:r>
        <w:t xml:space="preserve"/>
      </w:r>
    </w:p>
    <w:p>
      <w:pPr>
        <w:spacing w:before="320" w:after="80"/>
      </w:pPr>
      <w:r>
        <w:rPr>
          <w:rFonts w:ascii="Arial" w:cs="Arial" w:eastAsia="Arial" w:hAnsi="Arial"/>
          <w:b/>
          <w:bCs/>
          <w:color w:val="00C896"/>
          <w:sz w:val="18"/>
          <w:szCs w:val="18"/>
        </w:rPr>
        <w:t xml:space="preserve">QUERY BANK — NATURAL LANGUAGE TEST QUESTIONS</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These are the specific natural language questions the test case exercises. They are modeled on actual analytical questions a Farragut analyst would ask during a PE diligence engagement. Each tests a different SQL pattern.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3120"/>
        <w:gridCol w:w="3000"/>
      </w:tblGrid>
      <w:tr>
        <w:tc>
          <w:tcPr>
            <w:tcW w:type="dxa" w:w="36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tcPr>
          <w:p>
            <w:r>
              <w:rPr>
                <w:rFonts w:ascii="Arial" w:cs="Arial" w:eastAsia="Arial" w:hAnsi="Arial"/>
                <w:b/>
                <w:bCs/>
                <w:color w:val="FFFFFF"/>
                <w:sz w:val="16"/>
                <w:szCs w:val="16"/>
              </w:rPr>
              <w:t xml:space="preserve">#</w:t>
            </w:r>
          </w:p>
        </w:tc>
        <w:tc>
          <w:tcPr>
            <w:tcW w:type="dxa" w:w="288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Natural language question</w:t>
            </w:r>
          </w:p>
        </w:tc>
        <w:tc>
          <w:tcPr>
            <w:tcW w:type="dxa" w:w="312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SQL pattern expected</w:t>
            </w:r>
          </w:p>
        </w:tc>
        <w:tc>
          <w:tcPr>
            <w:tcW w:type="dxa" w:w="3000"/>
            <w:tcBorders>
              <w:top w:val="none" w:color="FFFFFF" w:sz="0"/>
              <w:left w:val="none" w:color="FFFFFF" w:sz="0"/>
              <w:bottom w:val="none" w:color="FFFFFF" w:sz="0"/>
              <w:right w:val="none" w:color="FFFFFF" w:sz="0"/>
            </w:tcBorders>
            <w:shd w:fill="1B2A4A" w:val="clear"/>
            <w:tcMar>
              <w:top w:type="dxa" w:w="80"/>
              <w:left w:type="dxa" w:w="120"/>
              <w:bottom w:type="dxa" w:w="80"/>
              <w:right w:type="dxa" w:w="80"/>
            </w:tcMar>
          </w:tcPr>
          <w:p>
            <w:r>
              <w:rPr>
                <w:rFonts w:ascii="Arial" w:cs="Arial" w:eastAsia="Arial" w:hAnsi="Arial"/>
                <w:b/>
                <w:bCs/>
                <w:color w:val="FFFFFF"/>
                <w:sz w:val="16"/>
                <w:szCs w:val="16"/>
              </w:rPr>
              <w:t xml:space="preserve">Expected result shape</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Q1</w:t>
            </w:r>
          </w:p>
        </w:tc>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What is the total billed and paid amount by MCO for Texas?</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GROUP BY MCO_NAME, SUM(BILL_AMT), SUM(PAID_AMT)</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3 rows (one per MCO), two amount columns</w:t>
            </w:r>
          </w:p>
        </w:tc>
      </w:tr>
      <w:tr>
        <w:tc>
          <w:tcPr>
            <w:tcW w:type="dxa" w:w="36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bCs/>
                <w:color w:val="00C896"/>
                <w:sz w:val="17"/>
                <w:szCs w:val="17"/>
              </w:rPr>
              <w:t xml:space="preserve">Q2</w:t>
            </w:r>
          </w:p>
        </w:tc>
        <w:tc>
          <w:tcPr>
            <w:tcW w:type="dxa" w:w="288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333333"/>
                <w:sz w:val="17"/>
                <w:szCs w:val="17"/>
              </w:rPr>
              <w:t xml:space="preserve">Which MCO accounts for the highest percentage of total paid claims?</w:t>
            </w:r>
          </w:p>
        </w:tc>
        <w:tc>
          <w:tcPr>
            <w:tcW w:type="dxa" w:w="312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555555"/>
                <w:sz w:val="17"/>
                <w:szCs w:val="17"/>
              </w:rPr>
              <w:t xml:space="preserve">Subquery or CTE with percentage calculation</w:t>
            </w:r>
          </w:p>
        </w:tc>
        <w:tc>
          <w:tcPr>
            <w:tcW w:type="dxa" w:w="300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226633"/>
                <w:sz w:val="17"/>
                <w:szCs w:val="17"/>
              </w:rPr>
              <w:t xml:space="preserve">1 row — MCO name + % share</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Q3</w:t>
            </w:r>
          </w:p>
        </w:tc>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How many claims have a null diagnosis code?</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COUNT WHERE DIAG_CD IS NULL</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Single integer — should be ~5% of total</w:t>
            </w:r>
          </w:p>
        </w:tc>
      </w:tr>
      <w:tr>
        <w:tc>
          <w:tcPr>
            <w:tcW w:type="dxa" w:w="36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bCs/>
                <w:color w:val="00C896"/>
                <w:sz w:val="17"/>
                <w:szCs w:val="17"/>
              </w:rPr>
              <w:t xml:space="preserve">Q4</w:t>
            </w:r>
          </w:p>
        </w:tc>
        <w:tc>
          <w:tcPr>
            <w:tcW w:type="dxa" w:w="288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333333"/>
                <w:sz w:val="17"/>
                <w:szCs w:val="17"/>
              </w:rPr>
              <w:t xml:space="preserve">Which providers have a billed-to-paid ratio above 3.0?</w:t>
            </w:r>
          </w:p>
        </w:tc>
        <w:tc>
          <w:tcPr>
            <w:tcW w:type="dxa" w:w="312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555555"/>
                <w:sz w:val="17"/>
                <w:szCs w:val="17"/>
              </w:rPr>
              <w:t xml:space="preserve">Division, HAVING clause</w:t>
            </w:r>
          </w:p>
        </w:tc>
        <w:tc>
          <w:tcPr>
            <w:tcW w:type="dxa" w:w="300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226633"/>
                <w:sz w:val="17"/>
                <w:szCs w:val="17"/>
              </w:rPr>
              <w:t xml:space="preserve">2 rows — the two seeded anomalous providers</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Q5</w:t>
            </w:r>
          </w:p>
        </w:tc>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What is the claim count and total paid by service category across all three states?</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GROUP BY canonical_category after JOIN</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5 rows (one per service category)</w:t>
            </w:r>
          </w:p>
        </w:tc>
      </w:tr>
      <w:tr>
        <w:tc>
          <w:tcPr>
            <w:tcW w:type="dxa" w:w="36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bCs/>
                <w:color w:val="00C896"/>
                <w:sz w:val="17"/>
                <w:szCs w:val="17"/>
              </w:rPr>
              <w:t xml:space="preserve">Q6</w:t>
            </w:r>
          </w:p>
        </w:tc>
        <w:tc>
          <w:tcPr>
            <w:tcW w:type="dxa" w:w="288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333333"/>
                <w:sz w:val="17"/>
                <w:szCs w:val="17"/>
              </w:rPr>
              <w:t xml:space="preserve">Which procedure codes appear in Florida claims and are also on the audit risk list?</w:t>
            </w:r>
          </w:p>
        </w:tc>
        <w:tc>
          <w:tcPr>
            <w:tcW w:type="dxa" w:w="312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555555"/>
                <w:sz w:val="17"/>
                <w:szCs w:val="17"/>
              </w:rPr>
              <w:t xml:space="preserve">INNER JOIN on PROCEDURE_CODE</w:t>
            </w:r>
          </w:p>
        </w:tc>
        <w:tc>
          <w:tcPr>
            <w:tcW w:type="dxa" w:w="300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226633"/>
                <w:sz w:val="17"/>
                <w:szCs w:val="17"/>
              </w:rPr>
              <w:t xml:space="preserve">Rows with risk_level and audit_reason populated</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Q7</w:t>
            </w:r>
          </w:p>
        </w:tc>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What is the average reimbursement rate per service category in each state?</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GROUP BY state + category, AVG(PAID_AMT/BILLED_AMT)</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15 rows (5 categories x 3 states)</w:t>
            </w:r>
          </w:p>
        </w:tc>
      </w:tr>
      <w:tr>
        <w:tc>
          <w:tcPr>
            <w:tcW w:type="dxa" w:w="36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bCs/>
                <w:color w:val="00C896"/>
                <w:sz w:val="17"/>
                <w:szCs w:val="17"/>
              </w:rPr>
              <w:t xml:space="preserve">Q8</w:t>
            </w:r>
          </w:p>
        </w:tc>
        <w:tc>
          <w:tcPr>
            <w:tcW w:type="dxa" w:w="288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333333"/>
                <w:sz w:val="17"/>
                <w:szCs w:val="17"/>
              </w:rPr>
              <w:t xml:space="preserve">What percentage of total claims in Texas come from the top two service categories?</w:t>
            </w:r>
          </w:p>
        </w:tc>
        <w:tc>
          <w:tcPr>
            <w:tcW w:type="dxa" w:w="312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555555"/>
                <w:sz w:val="17"/>
                <w:szCs w:val="17"/>
              </w:rPr>
              <w:t xml:space="preserve">Ranked aggregation with percentage</w:t>
            </w:r>
          </w:p>
        </w:tc>
        <w:tc>
          <w:tcPr>
            <w:tcW w:type="dxa" w:w="300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226633"/>
                <w:sz w:val="17"/>
                <w:szCs w:val="17"/>
              </w:rPr>
              <w:t xml:space="preserve">2 rows with cumulative % — should be &gt;60%</w:t>
            </w:r>
          </w:p>
        </w:tc>
      </w:tr>
      <w:tr>
        <w:tc>
          <w:tcPr>
            <w:tcW w:type="dxa" w:w="3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00C896"/>
                <w:sz w:val="17"/>
                <w:szCs w:val="17"/>
              </w:rPr>
              <w:t xml:space="preserve">Q9</w:t>
            </w:r>
          </w:p>
        </w:tc>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333333"/>
                <w:sz w:val="17"/>
                <w:szCs w:val="17"/>
              </w:rPr>
              <w:t xml:space="preserve">Are there any counties in Texas with more than 20% of claims coming from a single provider?</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555555"/>
                <w:sz w:val="17"/>
                <w:szCs w:val="17"/>
              </w:rPr>
              <w:t xml:space="preserve">GROUP BY COUNTY_CD, PRVDR_NPI with concentration logic</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val="false"/>
                <w:bCs w:val="false"/>
                <w:color w:val="226633"/>
                <w:sz w:val="17"/>
                <w:szCs w:val="17"/>
              </w:rPr>
              <w:t xml:space="preserve">Any counties at concentration risk</w:t>
            </w:r>
          </w:p>
        </w:tc>
      </w:tr>
      <w:tr>
        <w:tc>
          <w:tcPr>
            <w:tcW w:type="dxa" w:w="36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bCs/>
                <w:color w:val="00C896"/>
                <w:sz w:val="17"/>
                <w:szCs w:val="17"/>
              </w:rPr>
              <w:t xml:space="preserve">Q10</w:t>
            </w:r>
          </w:p>
        </w:tc>
        <w:tc>
          <w:tcPr>
            <w:tcW w:type="dxa" w:w="288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333333"/>
                <w:sz w:val="17"/>
                <w:szCs w:val="17"/>
              </w:rPr>
              <w:t xml:space="preserve">What is the month-over-month trend in total paid claims for Florida?</w:t>
            </w:r>
          </w:p>
        </w:tc>
        <w:tc>
          <w:tcPr>
            <w:tcW w:type="dxa" w:w="312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555555"/>
                <w:sz w:val="17"/>
                <w:szCs w:val="17"/>
              </w:rPr>
              <w:t xml:space="preserve">DATE_TRUNC or EXTRACT on SERVICE_DATE, GROUP BY month</w:t>
            </w:r>
          </w:p>
        </w:tc>
        <w:tc>
          <w:tcPr>
            <w:tcW w:type="dxa" w:w="3000"/>
            <w:tcBorders>
              <w:top w:val="none" w:color="FFFFFF" w:sz="0"/>
              <w:left w:val="none" w:color="FFFFFF" w:sz="0"/>
              <w:bottom w:val="none" w:color="FFFFFF" w:sz="0"/>
              <w:right w:val="none" w:color="FFFFFF" w:sz="0"/>
            </w:tcBorders>
            <w:shd w:fill="EEF4FF" w:val="clear"/>
            <w:tcMar>
              <w:top w:type="dxa" w:w="80"/>
              <w:left w:type="dxa" w:w="120"/>
              <w:bottom w:type="dxa" w:w="80"/>
              <w:right w:type="dxa" w:w="80"/>
            </w:tcMar>
          </w:tcPr>
          <w:p>
            <w:r>
              <w:rPr>
                <w:rFonts w:ascii="Arial" w:cs="Arial" w:eastAsia="Arial" w:hAnsi="Arial"/>
                <w:b w:val="false"/>
                <w:bCs w:val="false"/>
                <w:color w:val="226633"/>
                <w:sz w:val="17"/>
                <w:szCs w:val="17"/>
              </w:rPr>
              <w:t xml:space="preserve">Monthly time series — should show variation</w:t>
            </w:r>
          </w:p>
        </w:tc>
      </w:tr>
    </w:tbl>
    <w:p>
      <w:pPr>
        <w:spacing w:before="160" w:after="0"/>
      </w:pPr>
      <w:r>
        <w:t xml:space="preserve"/>
      </w:r>
    </w:p>
    <w:p>
      <w:pPr>
        <w:spacing w:before="320" w:after="80"/>
      </w:pPr>
      <w:r>
        <w:rPr>
          <w:rFonts w:ascii="Arial" w:cs="Arial" w:eastAsia="Arial" w:hAnsi="Arial"/>
          <w:b/>
          <w:bCs/>
          <w:color w:val="00C896"/>
          <w:sz w:val="18"/>
          <w:szCs w:val="18"/>
        </w:rPr>
        <w:t xml:space="preserve">OVERALL PASS AND FAIL CRITERIA</w:t>
      </w:r>
    </w:p>
    <w:p>
      <w:pPr>
        <w:pBdr>
          <w:bottom w:val="single" w:color="00C896" w:sz="6" w:space="1"/>
        </w:pBdr>
        <w:spacing w:before="0" w:after="120"/>
      </w:pPr>
      <w:r>
        <w:t xml:space="preserve"/>
      </w:r>
    </w:p>
    <w:p>
      <w:pPr>
        <w:spacing w:before="180" w:after="60"/>
      </w:pPr>
      <w:r>
        <w:rPr>
          <w:rFonts w:ascii="Arial" w:cs="Arial" w:eastAsia="Arial" w:hAnsi="Arial"/>
          <w:b/>
          <w:bCs/>
          <w:color w:val="1B2A4A"/>
          <w:sz w:val="22"/>
          <w:szCs w:val="22"/>
        </w:rPr>
        <w:t xml:space="preserve">The test case passes if:</w:t>
      </w:r>
    </w:p>
    <w:p>
      <w:pPr>
        <w:pStyle w:val="ListParagraph"/>
        <w:numPr>
          <w:ilvl w:val="0"/>
          <w:numId w:val="2"/>
        </w:numPr>
        <w:spacing w:before="40" w:after="40"/>
      </w:pPr>
      <w:r>
        <w:rPr>
          <w:rFonts w:ascii="Arial" w:cs="Arial" w:eastAsia="Arial" w:hAnsi="Arial"/>
          <w:color w:val="333333"/>
          <w:sz w:val="20"/>
          <w:szCs w:val="20"/>
        </w:rPr>
        <w:t xml:space="preserve">All three datasets import without error and row counts are correct</w:t>
      </w:r>
    </w:p>
    <w:p>
      <w:pPr>
        <w:pStyle w:val="ListParagraph"/>
        <w:numPr>
          <w:ilvl w:val="0"/>
          <w:numId w:val="2"/>
        </w:numPr>
        <w:spacing w:before="40" w:after="40"/>
      </w:pPr>
      <w:r>
        <w:rPr>
          <w:rFonts w:ascii="Arial" w:cs="Arial" w:eastAsia="Arial" w:hAnsi="Arial"/>
          <w:color w:val="333333"/>
          <w:sz w:val="20"/>
          <w:szCs w:val="20"/>
        </w:rPr>
        <w:t xml:space="preserve">All four reference tables load and JOIN against primary datasets correctly</w:t>
      </w:r>
    </w:p>
    <w:p>
      <w:pPr>
        <w:pStyle w:val="ListParagraph"/>
        <w:numPr>
          <w:ilvl w:val="0"/>
          <w:numId w:val="2"/>
        </w:numPr>
        <w:spacing w:before="40" w:after="40"/>
      </w:pPr>
      <w:r>
        <w:rPr>
          <w:rFonts w:ascii="Arial" w:cs="Arial" w:eastAsia="Arial" w:hAnsi="Arial"/>
          <w:color w:val="333333"/>
          <w:sz w:val="20"/>
          <w:szCs w:val="20"/>
        </w:rPr>
        <w:t xml:space="preserve">All 10 natural language queries produce syntactically valid SQL on first attempt</w:t>
      </w:r>
    </w:p>
    <w:p>
      <w:pPr>
        <w:pStyle w:val="ListParagraph"/>
        <w:numPr>
          <w:ilvl w:val="0"/>
          <w:numId w:val="2"/>
        </w:numPr>
        <w:spacing w:before="40" w:after="40"/>
      </w:pPr>
      <w:r>
        <w:rPr>
          <w:rFonts w:ascii="Arial" w:cs="Arial" w:eastAsia="Arial" w:hAnsi="Arial"/>
          <w:color w:val="333333"/>
          <w:sz w:val="20"/>
          <w:szCs w:val="20"/>
        </w:rPr>
        <w:t xml:space="preserve">SQL for Q4 (anomalous providers) and Q6 (audit risk JOIN) returns the seeded test data exactly</w:t>
      </w:r>
    </w:p>
    <w:p>
      <w:pPr>
        <w:pStyle w:val="ListParagraph"/>
        <w:numPr>
          <w:ilvl w:val="0"/>
          <w:numId w:val="2"/>
        </w:numPr>
        <w:spacing w:before="40" w:after="40"/>
      </w:pPr>
      <w:r>
        <w:rPr>
          <w:rFonts w:ascii="Arial" w:cs="Arial" w:eastAsia="Arial" w:hAnsi="Arial"/>
          <w:color w:val="333333"/>
          <w:sz w:val="20"/>
          <w:szCs w:val="20"/>
        </w:rPr>
        <w:t xml:space="preserve">Q7 (cross-state reimbursement comparison) shows Ohio rates lower than TX and FL as designed</w:t>
      </w:r>
    </w:p>
    <w:p>
      <w:pPr>
        <w:pStyle w:val="ListParagraph"/>
        <w:numPr>
          <w:ilvl w:val="0"/>
          <w:numId w:val="2"/>
        </w:numPr>
        <w:spacing w:before="40" w:after="40"/>
      </w:pPr>
      <w:r>
        <w:rPr>
          <w:rFonts w:ascii="Arial" w:cs="Arial" w:eastAsia="Arial" w:hAnsi="Arial"/>
          <w:color w:val="333333"/>
          <w:sz w:val="20"/>
          <w:szCs w:val="20"/>
        </w:rPr>
        <w:t xml:space="preserve">Session Log captures all events in correct sequence with timestamps</w:t>
      </w:r>
    </w:p>
    <w:p>
      <w:pPr>
        <w:pStyle w:val="ListParagraph"/>
        <w:numPr>
          <w:ilvl w:val="0"/>
          <w:numId w:val="2"/>
        </w:numPr>
        <w:spacing w:before="40" w:after="40"/>
      </w:pPr>
      <w:r>
        <w:rPr>
          <w:rFonts w:ascii="Arial" w:cs="Arial" w:eastAsia="Arial" w:hAnsi="Arial"/>
          <w:color w:val="333333"/>
          <w:sz w:val="20"/>
          <w:szCs w:val="20"/>
        </w:rPr>
        <w:t xml:space="preserve">Result Passport for Q2 (MCO concentration) contains all required metadata fields</w:t>
      </w:r>
    </w:p>
    <w:p>
      <w:pPr>
        <w:pStyle w:val="ListParagraph"/>
        <w:numPr>
          <w:ilvl w:val="0"/>
          <w:numId w:val="2"/>
        </w:numPr>
        <w:spacing w:before="40" w:after="40"/>
      </w:pPr>
      <w:r>
        <w:rPr>
          <w:rFonts w:ascii="Arial" w:cs="Arial" w:eastAsia="Arial" w:hAnsi="Arial"/>
          <w:color w:val="333333"/>
          <w:sz w:val="20"/>
          <w:szCs w:val="20"/>
        </w:rPr>
        <w:t xml:space="preserve">Export from Step 10 opens correctly in Excel with correct row count</w:t>
      </w:r>
    </w:p>
    <w:p>
      <w:pPr>
        <w:spacing w:before="80" w:after="0"/>
      </w:pPr>
      <w:r>
        <w:t xml:space="preserve"/>
      </w:r>
    </w:p>
    <w:p>
      <w:pPr>
        <w:spacing w:before="180" w:after="60"/>
      </w:pPr>
      <w:r>
        <w:rPr>
          <w:rFonts w:ascii="Arial" w:cs="Arial" w:eastAsia="Arial" w:hAnsi="Arial"/>
          <w:b/>
          <w:bCs/>
          <w:color w:val="CC3333"/>
          <w:sz w:val="22"/>
          <w:szCs w:val="22"/>
        </w:rPr>
        <w:t xml:space="preserve">The test case fails if:</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Any import fails or corrupts data from another dataset</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Reference table JOIN produces incorrect row counts or mismatched values</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AI generates SQL that uses non-DuckDB functions (APPROX_PERCENTILE_CONT etc.)</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Q4 does not surface both anomalous providers (regression test for audit flag logic)</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Q7 shows Ohio rates equal to or higher than TX/FL (data generation error)</w:t>
      </w:r>
    </w:p>
    <w:p>
      <w:pPr>
        <w:pStyle w:val="ListParagraph"/>
        <w:numPr>
          <w:ilvl w:val="0"/>
          <w:numId w:val="2"/>
        </w:numPr>
        <w:spacing w:before="40" w:after="40"/>
      </w:pPr>
      <w:r>
        <w:rPr>
          <w:rFonts w:ascii="Arial" w:cs="Arial" w:eastAsia="Arial" w:hAnsi="Arial"/>
          <w:b w:val="false"/>
          <w:bCs w:val="false"/>
          <w:i w:val="false"/>
          <w:iCs w:val="false"/>
          <w:color w:val="CC3333"/>
          <w:sz w:val="20"/>
          <w:szCs w:val="20"/>
        </w:rPr>
        <w:t xml:space="preserve">Session Log is missing any of the 12 test steps</w:t>
      </w:r>
    </w:p>
    <w:p>
      <w:pPr>
        <w:spacing w:before="160" w:after="0"/>
      </w:pPr>
      <w:r>
        <w:t xml:space="preserve"/>
      </w:r>
    </w:p>
    <w:p>
      <w:pPr>
        <w:spacing w:before="320" w:after="80"/>
      </w:pPr>
      <w:r>
        <w:rPr>
          <w:rFonts w:ascii="Arial" w:cs="Arial" w:eastAsia="Arial" w:hAnsi="Arial"/>
          <w:b/>
          <w:bCs/>
          <w:color w:val="00C896"/>
          <w:sz w:val="18"/>
          <w:szCs w:val="18"/>
        </w:rPr>
        <w:t xml:space="preserve">SESSION LIBRARY SPECIFICATION — TUTORIAL #4</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When this test case passes, it becomes Tutorial #4 in the Session Library healthcare policy pack. Spec for the example case package: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Case title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Multi-State Medicaid Diligence</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Category</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Healthcare Policy — PE Diligence</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Tagline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Normalize, analyze, and compare Medicaid claims across multiple states for acquisition diligence.</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Included datasets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tx_medicaid_claims.csv, fl_medicaid_claims.csv, oh_medicaid_claims.csv (500-row samples)</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Included reference tables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medicaid_schema_map.csv, service_category_map.csv, mco_lookup.csv, audit_risk_flags.csv</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Tutorial steps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Steps 1-12 above, each with pre-step and post-step narration</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Baseline row counts</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Record at validation time and embed in session JSON for regression testing</w:t>
            </w:r>
          </w:p>
        </w:tc>
      </w:tr>
      <w:tr>
        <w:tc>
          <w:tcPr>
            <w:tcW w:type="dxa" w:w="3000"/>
            <w:tcBorders>
              <w:top w:val="none" w:color="FFFFFF" w:sz="0"/>
              <w:left w:val="none" w:color="FFFFFF" w:sz="0"/>
              <w:bottom w:val="none" w:color="FFFFFF" w:sz="0"/>
              <w:right w:val="none" w:color="FFFFFF" w:sz="0"/>
            </w:tcBorders>
            <w:shd w:fill="F5F5F3" w:val="clear"/>
            <w:tcMar>
              <w:top w:type="dxa" w:w="80"/>
              <w:left w:type="dxa" w:w="120"/>
              <w:bottom w:type="dxa" w:w="80"/>
              <w:right w:type="dxa" w:w="80"/>
            </w:tcMar>
          </w:tcPr>
          <w:p>
            <w:r>
              <w:rPr>
                <w:rFonts w:ascii="Arial" w:cs="Arial" w:eastAsia="Arial" w:hAnsi="Arial"/>
                <w:b/>
                <w:bCs/>
                <w:color w:val="1B2A4A"/>
                <w:sz w:val="18"/>
                <w:szCs w:val="18"/>
              </w:rPr>
              <w:t xml:space="preserve">Key learning moments</w:t>
            </w:r>
          </w:p>
        </w:tc>
        <w:tc>
          <w:tcPr>
            <w:tcW w:type="dxa" w:w="6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r>
              <w:rPr>
                <w:rFonts w:ascii="Arial" w:cs="Arial" w:eastAsia="Arial" w:hAnsi="Arial"/>
                <w:color w:val="444444"/>
                <w:sz w:val="18"/>
                <w:szCs w:val="18"/>
              </w:rPr>
              <w:t xml:space="preserve">Step 4 (schema normalization), Step 7 (cross-dataset JOIN), Step 8 (cross-state comparison), Step 12 (audit trail review)</w:t>
            </w:r>
          </w:p>
        </w:tc>
      </w:tr>
      <w:tr>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Estimated run time</w:t>
            </w:r>
          </w:p>
        </w:tc>
        <w:tc>
          <w:tcPr>
            <w:tcW w:type="dxa" w:w="6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20-25 minutes for full tutorial, 5 minutes for Run All regression mode</w:t>
            </w:r>
          </w:p>
        </w:tc>
      </w:tr>
    </w:tbl>
    <w:p>
      <w:pPr>
        <w:spacing w:before="160" w:after="0"/>
      </w:pPr>
      <w:r>
        <w:t xml:space="preserve"/>
      </w:r>
    </w:p>
    <w:p>
      <w:pPr>
        <w:spacing w:before="320" w:after="80"/>
      </w:pPr>
      <w:r>
        <w:rPr>
          <w:rFonts w:ascii="Arial" w:cs="Arial" w:eastAsia="Arial" w:hAnsi="Arial"/>
          <w:b/>
          <w:bCs/>
          <w:color w:val="00C896"/>
          <w:sz w:val="18"/>
          <w:szCs w:val="18"/>
        </w:rPr>
        <w:t xml:space="preserve">TUTORIAL NARRATION GUIDANCE</w:t>
      </w:r>
    </w:p>
    <w:p>
      <w:pPr>
        <w:pBdr>
          <w:bottom w:val="single" w:color="00C896" w:sz="6" w:space="1"/>
        </w:pBdr>
        <w:spacing w:before="0" w:after="120"/>
      </w:pPr>
      <w:r>
        <w:t xml:space="preserve"/>
      </w:r>
    </w:p>
    <w:p>
      <w:pPr>
        <w:spacing w:before="40" w:after="60"/>
      </w:pPr>
      <w:r>
        <w:rPr>
          <w:rFonts w:ascii="Arial" w:cs="Arial" w:eastAsia="Arial" w:hAnsi="Arial"/>
          <w:b w:val="false"/>
          <w:bCs w:val="false"/>
          <w:i w:val="false"/>
          <w:iCs w:val="false"/>
          <w:color w:val="333333"/>
          <w:sz w:val="20"/>
          <w:szCs w:val="20"/>
        </w:rPr>
        <w:t xml:space="preserve">The following notes guide the AI-generated narration at key steps. These should be embedded as analyst annotations in the session JSON at record time.</w:t>
      </w:r>
    </w:p>
    <w:p>
      <w:pPr>
        <w:spacing w:before="60" w:after="0"/>
      </w:pPr>
      <w:r>
        <w:t xml:space="preserve"/>
      </w:r>
    </w:p>
    <w:p>
      <w:pPr>
        <w:spacing w:before="140" w:after="40"/>
      </w:pPr>
      <w:r>
        <w:rPr>
          <w:rFonts w:ascii="Arial" w:cs="Arial" w:eastAsia="Arial" w:hAnsi="Arial"/>
          <w:b/>
          <w:bCs/>
          <w:color w:val="444444"/>
          <w:sz w:val="20"/>
          <w:szCs w:val="20"/>
        </w:rPr>
        <w:t xml:space="preserve">Step 4 narration — Schema normalization</w:t>
      </w:r>
    </w:p>
    <w:p>
      <w:pPr>
        <w:spacing w:before="40" w:after="60"/>
      </w:pPr>
      <w:r>
        <w:rPr>
          <w:rFonts w:ascii="Arial" w:cs="Arial" w:eastAsia="Arial" w:hAnsi="Arial"/>
          <w:b w:val="false"/>
          <w:bCs w:val="false"/>
          <w:i/>
          <w:iCs/>
          <w:color w:val="555555"/>
          <w:sz w:val="20"/>
          <w:szCs w:val="20"/>
        </w:rPr>
        <w:t xml:space="preserve">'One of the most time-consuming parts of multi-state diligence is reconciling column names across state systems. Texas calls it BENE_ID. Florida calls it MEMBER_ID. Ohio calls it CLIENT_ID. They all mean the same thing. The schema map reference table solves this in one JOIN — after this step, all three datasets use the same canonical column names and can be compared directly.'</w:t>
      </w:r>
    </w:p>
    <w:p>
      <w:pPr>
        <w:spacing w:before="60" w:after="0"/>
      </w:pPr>
      <w:r>
        <w:t xml:space="preserve"/>
      </w:r>
    </w:p>
    <w:p>
      <w:pPr>
        <w:spacing w:before="140" w:after="40"/>
      </w:pPr>
      <w:r>
        <w:rPr>
          <w:rFonts w:ascii="Arial" w:cs="Arial" w:eastAsia="Arial" w:hAnsi="Arial"/>
          <w:b/>
          <w:bCs/>
          <w:color w:val="444444"/>
          <w:sz w:val="20"/>
          <w:szCs w:val="20"/>
        </w:rPr>
        <w:t xml:space="preserve">Step 7 narration — Audit risk JOIN</w:t>
      </w:r>
    </w:p>
    <w:p>
      <w:pPr>
        <w:spacing w:before="40" w:after="60"/>
      </w:pPr>
      <w:r>
        <w:rPr>
          <w:rFonts w:ascii="Arial" w:cs="Arial" w:eastAsia="Arial" w:hAnsi="Arial"/>
          <w:b w:val="false"/>
          <w:bCs w:val="false"/>
          <w:i/>
          <w:iCs/>
          <w:color w:val="555555"/>
          <w:sz w:val="20"/>
          <w:szCs w:val="20"/>
        </w:rPr>
        <w:t xml:space="preserve">'This is where regulatory expertise becomes quantifiable. The audit risk flags reference table captures procedure codes that CMS or state Medicaid agencies have historically targeted in audits. Joining this against the claims data tells you immediately which portion of the platform's revenue sits in elevated-risk territory — before you even look at billing patterns.'</w:t>
      </w:r>
    </w:p>
    <w:p>
      <w:pPr>
        <w:spacing w:before="60" w:after="0"/>
      </w:pPr>
      <w:r>
        <w:t xml:space="preserve"/>
      </w:r>
    </w:p>
    <w:p>
      <w:pPr>
        <w:spacing w:before="140" w:after="40"/>
      </w:pPr>
      <w:r>
        <w:rPr>
          <w:rFonts w:ascii="Arial" w:cs="Arial" w:eastAsia="Arial" w:hAnsi="Arial"/>
          <w:b/>
          <w:bCs/>
          <w:color w:val="444444"/>
          <w:sz w:val="20"/>
          <w:szCs w:val="20"/>
        </w:rPr>
        <w:t xml:space="preserve">Step 8 narration — Cross-state rate comparison</w:t>
      </w:r>
    </w:p>
    <w:p>
      <w:pPr>
        <w:spacing w:before="40" w:after="60"/>
      </w:pPr>
      <w:r>
        <w:rPr>
          <w:rFonts w:ascii="Arial" w:cs="Arial" w:eastAsia="Arial" w:hAnsi="Arial"/>
          <w:b w:val="false"/>
          <w:bCs w:val="false"/>
          <w:i/>
          <w:iCs/>
          <w:color w:val="555555"/>
          <w:sz w:val="20"/>
          <w:szCs w:val="20"/>
        </w:rPr>
        <w:t xml:space="preserve">'Reimbursement rates vary materially by state. Ohio managed care contracts often reimburse at lower rates than Texas or Florida for the same service. If the platform is expanding from Florida into Ohio, that rate differential has a direct impact on margin. This query makes that comparison in seconds — work that previously required building a separate spreadsheet model.'</w:t>
      </w:r>
    </w:p>
    <w:p>
      <w:pPr>
        <w:spacing w:before="60" w:after="0"/>
      </w:pPr>
      <w:r>
        <w:t xml:space="preserve"/>
      </w:r>
    </w:p>
    <w:p>
      <w:pPr>
        <w:spacing w:before="140" w:after="40"/>
      </w:pPr>
      <w:r>
        <w:rPr>
          <w:rFonts w:ascii="Arial" w:cs="Arial" w:eastAsia="Arial" w:hAnsi="Arial"/>
          <w:b/>
          <w:bCs/>
          <w:color w:val="444444"/>
          <w:sz w:val="20"/>
          <w:szCs w:val="20"/>
        </w:rPr>
        <w:t xml:space="preserve">Step 12 narration — Audit trail</w:t>
      </w:r>
    </w:p>
    <w:p>
      <w:pPr>
        <w:spacing w:before="40" w:after="60"/>
      </w:pPr>
      <w:r>
        <w:rPr>
          <w:rFonts w:ascii="Arial" w:cs="Arial" w:eastAsia="Arial" w:hAnsi="Arial"/>
          <w:b w:val="false"/>
          <w:bCs w:val="false"/>
          <w:i/>
          <w:iCs/>
          <w:color w:val="555555"/>
          <w:sz w:val="20"/>
          <w:szCs w:val="20"/>
        </w:rPr>
        <w:t xml:space="preserve">'Every query run in this session is captured in the Session Log — what was asked, what SQL ran, how many rows came back, and when. For a PE diligence engagement, this is your methodology documentation. If the sponsor asks how you arrived at the MCO concentration figure six months after closing, you open the session log and walk them through it step by step.'</w:t>
      </w:r>
    </w:p>
    <w:p>
      <w:pPr>
        <w:spacing w:before="160" w:after="0"/>
      </w:pPr>
      <w:r>
        <w:t xml:space="preserve"/>
      </w:r>
    </w:p>
    <w:p>
      <w:pPr>
        <w:spacing w:before="320" w:after="80"/>
      </w:pPr>
      <w:r>
        <w:rPr>
          <w:rFonts w:ascii="Arial" w:cs="Arial" w:eastAsia="Arial" w:hAnsi="Arial"/>
          <w:b/>
          <w:bCs/>
          <w:color w:val="00C896"/>
          <w:sz w:val="18"/>
          <w:szCs w:val="18"/>
        </w:rPr>
        <w:t xml:space="preserve">BUILD INSTRUCTIONS FOR CLAUDE CODE</w:t>
      </w:r>
    </w:p>
    <w:p>
      <w:pPr>
        <w:pBdr>
          <w:bottom w:val="single" w:color="00C896" w:sz="6" w:space="1"/>
        </w:pBd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
        <w:gridCol w:w="9080"/>
      </w:tblGrid>
      <w:tr>
        <w:tc>
          <w:tcPr>
            <w:tcW w:type="dxa" w:w="280"/>
            <w:tcBorders>
              <w:top w:val="none" w:color="FFFFFF" w:sz="0"/>
              <w:left w:val="none" w:color="FFFFFF" w:sz="0"/>
              <w:bottom w:val="none" w:color="FFFFFF" w:sz="0"/>
              <w:right w:val="none" w:color="FFFFFF" w:sz="0"/>
            </w:tcBorders>
            <w:shd w:fill="D4900A"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pPr>
              <w:spacing w:after="40"/>
            </w:pPr>
            <w:r>
              <w:rPr>
                <w:rFonts w:ascii="Arial" w:cs="Arial" w:eastAsia="Arial" w:hAnsi="Arial"/>
                <w:b/>
                <w:bCs/>
                <w:color w:val="D4900A"/>
                <w:sz w:val="18"/>
                <w:szCs w:val="18"/>
              </w:rPr>
              <w:t xml:space="preserve">Priority</w:t>
            </w:r>
          </w:p>
          <w:p>
            <w:pPr>
              <w:spacing w:after="0"/>
            </w:pPr>
            <w:r>
              <w:rPr>
                <w:rFonts w:ascii="Arial" w:cs="Arial" w:eastAsia="Arial" w:hAnsi="Arial"/>
                <w:color w:val="444444"/>
                <w:sz w:val="18"/>
                <w:szCs w:val="18"/>
              </w:rPr>
              <w:t xml:space="preserve">This test case requires M5 Priority 1 (Multi-State Medicaid Normalization) to be partially built before it can be fully implemented. Specifically: loading multiple datasets simultaneously and the schema mapping reference table JOIN must work. Steps 1-3 (multi-dataset loading) should be validated first as a prerequisite.</w:t>
            </w:r>
          </w:p>
        </w:tc>
      </w:tr>
    </w:tbl>
    <w:p>
      <w:pPr>
        <w:spacing w:before="80" w:after="0"/>
      </w:pPr>
      <w:r>
        <w:t xml:space="preserve"/>
      </w:r>
    </w:p>
    <w:p>
      <w:pPr>
        <w:spacing w:before="180" w:after="60"/>
      </w:pPr>
      <w:r>
        <w:rPr>
          <w:rFonts w:ascii="Arial" w:cs="Arial" w:eastAsia="Arial" w:hAnsi="Arial"/>
          <w:b/>
          <w:bCs/>
          <w:color w:val="1B2A4A"/>
          <w:sz w:val="22"/>
          <w:szCs w:val="22"/>
        </w:rPr>
        <w:t xml:space="preserve">Build sequence</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Phase 1 (now): </w:t>
      </w:r>
      <w:r>
        <w:rPr>
          <w:rFonts w:ascii="Arial" w:cs="Arial" w:eastAsia="Arial" w:hAnsi="Arial"/>
          <w:b w:val="false"/>
          <w:bCs w:val="false"/>
          <w:i w:val="false"/>
          <w:iCs w:val="false"/>
          <w:color w:val="333333"/>
          <w:sz w:val="20"/>
          <w:szCs w:val="20"/>
        </w:rPr>
        <w:t xml:space="preserve">Generate the five synthetic datasets and four reference CSVs. Validate that all imports succeed independently.</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Phase 2 (after multi-dataset loading ships): </w:t>
      </w:r>
      <w:r>
        <w:rPr>
          <w:rFonts w:ascii="Arial" w:cs="Arial" w:eastAsia="Arial" w:hAnsi="Arial"/>
          <w:b w:val="false"/>
          <w:bCs w:val="false"/>
          <w:i w:val="false"/>
          <w:iCs w:val="false"/>
          <w:color w:val="333333"/>
          <w:sz w:val="20"/>
          <w:szCs w:val="20"/>
        </w:rPr>
        <w:t xml:space="preserve">Validate Steps 1-4. Confirm schema normalization JOIN works across all three state datasets.</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Phase 3 (query validation): </w:t>
      </w:r>
      <w:r>
        <w:rPr>
          <w:rFonts w:ascii="Arial" w:cs="Arial" w:eastAsia="Arial" w:hAnsi="Arial"/>
          <w:b w:val="false"/>
          <w:bCs w:val="false"/>
          <w:i w:val="false"/>
          <w:iCs w:val="false"/>
          <w:color w:val="333333"/>
          <w:sz w:val="20"/>
          <w:szCs w:val="20"/>
        </w:rPr>
        <w:t xml:space="preserve">Run all 10 queries. Record baseline row counts. Confirm Q4 and Q6 return seeded test data exactly.</w:t>
      </w:r>
    </w:p>
    <w:p>
      <w:pPr>
        <w:pStyle w:val="ListParagraph"/>
        <w:numPr>
          <w:ilvl w:val="0"/>
          <w:numId w:val="2"/>
        </w:numPr>
        <w:spacing w:before="40" w:after="40"/>
      </w:pPr>
      <w:r>
        <w:rPr>
          <w:rFonts w:ascii="Arial" w:cs="Arial" w:eastAsia="Arial" w:hAnsi="Arial"/>
          <w:b/>
          <w:bCs/>
          <w:i w:val="false"/>
          <w:iCs w:val="false"/>
          <w:color w:val="333333"/>
          <w:sz w:val="20"/>
          <w:szCs w:val="20"/>
        </w:rPr>
        <w:t xml:space="preserve">Phase 4 (Session Library): </w:t>
      </w:r>
      <w:r>
        <w:rPr>
          <w:rFonts w:ascii="Arial" w:cs="Arial" w:eastAsia="Arial" w:hAnsi="Arial"/>
          <w:b w:val="false"/>
          <w:bCs w:val="false"/>
          <w:i w:val="false"/>
          <w:iCs w:val="false"/>
          <w:color w:val="333333"/>
          <w:sz w:val="20"/>
          <w:szCs w:val="20"/>
        </w:rPr>
        <w:t xml:space="preserve">Record session JSON with narration and baselines. Add to example_cases directory as Tutorial #4.</w:t>
      </w:r>
    </w:p>
    <w:p>
      <w:pPr>
        <w:spacing w:before="80" w:after="0"/>
      </w:pPr>
      <w:r>
        <w:t xml:space="preserve"/>
      </w:r>
    </w:p>
    <w:p>
      <w:pPr>
        <w:spacing w:before="180" w:after="60"/>
      </w:pPr>
      <w:r>
        <w:rPr>
          <w:rFonts w:ascii="Arial" w:cs="Arial" w:eastAsia="Arial" w:hAnsi="Arial"/>
          <w:b/>
          <w:bCs/>
          <w:color w:val="1B2A4A"/>
          <w:sz w:val="22"/>
          <w:szCs w:val="22"/>
        </w:rPr>
        <w:t xml:space="preserve">Synthetic data generation notes</w:t>
      </w:r>
    </w:p>
    <w:p>
      <w:pPr>
        <w:pStyle w:val="ListParagraph"/>
        <w:numPr>
          <w:ilvl w:val="0"/>
          <w:numId w:val="2"/>
        </w:numPr>
        <w:spacing w:before="40" w:after="40"/>
      </w:pPr>
      <w:r>
        <w:rPr>
          <w:rFonts w:ascii="Arial" w:cs="Arial" w:eastAsia="Arial" w:hAnsi="Arial"/>
          <w:color w:val="333333"/>
          <w:sz w:val="20"/>
          <w:szCs w:val="20"/>
        </w:rPr>
        <w:t xml:space="preserve">All patient IDs must be clearly synthetic — use formats like 'TX-SYN-000001' not real-looking IDs</w:t>
      </w:r>
    </w:p>
    <w:p>
      <w:pPr>
        <w:pStyle w:val="ListParagraph"/>
        <w:numPr>
          <w:ilvl w:val="0"/>
          <w:numId w:val="2"/>
        </w:numPr>
        <w:spacing w:before="40" w:after="40"/>
      </w:pPr>
      <w:r>
        <w:rPr>
          <w:rFonts w:ascii="Arial" w:cs="Arial" w:eastAsia="Arial" w:hAnsi="Arial"/>
          <w:color w:val="333333"/>
          <w:sz w:val="20"/>
          <w:szCs w:val="20"/>
        </w:rPr>
        <w:t xml:space="preserve">Provider NPIs must be clearly synthetic — use '0000000001' through '0000000050' format</w:t>
      </w:r>
    </w:p>
    <w:p>
      <w:pPr>
        <w:pStyle w:val="ListParagraph"/>
        <w:numPr>
          <w:ilvl w:val="0"/>
          <w:numId w:val="2"/>
        </w:numPr>
        <w:spacing w:before="40" w:after="40"/>
      </w:pPr>
      <w:r>
        <w:rPr>
          <w:rFonts w:ascii="Arial" w:cs="Arial" w:eastAsia="Arial" w:hAnsi="Arial"/>
          <w:color w:val="333333"/>
          <w:sz w:val="20"/>
          <w:szCs w:val="20"/>
        </w:rPr>
        <w:t xml:space="preserve">Service dates should span 12 months (Jan 2024 — Dec 2024) for trend query testing</w:t>
      </w:r>
    </w:p>
    <w:p>
      <w:pPr>
        <w:pStyle w:val="ListParagraph"/>
        <w:numPr>
          <w:ilvl w:val="0"/>
          <w:numId w:val="2"/>
        </w:numPr>
        <w:spacing w:before="40" w:after="40"/>
      </w:pPr>
      <w:r>
        <w:rPr>
          <w:rFonts w:ascii="Arial" w:cs="Arial" w:eastAsia="Arial" w:hAnsi="Arial"/>
          <w:color w:val="333333"/>
          <w:sz w:val="20"/>
          <w:szCs w:val="20"/>
        </w:rPr>
        <w:t xml:space="preserve">Billed amounts should be realistic for home health services: $50-$800 per claim</w:t>
      </w:r>
    </w:p>
    <w:p>
      <w:pPr>
        <w:pStyle w:val="ListParagraph"/>
        <w:numPr>
          <w:ilvl w:val="0"/>
          <w:numId w:val="2"/>
        </w:numPr>
        <w:spacing w:before="40" w:after="40"/>
      </w:pPr>
      <w:r>
        <w:rPr>
          <w:rFonts w:ascii="Arial" w:cs="Arial" w:eastAsia="Arial" w:hAnsi="Arial"/>
          <w:color w:val="333333"/>
          <w:sz w:val="20"/>
          <w:szCs w:val="20"/>
        </w:rPr>
        <w:t xml:space="preserve">The two anomalous Texas providers (Q4 test) should have BILL_AMT/PAID_AMT ratio &gt; 3.0 on at least 10 claims each</w:t>
      </w:r>
    </w:p>
    <w:p>
      <w:pPr>
        <w:pStyle w:val="ListParagraph"/>
        <w:numPr>
          <w:ilvl w:val="0"/>
          <w:numId w:val="2"/>
        </w:numPr>
        <w:spacing w:before="40" w:after="40"/>
      </w:pPr>
      <w:r>
        <w:rPr>
          <w:rFonts w:ascii="Arial" w:cs="Arial" w:eastAsia="Arial" w:hAnsi="Arial"/>
          <w:color w:val="333333"/>
          <w:sz w:val="20"/>
          <w:szCs w:val="20"/>
        </w:rPr>
        <w:t xml:space="preserve">Ohio reimbursement rates should be 15-20% lower than Texas/Florida for the same service categories</w:t>
      </w:r>
    </w:p>
    <w:p>
      <w:pPr>
        <w:spacing w:before="160" w:after="0"/>
      </w:pPr>
      <w:r>
        <w:t xml:space="preserve"/>
      </w:r>
    </w:p>
    <w:p>
      <w:pPr>
        <w:pBdr>
          <w:top w:val="single" w:color="00C896" w:sz="4" w:space="1"/>
        </w:pBdr>
        <w:spacing w:before="120"/>
      </w:pPr>
      <w:r>
        <w:rPr>
          <w:rFonts w:ascii="Arial" w:cs="Arial" w:eastAsia="Arial" w:hAnsi="Arial"/>
          <w:b/>
          <w:bCs/>
          <w:color w:val="1B2A4A"/>
          <w:sz w:val="18"/>
          <w:szCs w:val="18"/>
        </w:rPr>
        <w:t xml:space="preserve">Analytics Workbench</w:t>
      </w:r>
      <w:r>
        <w:rPr>
          <w:rFonts w:ascii="Arial" w:cs="Arial" w:eastAsia="Arial" w:hAnsi="Arial"/>
          <w:color w:val="888888"/>
          <w:sz w:val="18"/>
          <w:szCs w:val="18"/>
        </w:rPr>
        <w:t xml:space="preserve">   •   Farragut Engagement Model Test Case   •   Internal — Claude Code build spec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2026-03-21T14:24:56.241Z</dcterms:created>
  <dcterms:modified xsi:type="dcterms:W3CDTF">2026-03-21T14:24:56.242Z</dcterms:modified>
</cp:coreProperties>
</file>

<file path=docProps/custom.xml><?xml version="1.0" encoding="utf-8"?>
<Properties xmlns="http://schemas.openxmlformats.org/officeDocument/2006/custom-properties" xmlns:vt="http://schemas.openxmlformats.org/officeDocument/2006/docPropsVTypes"/>
</file>