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Stakeholder Analysis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Stakeholder Register</w:t>
      </w:r>
    </w:p>
    <w:p>
      <w:r>
        <w:t>[Add content here]</w:t>
      </w:r>
    </w:p>
    <w:p>
      <w:pPr>
        <w:pStyle w:val="Heading2"/>
      </w:pPr>
      <w:r>
        <w:t>2. Influence Interest Matrix</w:t>
      </w:r>
    </w:p>
    <w:p>
      <w:r>
        <w:t>[Add content here]</w:t>
      </w:r>
    </w:p>
    <w:p>
      <w:pPr>
        <w:pStyle w:val="Heading2"/>
      </w:pPr>
      <w:r>
        <w:t>3. Communication Plan</w:t>
      </w:r>
    </w:p>
    <w:p>
      <w:r>
        <w:t>[Add content here]</w:t>
      </w:r>
    </w:p>
    <w:p>
      <w:pPr>
        <w:pStyle w:val="Heading2"/>
      </w:pPr>
      <w:r>
        <w:t>4. Decision Rights and Escalation</w:t>
      </w:r>
    </w:p>
    <w:p>
      <w:r>
        <w:t>[Add content here]</w:t>
      </w:r>
    </w:p>
    <w:p>
      <w:pPr>
        <w:pStyle w:val="Heading2"/>
      </w:pPr>
      <w:r>
        <w:t>5. Risks from Stakeholder Misalignment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