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High Level Design HLD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Service Boundaries</w:t>
      </w:r>
    </w:p>
    <w:p>
      <w:r>
        <w:t>[Add content here]</w:t>
      </w:r>
    </w:p>
    <w:p>
      <w:pPr>
        <w:pStyle w:val="Heading2"/>
      </w:pPr>
      <w:r>
        <w:t>2. Major Components</w:t>
      </w:r>
    </w:p>
    <w:p>
      <w:r>
        <w:t>[Add content here]</w:t>
      </w:r>
    </w:p>
    <w:p>
      <w:pPr>
        <w:pStyle w:val="Heading2"/>
      </w:pPr>
      <w:r>
        <w:t>3. External Interfaces</w:t>
      </w:r>
    </w:p>
    <w:p>
      <w:r>
        <w:t>[Add content here]</w:t>
      </w:r>
    </w:p>
    <w:p>
      <w:pPr>
        <w:pStyle w:val="Heading2"/>
      </w:pPr>
      <w:r>
        <w:t>4. Key Data Contracts</w:t>
      </w:r>
    </w:p>
    <w:p>
      <w:r>
        <w:t>[Add content here]</w:t>
      </w:r>
    </w:p>
    <w:p>
      <w:pPr>
        <w:pStyle w:val="Heading2"/>
      </w:pPr>
      <w:r>
        <w:t>5. Scalability Overview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