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Test Coverage Reports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Coverage Scope</w:t>
      </w:r>
    </w:p>
    <w:p>
      <w:r>
        <w:t>[Add content here]</w:t>
      </w:r>
    </w:p>
    <w:p>
      <w:pPr>
        <w:pStyle w:val="Heading2"/>
      </w:pPr>
      <w:r>
        <w:t>2. Requirement Traceability</w:t>
      </w:r>
    </w:p>
    <w:p>
      <w:r>
        <w:t>[Add content here]</w:t>
      </w:r>
    </w:p>
    <w:p>
      <w:pPr>
        <w:pStyle w:val="Heading2"/>
      </w:pPr>
      <w:r>
        <w:t>3. Unit Integration E2E Coverage</w:t>
      </w:r>
    </w:p>
    <w:p>
      <w:r>
        <w:t>[Add content here]</w:t>
      </w:r>
    </w:p>
    <w:p>
      <w:pPr>
        <w:pStyle w:val="Heading2"/>
      </w:pPr>
      <w:r>
        <w:t>4. Gaps and Risk Impact</w:t>
      </w:r>
    </w:p>
    <w:p>
      <w:r>
        <w:t>[Add content here]</w:t>
      </w:r>
    </w:p>
    <w:p>
      <w:pPr>
        <w:pStyle w:val="Heading2"/>
      </w:pPr>
      <w:r>
        <w:t>5. Improvement Plan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