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Infrastructure as Code Documentation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IaC Scope</w:t>
      </w:r>
    </w:p>
    <w:p>
      <w:r>
        <w:t>[Add content here]</w:t>
      </w:r>
    </w:p>
    <w:p>
      <w:pPr>
        <w:pStyle w:val="Heading2"/>
      </w:pPr>
      <w:r>
        <w:t>2. Module Layout</w:t>
      </w:r>
    </w:p>
    <w:p>
      <w:r>
        <w:t>[Add content here]</w:t>
      </w:r>
    </w:p>
    <w:p>
      <w:pPr>
        <w:pStyle w:val="Heading2"/>
      </w:pPr>
      <w:r>
        <w:t>3. Variables and State Strategy</w:t>
      </w:r>
    </w:p>
    <w:p>
      <w:r>
        <w:t>[Add content here]</w:t>
      </w:r>
    </w:p>
    <w:p>
      <w:pPr>
        <w:pStyle w:val="Heading2"/>
      </w:pPr>
      <w:r>
        <w:t>4. Security Controls</w:t>
      </w:r>
    </w:p>
    <w:p>
      <w:r>
        <w:t>[Add content here]</w:t>
      </w:r>
    </w:p>
    <w:p>
      <w:pPr>
        <w:pStyle w:val="Heading2"/>
      </w:pPr>
      <w:r>
        <w:t>5. Change and Review Process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