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Audit Logs Policy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Events to Log</w:t>
      </w:r>
    </w:p>
    <w:p>
      <w:r>
        <w:t>[Add content here]</w:t>
      </w:r>
    </w:p>
    <w:p>
      <w:pPr>
        <w:pStyle w:val="Heading2"/>
      </w:pPr>
      <w:r>
        <w:t>2. Log Integrity and Tamper Controls</w:t>
      </w:r>
    </w:p>
    <w:p>
      <w:r>
        <w:t>[Add content here]</w:t>
      </w:r>
    </w:p>
    <w:p>
      <w:pPr>
        <w:pStyle w:val="Heading2"/>
      </w:pPr>
      <w:r>
        <w:t>3. Retention and Storage</w:t>
      </w:r>
    </w:p>
    <w:p>
      <w:r>
        <w:t>[Add content here]</w:t>
      </w:r>
    </w:p>
    <w:p>
      <w:pPr>
        <w:pStyle w:val="Heading2"/>
      </w:pPr>
      <w:r>
        <w:t>4. Access and Review Process</w:t>
      </w:r>
    </w:p>
    <w:p>
      <w:r>
        <w:t>[Add content here]</w:t>
      </w:r>
    </w:p>
    <w:p>
      <w:pPr>
        <w:pStyle w:val="Heading2"/>
      </w:pPr>
      <w:r>
        <w:t>5. Incident Investigation Workflow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