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Security Architecture Threat Model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System Context and Assets</w:t>
      </w:r>
    </w:p>
    <w:p>
      <w:r>
        <w:t>[Add content here]</w:t>
      </w:r>
    </w:p>
    <w:p>
      <w:pPr>
        <w:pStyle w:val="Heading2"/>
      </w:pPr>
      <w:r>
        <w:t>2. Threat Identification</w:t>
      </w:r>
    </w:p>
    <w:p>
      <w:r>
        <w:t>[Add content here]</w:t>
      </w:r>
    </w:p>
    <w:p>
      <w:pPr>
        <w:pStyle w:val="Heading2"/>
      </w:pPr>
      <w:r>
        <w:t>3. Attack Surface Analysis</w:t>
      </w:r>
    </w:p>
    <w:p>
      <w:r>
        <w:t>[Add content here]</w:t>
      </w:r>
    </w:p>
    <w:p>
      <w:pPr>
        <w:pStyle w:val="Heading2"/>
      </w:pPr>
      <w:r>
        <w:t>4. Mitigation Controls</w:t>
      </w:r>
    </w:p>
    <w:p>
      <w:r>
        <w:t>[Add content here]</w:t>
      </w:r>
    </w:p>
    <w:p>
      <w:pPr>
        <w:pStyle w:val="Heading2"/>
      </w:pPr>
      <w:r>
        <w:t>5. Residual Risk Acceptance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