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Risk Register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Risk ID and Description</w:t>
      </w:r>
    </w:p>
    <w:p>
      <w:r>
        <w:t>[Add content here]</w:t>
      </w:r>
    </w:p>
    <w:p>
      <w:pPr>
        <w:pStyle w:val="Heading2"/>
      </w:pPr>
      <w:r>
        <w:t>2. Impact and Probability</w:t>
      </w:r>
    </w:p>
    <w:p>
      <w:r>
        <w:t>[Add content here]</w:t>
      </w:r>
    </w:p>
    <w:p>
      <w:pPr>
        <w:pStyle w:val="Heading2"/>
      </w:pPr>
      <w:r>
        <w:t>3. Mitigation Strategy</w:t>
      </w:r>
    </w:p>
    <w:p>
      <w:r>
        <w:t>[Add content here]</w:t>
      </w:r>
    </w:p>
    <w:p>
      <w:pPr>
        <w:pStyle w:val="Heading2"/>
      </w:pPr>
      <w:r>
        <w:t>4. Owner and Due Date</w:t>
      </w:r>
    </w:p>
    <w:p>
      <w:r>
        <w:t>[Add content here]</w:t>
      </w:r>
    </w:p>
    <w:p>
      <w:pPr>
        <w:pStyle w:val="Heading2"/>
      </w:pPr>
      <w:r>
        <w:t>5. Current Status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