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Status Reports Stakeholder Updates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Executive Summary</w:t>
      </w:r>
    </w:p>
    <w:p>
      <w:r>
        <w:t>[Add content here]</w:t>
      </w:r>
    </w:p>
    <w:p>
      <w:pPr>
        <w:pStyle w:val="Heading2"/>
      </w:pPr>
      <w:r>
        <w:t>2. Progress Against Plan</w:t>
      </w:r>
    </w:p>
    <w:p>
      <w:r>
        <w:t>[Add content here]</w:t>
      </w:r>
    </w:p>
    <w:p>
      <w:pPr>
        <w:pStyle w:val="Heading2"/>
      </w:pPr>
      <w:r>
        <w:t>3. KPI Snapshot</w:t>
      </w:r>
    </w:p>
    <w:p>
      <w:r>
        <w:t>[Add content here]</w:t>
      </w:r>
    </w:p>
    <w:p>
      <w:pPr>
        <w:pStyle w:val="Heading2"/>
      </w:pPr>
      <w:r>
        <w:t>4. Blockers and Escalations</w:t>
      </w:r>
    </w:p>
    <w:p>
      <w:r>
        <w:t>[Add content here]</w:t>
      </w:r>
    </w:p>
    <w:p>
      <w:pPr>
        <w:pStyle w:val="Heading2"/>
      </w:pPr>
      <w:r>
        <w:t>5. Next Period Plan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