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Setup and Environment Configuration Guide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Prerequisites</w:t>
      </w:r>
    </w:p>
    <w:p>
      <w:r>
        <w:t>[Add content here]</w:t>
      </w:r>
    </w:p>
    <w:p>
      <w:pPr>
        <w:pStyle w:val="Heading2"/>
      </w:pPr>
      <w:r>
        <w:t>2. Environment Variables</w:t>
      </w:r>
    </w:p>
    <w:p>
      <w:r>
        <w:t>[Add content here]</w:t>
      </w:r>
    </w:p>
    <w:p>
      <w:pPr>
        <w:pStyle w:val="Heading2"/>
      </w:pPr>
      <w:r>
        <w:t>3. Local Setup Steps</w:t>
      </w:r>
    </w:p>
    <w:p>
      <w:r>
        <w:t>[Add content here]</w:t>
      </w:r>
    </w:p>
    <w:p>
      <w:pPr>
        <w:pStyle w:val="Heading2"/>
      </w:pPr>
      <w:r>
        <w:t>4. Verification Checks</w:t>
      </w:r>
    </w:p>
    <w:p>
      <w:r>
        <w:t>[Add content here]</w:t>
      </w:r>
    </w:p>
    <w:p>
      <w:pPr>
        <w:pStyle w:val="Heading2"/>
      </w:pPr>
      <w:r>
        <w:t>5. Common Issues and Fixes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