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End of Life Deprecation Notices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Deprecated Component</w:t>
      </w:r>
    </w:p>
    <w:p>
      <w:r>
        <w:t>[Add content here]</w:t>
      </w:r>
    </w:p>
    <w:p>
      <w:pPr>
        <w:pStyle w:val="Heading2"/>
      </w:pPr>
      <w:r>
        <w:t>2. Timeline and Milestones</w:t>
      </w:r>
    </w:p>
    <w:p>
      <w:r>
        <w:t>[Add content here]</w:t>
      </w:r>
    </w:p>
    <w:p>
      <w:pPr>
        <w:pStyle w:val="Heading2"/>
      </w:pPr>
      <w:r>
        <w:t>3. Migration Guidance</w:t>
      </w:r>
    </w:p>
    <w:p>
      <w:r>
        <w:t>[Add content here]</w:t>
      </w:r>
    </w:p>
    <w:p>
      <w:pPr>
        <w:pStyle w:val="Heading2"/>
      </w:pPr>
      <w:r>
        <w:t>4. Communication Plan</w:t>
      </w:r>
    </w:p>
    <w:p>
      <w:r>
        <w:t>[Add content here]</w:t>
      </w:r>
    </w:p>
    <w:p>
      <w:pPr>
        <w:pStyle w:val="Heading2"/>
      </w:pPr>
      <w:r>
        <w:t>5. Final Retirement Steps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