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Post Release Support Maintenance Guide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Support Scope</w:t>
      </w:r>
    </w:p>
    <w:p>
      <w:r>
        <w:t>[Add content here]</w:t>
      </w:r>
    </w:p>
    <w:p>
      <w:pPr>
        <w:pStyle w:val="Heading2"/>
      </w:pPr>
      <w:r>
        <w:t>2. SLA Response Targets</w:t>
      </w:r>
    </w:p>
    <w:p>
      <w:r>
        <w:t>[Add content here]</w:t>
      </w:r>
    </w:p>
    <w:p>
      <w:pPr>
        <w:pStyle w:val="Heading2"/>
      </w:pPr>
      <w:r>
        <w:t>3. Triage Process</w:t>
      </w:r>
    </w:p>
    <w:p>
      <w:r>
        <w:t>[Add content here]</w:t>
      </w:r>
    </w:p>
    <w:p>
      <w:pPr>
        <w:pStyle w:val="Heading2"/>
      </w:pPr>
      <w:r>
        <w:t>4. Hotfix Procedure</w:t>
      </w:r>
    </w:p>
    <w:p>
      <w:r>
        <w:t>[Add content here]</w:t>
      </w:r>
    </w:p>
    <w:p>
      <w:pPr>
        <w:pStyle w:val="Heading2"/>
      </w:pPr>
      <w:r>
        <w:t>5. Escalation Matrix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