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System Handover Document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System Summary</w:t>
      </w:r>
    </w:p>
    <w:p>
      <w:r>
        <w:t>[Add content here]</w:t>
      </w:r>
    </w:p>
    <w:p>
      <w:pPr>
        <w:pStyle w:val="Heading2"/>
      </w:pPr>
      <w:r>
        <w:t>2. Architecture and Components</w:t>
      </w:r>
    </w:p>
    <w:p>
      <w:r>
        <w:t>[Add content here]</w:t>
      </w:r>
    </w:p>
    <w:p>
      <w:pPr>
        <w:pStyle w:val="Heading2"/>
      </w:pPr>
      <w:r>
        <w:t>3. Operational Procedures</w:t>
      </w:r>
    </w:p>
    <w:p>
      <w:r>
        <w:t>[Add content here]</w:t>
      </w:r>
    </w:p>
    <w:p>
      <w:pPr>
        <w:pStyle w:val="Heading2"/>
      </w:pPr>
      <w:r>
        <w:t>4. Open Risks and Known Issues</w:t>
      </w:r>
    </w:p>
    <w:p>
      <w:r>
        <w:t>[Add content here]</w:t>
      </w:r>
    </w:p>
    <w:p>
      <w:pPr>
        <w:pStyle w:val="Heading2"/>
      </w:pPr>
      <w:r>
        <w:t>5. Ownership Transition Checklist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