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zure-synapse-workspaces-adoption-paper"/>
    <w:p>
      <w:pPr>
        <w:pStyle w:val="Heading1"/>
      </w:pPr>
      <w:r>
        <w:t xml:space="preserve">Azure Synapse Workspaces Adoption Paper</w:t>
      </w:r>
    </w:p>
    <w:bookmarkStart w:id="9" w:name="Xa25cec87ed16f3145ca274fe399be2998aea4af"/>
    <w:p>
      <w:pPr>
        <w:pStyle w:val="Heading2"/>
      </w:pPr>
      <w:r>
        <w:t xml:space="preserve">Self-Service Analytics Strategy for ABC Insurance</w:t>
      </w:r>
    </w:p>
    <w:p>
      <w:pPr>
        <w:pStyle w:val="FirstParagraph"/>
      </w:pPr>
      <w:r>
        <w:rPr>
          <w:b/>
          <w:bCs/>
        </w:rPr>
        <w:t xml:space="preserve">Document Status:</w:t>
      </w:r>
      <w:r>
        <w:t xml:space="preserve"> </w:t>
      </w:r>
      <w:r>
        <w:t xml:space="preserve">Draft</w:t>
      </w:r>
      <w:r>
        <w:br/>
      </w:r>
      <w:r>
        <w:rPr>
          <w:b/>
          <w:bCs/>
        </w:rPr>
        <w:t xml:space="preserve">Audience:</w:t>
      </w:r>
      <w:r>
        <w:t xml:space="preserve"> </w:t>
      </w:r>
      <w:r>
        <w:t xml:space="preserve">Technical Architecture, Data &amp; Analytics Leadership, Data Centre of Excellence (DCoE), Business Intelligence, Data Engineering, Information Security and Business Data Teams</w:t>
      </w:r>
      <w:r>
        <w:br/>
      </w:r>
      <w:r>
        <w:rPr>
          <w:b/>
          <w:bCs/>
        </w:rPr>
        <w:t xml:space="preserve">Proposed Initial Adoption Group:</w:t>
      </w:r>
      <w:r>
        <w:t xml:space="preserve"> </w:t>
      </w:r>
      <w:r>
        <w:t xml:space="preserve">Data Centre of Excellence (DCoE)</w:t>
      </w:r>
      <w:r>
        <w:br/>
      </w:r>
      <w:r>
        <w:rPr>
          <w:b/>
          <w:bCs/>
        </w:rPr>
        <w:t xml:space="preserve">Technology:</w:t>
      </w:r>
      <w:r>
        <w:t xml:space="preserve"> </w:t>
      </w:r>
      <w:r>
        <w:t xml:space="preserve">Azure Synapse Analytics, Azure Data Lake Storage Gen2, Azure Data Factory, Azure Synapse Spark/Notebooks, Power BI</w:t>
      </w:r>
      <w:r>
        <w:br/>
      </w:r>
      <w:r>
        <w:rPr>
          <w:b/>
          <w:bCs/>
        </w:rPr>
        <w:t xml:space="preserve">Future Direction:</w:t>
      </w:r>
      <w:r>
        <w:t xml:space="preserve"> </w:t>
      </w:r>
      <w:r>
        <w:t xml:space="preserve">Microsoft Fabric</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ABC Insurance currently operates an enterprise Azure data platform in which the Azure Synapse Dedicated SQL Pool provides a central analytical data-serving capability. While this architecture supports enterprise reporting and BI workloads, increasing demand from business users for self-service analytics is creating additional workload on the Dedicated SQL Pool. Ad-hoc queries, exploratory analysis, large joins and data-science workloads can compete with governed production workloads and consequently contribute to performance degradation.</w:t>
      </w:r>
    </w:p>
    <w:p>
      <w:pPr>
        <w:pStyle w:val="BodyText"/>
      </w:pPr>
      <w:r>
        <w:t xml:space="preserve">This paper proposes the adoption of</w:t>
      </w:r>
      <w:r>
        <w:t xml:space="preserve"> </w:t>
      </w:r>
      <w:r>
        <w:rPr>
          <w:b/>
          <w:bCs/>
        </w:rPr>
        <w:t xml:space="preserve">Azure Synapse Workspaces as a governed self-service analytics capability</w:t>
      </w:r>
      <w:r>
        <w:t xml:space="preserve">, initially targeted at the Data Centre of Excellence (DCoE). The objective is not to replace the existing enterprise data warehouse or immediately migrate all departments to Synapse Workspaces. Instead, the proposal establishes a controlled analytics environment where technically capable users can explore, transform and analyse data using Spark notebooks, PySpark and other Synapse capabilities without unnecessarily consuming Dedicated SQL Pool compute.</w:t>
      </w:r>
    </w:p>
    <w:p>
      <w:pPr>
        <w:pStyle w:val="BodyText"/>
      </w:pPr>
      <w:r>
        <w:t xml:space="preserve">The proposed approach deliberately starts with the DCoE because the team already has technical capabilities such as SQL, PySpark, data engineering and analytics development. DCoE can therefore act as the</w:t>
      </w:r>
      <w:r>
        <w:t xml:space="preserve"> </w:t>
      </w:r>
      <w:r>
        <w:rPr>
          <w:b/>
          <w:bCs/>
        </w:rPr>
        <w:t xml:space="preserve">pilot, reference implementation and centre of expertise</w:t>
      </w:r>
      <w:r>
        <w:t xml:space="preserve"> </w:t>
      </w:r>
      <w:r>
        <w:t xml:space="preserve">before the capability is extended to less technical business teams.</w:t>
      </w:r>
    </w:p>
    <w:p>
      <w:pPr>
        <w:pStyle w:val="BodyText"/>
      </w:pPr>
      <w:r>
        <w:t xml:space="preserve">A key architectural principle is to</w:t>
      </w:r>
      <w:r>
        <w:t xml:space="preserve"> </w:t>
      </w:r>
      <w:r>
        <w:rPr>
          <w:b/>
          <w:bCs/>
        </w:rPr>
        <w:t xml:space="preserve">separate analytical compute from the enterprise SQL-serving workload wherever appropriate</w:t>
      </w:r>
      <w:r>
        <w:t xml:space="preserve">. Synapse Spark provides a complementary compute engine for exploratory analytics, large-scale transformations, data preparation and data-science workloads. This can reduce unnecessary pressure on the Dedicated SQL Pool, while the Dedicated SQL Pool remains the governed platform for curated relational data, enterprise reporting and workloads that require its specific capabilities.</w:t>
      </w:r>
    </w:p>
    <w:p>
      <w:pPr>
        <w:pStyle w:val="BodyText"/>
      </w:pPr>
      <w:r>
        <w:t xml:space="preserve">The adoption strategy should also recognise ABC Insurance’s potential future move toward</w:t>
      </w:r>
      <w:r>
        <w:t xml:space="preserve"> </w:t>
      </w:r>
      <w:r>
        <w:rPr>
          <w:b/>
          <w:bCs/>
        </w:rPr>
        <w:t xml:space="preserve">Microsoft Fabric</w:t>
      </w:r>
      <w:r>
        <w:t xml:space="preserve">. Synapse notebooks and Spark workloads should therefore be implemented using portable engineering patterns wherever practical, avoiding unnecessary dependency on Synapse-specific APIs and configurations. Microsoft currently provides a structured Synapse-to-Fabric Spark migration path covering notebooks, Spark pools, environments, libraries, pipelines, metadata, security and validation.</w:t>
      </w:r>
    </w:p>
    <w:p>
      <w:pPr>
        <w:pStyle w:val="BodyText"/>
      </w:pPr>
      <w:r>
        <w:t xml:space="preserve">The recommended approach is therefore:</w:t>
      </w:r>
    </w:p>
    <w:p>
      <w:pPr>
        <w:pStyle w:val="BodyText"/>
      </w:pPr>
      <w:r>
        <w:rPr>
          <w:b/>
          <w:bCs/>
        </w:rPr>
        <w:t xml:space="preserve">Start small → establish governance → prove workload isolation → demonstrate business value → standardise patterns → expand selectively → maintain Fabric readiness.</w:t>
      </w:r>
    </w:p>
    <w:p>
      <w:r>
        <w:pict>
          <v:rect style="width:0;height:1.5pt" o:hralign="center" o:hrstd="t" o:hr="t"/>
        </w:pict>
      </w:r>
    </w:p>
    <w:bookmarkEnd w:id="10"/>
    <w:bookmarkEnd w:id="11"/>
    <w:bookmarkStart w:id="12" w:name="background"/>
    <w:p>
      <w:pPr>
        <w:pStyle w:val="Heading1"/>
      </w:pPr>
      <w:r>
        <w:t xml:space="preserve">2. Background</w:t>
      </w:r>
    </w:p>
    <w:p>
      <w:pPr>
        <w:pStyle w:val="FirstParagraph"/>
      </w:pPr>
      <w:r>
        <w:t xml:space="preserve">ABC Insurance has established an Azure-based enterprise data platform supporting data ingestion, transformation, analytical storage and business intelligence. The platform provides data from multiple insurance domains and supports enterprise reporting and analytics.</w:t>
      </w:r>
    </w:p>
    <w:p>
      <w:pPr>
        <w:pStyle w:val="BodyText"/>
      </w:pPr>
      <w:r>
        <w:t xml:space="preserve">The existing architecture is centred around a Dedicated SQL Pool that provides scalable SQL-based analytical processing. As adoption of the data platform increases, business users and technical analysts are increasingly performing exploratory and self-service workloads against enterprise data.</w:t>
      </w:r>
    </w:p>
    <w:p>
      <w:pPr>
        <w:pStyle w:val="BodyText"/>
      </w:pPr>
      <w:r>
        <w:t xml:space="preserve">These workloads can include:</w:t>
      </w:r>
    </w:p>
    <w:p>
      <w:pPr>
        <w:pStyle w:val="Compact"/>
        <w:numPr>
          <w:ilvl w:val="0"/>
          <w:numId w:val="1001"/>
        </w:numPr>
      </w:pPr>
      <w:r>
        <w:t xml:space="preserve">Ad-hoc SQL queries.</w:t>
      </w:r>
    </w:p>
    <w:p>
      <w:pPr>
        <w:pStyle w:val="Compact"/>
        <w:numPr>
          <w:ilvl w:val="0"/>
          <w:numId w:val="1001"/>
        </w:numPr>
      </w:pPr>
      <w:r>
        <w:t xml:space="preserve">Complex joins across large tables.</w:t>
      </w:r>
    </w:p>
    <w:p>
      <w:pPr>
        <w:pStyle w:val="Compact"/>
        <w:numPr>
          <w:ilvl w:val="0"/>
          <w:numId w:val="1001"/>
        </w:numPr>
      </w:pPr>
      <w:r>
        <w:t xml:space="preserve">Large aggregations.</w:t>
      </w:r>
    </w:p>
    <w:p>
      <w:pPr>
        <w:pStyle w:val="Compact"/>
        <w:numPr>
          <w:ilvl w:val="0"/>
          <w:numId w:val="1001"/>
        </w:numPr>
      </w:pPr>
      <w:r>
        <w:t xml:space="preserve">Exploratory data analysis.</w:t>
      </w:r>
    </w:p>
    <w:p>
      <w:pPr>
        <w:pStyle w:val="Compact"/>
        <w:numPr>
          <w:ilvl w:val="0"/>
          <w:numId w:val="1001"/>
        </w:numPr>
      </w:pPr>
      <w:r>
        <w:t xml:space="preserve">Data profiling.</w:t>
      </w:r>
    </w:p>
    <w:p>
      <w:pPr>
        <w:pStyle w:val="Compact"/>
        <w:numPr>
          <w:ilvl w:val="0"/>
          <w:numId w:val="1001"/>
        </w:numPr>
      </w:pPr>
      <w:r>
        <w:t xml:space="preserve">Data preparation.</w:t>
      </w:r>
    </w:p>
    <w:p>
      <w:pPr>
        <w:pStyle w:val="Compact"/>
        <w:numPr>
          <w:ilvl w:val="0"/>
          <w:numId w:val="1001"/>
        </w:numPr>
      </w:pPr>
      <w:r>
        <w:t xml:space="preserve">PySpark processing.</w:t>
      </w:r>
    </w:p>
    <w:p>
      <w:pPr>
        <w:pStyle w:val="Compact"/>
        <w:numPr>
          <w:ilvl w:val="0"/>
          <w:numId w:val="1001"/>
        </w:numPr>
      </w:pPr>
      <w:r>
        <w:t xml:space="preserve">Machine-learning experimentation.</w:t>
      </w:r>
    </w:p>
    <w:p>
      <w:pPr>
        <w:pStyle w:val="Compact"/>
        <w:numPr>
          <w:ilvl w:val="0"/>
          <w:numId w:val="1001"/>
        </w:numPr>
      </w:pPr>
      <w:r>
        <w:t xml:space="preserve">Temporary analytical datasets.</w:t>
      </w:r>
    </w:p>
    <w:p>
      <w:pPr>
        <w:pStyle w:val="Compact"/>
        <w:numPr>
          <w:ilvl w:val="0"/>
          <w:numId w:val="1001"/>
        </w:numPr>
      </w:pPr>
      <w:r>
        <w:t xml:space="preserve">Data-quality investigations.</w:t>
      </w:r>
    </w:p>
    <w:p>
      <w:pPr>
        <w:pStyle w:val="Compact"/>
        <w:numPr>
          <w:ilvl w:val="0"/>
          <w:numId w:val="1001"/>
        </w:numPr>
      </w:pPr>
      <w:r>
        <w:t xml:space="preserve">One-off business analysis.</w:t>
      </w:r>
    </w:p>
    <w:p>
      <w:pPr>
        <w:pStyle w:val="Compact"/>
        <w:numPr>
          <w:ilvl w:val="0"/>
          <w:numId w:val="1001"/>
        </w:numPr>
      </w:pPr>
      <w:r>
        <w:t xml:space="preserve">Large data extracts.</w:t>
      </w:r>
    </w:p>
    <w:p>
      <w:pPr>
        <w:pStyle w:val="Compact"/>
        <w:numPr>
          <w:ilvl w:val="0"/>
          <w:numId w:val="1001"/>
        </w:numPr>
      </w:pPr>
      <w:r>
        <w:t xml:space="preserve">Repeated Power BI development queries.</w:t>
      </w:r>
    </w:p>
    <w:p>
      <w:pPr>
        <w:pStyle w:val="FirstParagraph"/>
      </w:pPr>
      <w:r>
        <w:t xml:space="preserve">Although these workloads are individually legitimate, running them on the same compute infrastructure as enterprise data-serving and production workloads can result in contention.</w:t>
      </w:r>
    </w:p>
    <w:p>
      <w:pPr>
        <w:pStyle w:val="BodyText"/>
      </w:pPr>
      <w:r>
        <w:t xml:space="preserve">The problem is therefore not simply that the Dedicated SQL Pool requires more capacity. Increasing compute can address some capacity constraints, but it does not fundamentally address the architectural issue of</w:t>
      </w:r>
      <w:r>
        <w:t xml:space="preserve"> </w:t>
      </w:r>
      <w:r>
        <w:rPr>
          <w:b/>
          <w:bCs/>
        </w:rPr>
        <w:t xml:space="preserve">different workload types competing for the same compute resource</w:t>
      </w:r>
      <w:r>
        <w:t xml:space="preserve">.</w:t>
      </w:r>
    </w:p>
    <w:p>
      <w:pPr>
        <w:pStyle w:val="BodyText"/>
      </w:pPr>
      <w:r>
        <w:t xml:space="preserve">Azure Synapse provides an opportunity to introduce additional compute engines within the same overall analytical platform. In particular, Spark-based workloads can be executed using Synapse Spark rather than forcing every analytical workload through the Dedicated SQL Pool.</w:t>
      </w:r>
    </w:p>
    <w:p>
      <w:pPr>
        <w:pStyle w:val="BodyText"/>
      </w:pPr>
      <w:r>
        <w:t xml:space="preserve">Synapse also allows an existing Dedicated SQL Pool to be accessed through Synapse Studio without requiring a fundamental change to existing automation, connections or tooling.</w:t>
      </w:r>
    </w:p>
    <w:p>
      <w:r>
        <w:pict>
          <v:rect style="width:0;height:1.5pt" o:hralign="center" o:hrstd="t" o:hr="t"/>
        </w:pict>
      </w:r>
    </w:p>
    <w:bookmarkEnd w:id="12"/>
    <w:bookmarkStart w:id="17" w:name="current-state-challenges"/>
    <w:p>
      <w:pPr>
        <w:pStyle w:val="Heading1"/>
      </w:pPr>
      <w:r>
        <w:t xml:space="preserve">3. Current-State Challenges</w:t>
      </w:r>
    </w:p>
    <w:p>
      <w:pPr>
        <w:pStyle w:val="FirstParagraph"/>
      </w:pPr>
      <w:r>
        <w:t xml:space="preserve">The current analytical environment has several challenges that justify introducing a controlled self-service capability.</w:t>
      </w:r>
    </w:p>
    <w:bookmarkStart w:id="13" w:name="shared-compute"/>
    <w:p>
      <w:pPr>
        <w:pStyle w:val="Heading3"/>
      </w:pPr>
      <w:r>
        <w:t xml:space="preserve">3.1 Shared Compute</w:t>
      </w:r>
    </w:p>
    <w:p>
      <w:pPr>
        <w:pStyle w:val="FirstParagraph"/>
      </w:pPr>
      <w:r>
        <w:t xml:space="preserve">The Dedicated SQL Pool is being used by multiple workload types:</w:t>
      </w:r>
    </w:p>
    <w:p>
      <w:pPr>
        <w:pStyle w:val="Compact"/>
        <w:numPr>
          <w:ilvl w:val="0"/>
          <w:numId w:val="1002"/>
        </w:numPr>
      </w:pPr>
      <w:r>
        <w:t xml:space="preserve">Enterprise ETL/ELT.</w:t>
      </w:r>
    </w:p>
    <w:p>
      <w:pPr>
        <w:pStyle w:val="Compact"/>
        <w:numPr>
          <w:ilvl w:val="0"/>
          <w:numId w:val="1002"/>
        </w:numPr>
      </w:pPr>
      <w:r>
        <w:t xml:space="preserve">Curated data processing.</w:t>
      </w:r>
    </w:p>
    <w:p>
      <w:pPr>
        <w:pStyle w:val="Compact"/>
        <w:numPr>
          <w:ilvl w:val="0"/>
          <w:numId w:val="1002"/>
        </w:numPr>
      </w:pPr>
      <w:r>
        <w:t xml:space="preserve">Business reporting.</w:t>
      </w:r>
    </w:p>
    <w:p>
      <w:pPr>
        <w:pStyle w:val="Compact"/>
        <w:numPr>
          <w:ilvl w:val="0"/>
          <w:numId w:val="1002"/>
        </w:numPr>
      </w:pPr>
      <w:r>
        <w:t xml:space="preserve">Power BI queries.</w:t>
      </w:r>
    </w:p>
    <w:p>
      <w:pPr>
        <w:pStyle w:val="Compact"/>
        <w:numPr>
          <w:ilvl w:val="0"/>
          <w:numId w:val="1002"/>
        </w:numPr>
      </w:pPr>
      <w:r>
        <w:t xml:space="preserve">Ad-hoc analysis.</w:t>
      </w:r>
    </w:p>
    <w:p>
      <w:pPr>
        <w:pStyle w:val="Compact"/>
        <w:numPr>
          <w:ilvl w:val="0"/>
          <w:numId w:val="1002"/>
        </w:numPr>
      </w:pPr>
      <w:r>
        <w:t xml:space="preserve">Data exploration.</w:t>
      </w:r>
    </w:p>
    <w:p>
      <w:pPr>
        <w:pStyle w:val="Compact"/>
        <w:numPr>
          <w:ilvl w:val="0"/>
          <w:numId w:val="1002"/>
        </w:numPr>
      </w:pPr>
      <w:r>
        <w:t xml:space="preserve">Data engineering activities.</w:t>
      </w:r>
    </w:p>
    <w:p>
      <w:pPr>
        <w:pStyle w:val="FirstParagraph"/>
      </w:pPr>
      <w:r>
        <w:t xml:space="preserve">Consequently, unpredictable user workloads can affect predictable production workloads.</w:t>
      </w:r>
    </w:p>
    <w:bookmarkEnd w:id="13"/>
    <w:bookmarkStart w:id="14" w:name="performance-contention"/>
    <w:p>
      <w:pPr>
        <w:pStyle w:val="Heading3"/>
      </w:pPr>
      <w:r>
        <w:t xml:space="preserve">3.2 Performance Contention</w:t>
      </w:r>
    </w:p>
    <w:p>
      <w:pPr>
        <w:pStyle w:val="FirstParagraph"/>
      </w:pPr>
      <w:r>
        <w:t xml:space="preserve">Long-running analytical queries can consume significant SQL Pool resources. Complex joins, scans and aggregations can compete with reporting and data-processing workloads.</w:t>
      </w:r>
    </w:p>
    <w:p>
      <w:pPr>
        <w:pStyle w:val="BodyText"/>
      </w:pPr>
      <w:r>
        <w:t xml:space="preserve">The result can include:</w:t>
      </w:r>
    </w:p>
    <w:p>
      <w:pPr>
        <w:pStyle w:val="Compact"/>
        <w:numPr>
          <w:ilvl w:val="0"/>
          <w:numId w:val="1003"/>
        </w:numPr>
      </w:pPr>
      <w:r>
        <w:t xml:space="preserve">Increased query duration.</w:t>
      </w:r>
    </w:p>
    <w:p>
      <w:pPr>
        <w:pStyle w:val="Compact"/>
        <w:numPr>
          <w:ilvl w:val="0"/>
          <w:numId w:val="1003"/>
        </w:numPr>
      </w:pPr>
      <w:r>
        <w:t xml:space="preserve">Queuing.</w:t>
      </w:r>
    </w:p>
    <w:p>
      <w:pPr>
        <w:pStyle w:val="Compact"/>
        <w:numPr>
          <w:ilvl w:val="0"/>
          <w:numId w:val="1003"/>
        </w:numPr>
      </w:pPr>
      <w:r>
        <w:t xml:space="preserve">Reduced concurrency.</w:t>
      </w:r>
    </w:p>
    <w:p>
      <w:pPr>
        <w:pStyle w:val="Compact"/>
        <w:numPr>
          <w:ilvl w:val="0"/>
          <w:numId w:val="1003"/>
        </w:numPr>
      </w:pPr>
      <w:r>
        <w:t xml:space="preserve">Slower Power BI reports.</w:t>
      </w:r>
    </w:p>
    <w:p>
      <w:pPr>
        <w:pStyle w:val="Compact"/>
        <w:numPr>
          <w:ilvl w:val="0"/>
          <w:numId w:val="1003"/>
        </w:numPr>
      </w:pPr>
      <w:r>
        <w:t xml:space="preserve">Delayed ETL processes.</w:t>
      </w:r>
    </w:p>
    <w:p>
      <w:pPr>
        <w:pStyle w:val="Compact"/>
        <w:numPr>
          <w:ilvl w:val="0"/>
          <w:numId w:val="1003"/>
        </w:numPr>
      </w:pPr>
      <w:r>
        <w:t xml:space="preserve">Increased operational support effort.</w:t>
      </w:r>
    </w:p>
    <w:p>
      <w:pPr>
        <w:pStyle w:val="Compact"/>
        <w:numPr>
          <w:ilvl w:val="0"/>
          <w:numId w:val="1003"/>
        </w:numPr>
      </w:pPr>
      <w:r>
        <w:t xml:space="preserve">Pressure to scale Dedicated SQL Pool capacity.</w:t>
      </w:r>
    </w:p>
    <w:p>
      <w:pPr>
        <w:pStyle w:val="FirstParagraph"/>
      </w:pPr>
      <w:r>
        <w:t xml:space="preserve">Dedicated SQL Pool workload isolation can reserve resources for particular workload groups, but workload isolation should be viewed as a control mechanism rather than the sole solution. Microsoft documents workload groups and classifiers as mechanisms for reserving and isolating resources for specific workloads.</w:t>
      </w:r>
    </w:p>
    <w:bookmarkEnd w:id="14"/>
    <w:bookmarkStart w:id="15" w:name="limited-self-service-capability"/>
    <w:p>
      <w:pPr>
        <w:pStyle w:val="Heading3"/>
      </w:pPr>
      <w:r>
        <w:t xml:space="preserve">3.3 Limited Self-Service Capability</w:t>
      </w:r>
    </w:p>
    <w:p>
      <w:pPr>
        <w:pStyle w:val="FirstParagraph"/>
      </w:pPr>
      <w:r>
        <w:t xml:space="preserve">Business users increasingly expect to access and analyse data without raising a formal development request for every analytical requirement.</w:t>
      </w:r>
    </w:p>
    <w:p>
      <w:pPr>
        <w:pStyle w:val="BodyText"/>
      </w:pPr>
      <w:r>
        <w:t xml:space="preserve">A traditional centrally controlled data warehouse can become a bottleneck when every analytical question requires:</w:t>
      </w:r>
    </w:p>
    <w:p>
      <w:pPr>
        <w:pStyle w:val="Compact"/>
        <w:numPr>
          <w:ilvl w:val="0"/>
          <w:numId w:val="1004"/>
        </w:numPr>
      </w:pPr>
      <w:r>
        <w:t xml:space="preserve">Requirement gathering.</w:t>
      </w:r>
    </w:p>
    <w:p>
      <w:pPr>
        <w:pStyle w:val="Compact"/>
        <w:numPr>
          <w:ilvl w:val="0"/>
          <w:numId w:val="1004"/>
        </w:numPr>
      </w:pPr>
      <w:r>
        <w:t xml:space="preserve">Data engineering development.</w:t>
      </w:r>
    </w:p>
    <w:p>
      <w:pPr>
        <w:pStyle w:val="Compact"/>
        <w:numPr>
          <w:ilvl w:val="0"/>
          <w:numId w:val="1004"/>
        </w:numPr>
      </w:pPr>
      <w:r>
        <w:t xml:space="preserve">ETL development.</w:t>
      </w:r>
    </w:p>
    <w:p>
      <w:pPr>
        <w:pStyle w:val="Compact"/>
        <w:numPr>
          <w:ilvl w:val="0"/>
          <w:numId w:val="1004"/>
        </w:numPr>
      </w:pPr>
      <w:r>
        <w:t xml:space="preserve">SQL development.</w:t>
      </w:r>
    </w:p>
    <w:p>
      <w:pPr>
        <w:pStyle w:val="Compact"/>
        <w:numPr>
          <w:ilvl w:val="0"/>
          <w:numId w:val="1004"/>
        </w:numPr>
      </w:pPr>
      <w:r>
        <w:t xml:space="preserve">Testing.</w:t>
      </w:r>
    </w:p>
    <w:p>
      <w:pPr>
        <w:pStyle w:val="Compact"/>
        <w:numPr>
          <w:ilvl w:val="0"/>
          <w:numId w:val="1004"/>
        </w:numPr>
      </w:pPr>
      <w:r>
        <w:t xml:space="preserve">Deployment.</w:t>
      </w:r>
    </w:p>
    <w:p>
      <w:pPr>
        <w:pStyle w:val="Compact"/>
        <w:numPr>
          <w:ilvl w:val="0"/>
          <w:numId w:val="1004"/>
        </w:numPr>
      </w:pPr>
      <w:r>
        <w:t xml:space="preserve">Reporting.</w:t>
      </w:r>
    </w:p>
    <w:p>
      <w:pPr>
        <w:pStyle w:val="FirstParagraph"/>
      </w:pPr>
      <w:r>
        <w:t xml:space="preserve">Self-service analytics should reduce this dependency while maintaining appropriate governance.</w:t>
      </w:r>
    </w:p>
    <w:bookmarkEnd w:id="15"/>
    <w:bookmarkStart w:id="16" w:name="X117a04bc9549d9aa6cdcfde467837b659f27862"/>
    <w:p>
      <w:pPr>
        <w:pStyle w:val="Heading3"/>
      </w:pPr>
      <w:r>
        <w:t xml:space="preserve">3.4 Data Engineering Workloads on SQL Compute</w:t>
      </w:r>
    </w:p>
    <w:p>
      <w:pPr>
        <w:pStyle w:val="FirstParagraph"/>
      </w:pPr>
      <w:r>
        <w:t xml:space="preserve">Some transformations are more naturally implemented using Spark/PySpark than SQL. Examples include:</w:t>
      </w:r>
    </w:p>
    <w:p>
      <w:pPr>
        <w:pStyle w:val="Compact"/>
        <w:numPr>
          <w:ilvl w:val="0"/>
          <w:numId w:val="1005"/>
        </w:numPr>
      </w:pPr>
      <w:r>
        <w:t xml:space="preserve">Large-scale file processing.</w:t>
      </w:r>
    </w:p>
    <w:p>
      <w:pPr>
        <w:pStyle w:val="Compact"/>
        <w:numPr>
          <w:ilvl w:val="0"/>
          <w:numId w:val="1005"/>
        </w:numPr>
      </w:pPr>
      <w:r>
        <w:t xml:space="preserve">Complex data transformation.</w:t>
      </w:r>
    </w:p>
    <w:p>
      <w:pPr>
        <w:pStyle w:val="Compact"/>
        <w:numPr>
          <w:ilvl w:val="0"/>
          <w:numId w:val="1005"/>
        </w:numPr>
      </w:pPr>
      <w:r>
        <w:t xml:space="preserve">Semi-structured data.</w:t>
      </w:r>
    </w:p>
    <w:p>
      <w:pPr>
        <w:pStyle w:val="Compact"/>
        <w:numPr>
          <w:ilvl w:val="0"/>
          <w:numId w:val="1005"/>
        </w:numPr>
      </w:pPr>
      <w:r>
        <w:t xml:space="preserve">Data profiling.</w:t>
      </w:r>
    </w:p>
    <w:p>
      <w:pPr>
        <w:pStyle w:val="Compact"/>
        <w:numPr>
          <w:ilvl w:val="0"/>
          <w:numId w:val="1005"/>
        </w:numPr>
      </w:pPr>
      <w:r>
        <w:t xml:space="preserve">Data science.</w:t>
      </w:r>
    </w:p>
    <w:p>
      <w:pPr>
        <w:pStyle w:val="Compact"/>
        <w:numPr>
          <w:ilvl w:val="0"/>
          <w:numId w:val="1005"/>
        </w:numPr>
      </w:pPr>
      <w:r>
        <w:t xml:space="preserve">Advanced analytics.</w:t>
      </w:r>
    </w:p>
    <w:p>
      <w:pPr>
        <w:pStyle w:val="Compact"/>
        <w:numPr>
          <w:ilvl w:val="0"/>
          <w:numId w:val="1005"/>
        </w:numPr>
      </w:pPr>
      <w:r>
        <w:t xml:space="preserve">Python-based processing.</w:t>
      </w:r>
    </w:p>
    <w:p>
      <w:pPr>
        <w:pStyle w:val="FirstParagraph"/>
      </w:pPr>
      <w:r>
        <w:t xml:space="preserve">These workloads should not automatically consume the same compute used by the enterprise SQL-serving layer.</w:t>
      </w:r>
    </w:p>
    <w:p>
      <w:r>
        <w:pict>
          <v:rect style="width:0;height:1.5pt" o:hralign="center" o:hrstd="t" o:hr="t"/>
        </w:pict>
      </w:r>
    </w:p>
    <w:bookmarkEnd w:id="16"/>
    <w:bookmarkEnd w:id="17"/>
    <w:bookmarkStart w:id="20" w:name="objectives"/>
    <w:p>
      <w:pPr>
        <w:pStyle w:val="Heading1"/>
      </w:pPr>
      <w:r>
        <w:t xml:space="preserve">4. Objectives</w:t>
      </w:r>
    </w:p>
    <w:p>
      <w:pPr>
        <w:pStyle w:val="FirstParagraph"/>
      </w:pPr>
      <w:r>
        <w:t xml:space="preserve">The Synapse Workspace adoption programme should achieve the following objectives.</w:t>
      </w:r>
    </w:p>
    <w:bookmarkStart w:id="18" w:name="primary-objectives"/>
    <w:p>
      <w:pPr>
        <w:pStyle w:val="Heading3"/>
      </w:pPr>
      <w:r>
        <w:t xml:space="preserve">Primary Objectives</w:t>
      </w:r>
    </w:p>
    <w:p>
      <w:pPr>
        <w:pStyle w:val="Compact"/>
        <w:numPr>
          <w:ilvl w:val="0"/>
          <w:numId w:val="1006"/>
        </w:numPr>
      </w:pPr>
      <w:r>
        <w:t xml:space="preserve">Provide a governed self-service analytics environment.</w:t>
      </w:r>
    </w:p>
    <w:p>
      <w:pPr>
        <w:pStyle w:val="Compact"/>
        <w:numPr>
          <w:ilvl w:val="0"/>
          <w:numId w:val="1006"/>
        </w:numPr>
      </w:pPr>
      <w:r>
        <w:t xml:space="preserve">Reduce unnecessary analytical workload on the Dedicated SQL Pool.</w:t>
      </w:r>
    </w:p>
    <w:p>
      <w:pPr>
        <w:pStyle w:val="Compact"/>
        <w:numPr>
          <w:ilvl w:val="0"/>
          <w:numId w:val="1006"/>
        </w:numPr>
      </w:pPr>
      <w:r>
        <w:t xml:space="preserve">Improve performance and predictability of enterprise SQL workloads.</w:t>
      </w:r>
    </w:p>
    <w:p>
      <w:pPr>
        <w:pStyle w:val="Compact"/>
        <w:numPr>
          <w:ilvl w:val="0"/>
          <w:numId w:val="1006"/>
        </w:numPr>
      </w:pPr>
      <w:r>
        <w:t xml:space="preserve">Enable technical users to use PySpark and notebooks.</w:t>
      </w:r>
    </w:p>
    <w:p>
      <w:pPr>
        <w:pStyle w:val="Compact"/>
        <w:numPr>
          <w:ilvl w:val="0"/>
          <w:numId w:val="1006"/>
        </w:numPr>
      </w:pPr>
      <w:r>
        <w:t xml:space="preserve">Provide controlled access to enterprise data.</w:t>
      </w:r>
    </w:p>
    <w:p>
      <w:pPr>
        <w:pStyle w:val="Compact"/>
        <w:numPr>
          <w:ilvl w:val="0"/>
          <w:numId w:val="1006"/>
        </w:numPr>
      </w:pPr>
      <w:r>
        <w:t xml:space="preserve">Reduce dependency on central data engineering teams for exploratory analysis.</w:t>
      </w:r>
    </w:p>
    <w:p>
      <w:pPr>
        <w:pStyle w:val="Compact"/>
        <w:numPr>
          <w:ilvl w:val="0"/>
          <w:numId w:val="1006"/>
        </w:numPr>
      </w:pPr>
      <w:r>
        <w:t xml:space="preserve">Establish reusable self-service analytics standards.</w:t>
      </w:r>
    </w:p>
    <w:p>
      <w:pPr>
        <w:pStyle w:val="Compact"/>
        <w:numPr>
          <w:ilvl w:val="0"/>
          <w:numId w:val="1006"/>
        </w:numPr>
      </w:pPr>
      <w:r>
        <w:t xml:space="preserve">Create a controlled foundation for future Microsoft Fabric adoption.</w:t>
      </w:r>
    </w:p>
    <w:p>
      <w:pPr>
        <w:pStyle w:val="Compact"/>
        <w:numPr>
          <w:ilvl w:val="0"/>
          <w:numId w:val="1006"/>
        </w:numPr>
      </w:pPr>
      <w:r>
        <w:t xml:space="preserve">Establish DCoE as the initial centre of expertise.</w:t>
      </w:r>
    </w:p>
    <w:p>
      <w:pPr>
        <w:pStyle w:val="Compact"/>
        <w:numPr>
          <w:ilvl w:val="0"/>
          <w:numId w:val="1006"/>
        </w:numPr>
      </w:pPr>
      <w:r>
        <w:t xml:space="preserve">Provide measurable evidence before expanding to other departments.</w:t>
      </w:r>
    </w:p>
    <w:bookmarkEnd w:id="18"/>
    <w:bookmarkStart w:id="19" w:name="non-objectives"/>
    <w:p>
      <w:pPr>
        <w:pStyle w:val="Heading3"/>
      </w:pPr>
      <w:r>
        <w:t xml:space="preserve">Non-Objectives</w:t>
      </w:r>
    </w:p>
    <w:p>
      <w:pPr>
        <w:pStyle w:val="FirstParagraph"/>
      </w:pPr>
      <w:r>
        <w:t xml:space="preserve">The initiative should</w:t>
      </w:r>
      <w:r>
        <w:t xml:space="preserve"> </w:t>
      </w:r>
      <w:r>
        <w:rPr>
          <w:b/>
          <w:bCs/>
        </w:rPr>
        <w:t xml:space="preserve">not initially</w:t>
      </w:r>
      <w:r>
        <w:t xml:space="preserve"> </w:t>
      </w:r>
      <w:r>
        <w:t xml:space="preserve">aim to:</w:t>
      </w:r>
    </w:p>
    <w:p>
      <w:pPr>
        <w:pStyle w:val="Compact"/>
        <w:numPr>
          <w:ilvl w:val="0"/>
          <w:numId w:val="1007"/>
        </w:numPr>
      </w:pPr>
      <w:r>
        <w:t xml:space="preserve">Replace the enterprise data warehouse.</w:t>
      </w:r>
    </w:p>
    <w:p>
      <w:pPr>
        <w:pStyle w:val="Compact"/>
        <w:numPr>
          <w:ilvl w:val="0"/>
          <w:numId w:val="1007"/>
        </w:numPr>
      </w:pPr>
      <w:r>
        <w:t xml:space="preserve">Give unrestricted access to all enterprise data.</w:t>
      </w:r>
    </w:p>
    <w:p>
      <w:pPr>
        <w:pStyle w:val="Compact"/>
        <w:numPr>
          <w:ilvl w:val="0"/>
          <w:numId w:val="1007"/>
        </w:numPr>
      </w:pPr>
      <w:r>
        <w:t xml:space="preserve">Allow every department to create independent data platforms.</w:t>
      </w:r>
    </w:p>
    <w:p>
      <w:pPr>
        <w:pStyle w:val="Compact"/>
        <w:numPr>
          <w:ilvl w:val="0"/>
          <w:numId w:val="1007"/>
        </w:numPr>
      </w:pPr>
      <w:r>
        <w:t xml:space="preserve">Immediately migrate all existing Synapse workloads to Fabric.</w:t>
      </w:r>
    </w:p>
    <w:p>
      <w:pPr>
        <w:pStyle w:val="Compact"/>
        <w:numPr>
          <w:ilvl w:val="0"/>
          <w:numId w:val="1007"/>
        </w:numPr>
      </w:pPr>
      <w:r>
        <w:t xml:space="preserve">Remove existing data governance.</w:t>
      </w:r>
    </w:p>
    <w:p>
      <w:pPr>
        <w:pStyle w:val="Compact"/>
        <w:numPr>
          <w:ilvl w:val="0"/>
          <w:numId w:val="1007"/>
        </w:numPr>
      </w:pPr>
      <w:r>
        <w:t xml:space="preserve">Move all SQL workloads to Spark.</w:t>
      </w:r>
    </w:p>
    <w:p>
      <w:pPr>
        <w:pStyle w:val="Compact"/>
        <w:numPr>
          <w:ilvl w:val="0"/>
          <w:numId w:val="1007"/>
        </w:numPr>
      </w:pPr>
      <w:r>
        <w:t xml:space="preserve">Create uncontrolled departmental data silos.</w:t>
      </w:r>
    </w:p>
    <w:p>
      <w:r>
        <w:pict>
          <v:rect style="width:0;height:1.5pt" o:hralign="center" o:hrstd="t" o:hr="t"/>
        </w:pict>
      </w:r>
    </w:p>
    <w:bookmarkEnd w:id="19"/>
    <w:bookmarkEnd w:id="20"/>
    <w:bookmarkStart w:id="21" w:name="proposed-architecture"/>
    <w:p>
      <w:pPr>
        <w:pStyle w:val="Heading1"/>
      </w:pPr>
      <w:r>
        <w:t xml:space="preserve">5. Proposed Architecture</w:t>
      </w:r>
    </w:p>
    <w:p>
      <w:pPr>
        <w:pStyle w:val="FirstParagraph"/>
      </w:pPr>
      <w:r>
        <w:t xml:space="preserve">The proposed architecture introduces Synapse Workspace as a governed analytical workspace alongside the existing enterprise data platform.</w:t>
      </w:r>
    </w:p>
    <w:p>
      <w:pPr>
        <w:pStyle w:val="BodyText"/>
      </w:pPr>
      <w:r>
        <w:t xml:space="preserve">Conceptually:</w:t>
      </w:r>
    </w:p>
    <w:p>
      <w:pPr>
        <w:pStyle w:val="SourceCode"/>
      </w:pPr>
      <w:r>
        <w:rPr>
          <w:rStyle w:val="VerbatimChar"/>
        </w:rPr>
        <w:t xml:space="preserve">                    ABC INSURANCE DATA PLATFORM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Enterprise Data Layer                   ADLS Gen2 Data Lake</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 Dedicated SQL Pool              Synapse Spark           Data Files</w:t>
      </w:r>
      <w:r>
        <w:br/>
      </w:r>
      <w:r>
        <w:rPr>
          <w:rStyle w:val="VerbatimChar"/>
        </w:rPr>
        <w:t xml:space="preserve">          |                       / PySpark</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Enterprise BI                 Self-Service Analytics</w:t>
      </w:r>
      <w:r>
        <w:br/>
      </w:r>
      <w:r>
        <w:rPr>
          <w:rStyle w:val="VerbatimChar"/>
        </w:rPr>
        <w:t xml:space="preserve"> Power BI                       DCoE / Analysts</w:t>
      </w:r>
      <w:r>
        <w:br/>
      </w:r>
      <w:r>
        <w:rPr>
          <w:rStyle w:val="VerbatimChar"/>
        </w:rPr>
        <w:t xml:space="preserve">          |</w:t>
      </w:r>
      <w:r>
        <w:br/>
      </w:r>
      <w:r>
        <w:rPr>
          <w:rStyle w:val="VerbatimChar"/>
        </w:rPr>
        <w:t xml:space="preserve">          v</w:t>
      </w:r>
      <w:r>
        <w:br/>
      </w:r>
      <w:r>
        <w:rPr>
          <w:rStyle w:val="VerbatimChar"/>
        </w:rPr>
        <w:t xml:space="preserve"> Enterprise Reporting</w:t>
      </w:r>
      <w:r>
        <w:br/>
      </w:r>
      <w:r>
        <w:br/>
      </w:r>
      <w:r>
        <w:br/>
      </w:r>
      <w:r>
        <w:rPr>
          <w:rStyle w:val="VerbatimChar"/>
        </w:rPr>
        <w:t xml:space="preserve">              Future Evolution</w:t>
      </w:r>
      <w:r>
        <w:br/>
      </w:r>
      <w:r>
        <w:rPr>
          <w:rStyle w:val="VerbatimChar"/>
        </w:rPr>
        <w:t xml:space="preserve">                     |</w:t>
      </w:r>
      <w:r>
        <w:br/>
      </w:r>
      <w:r>
        <w:rPr>
          <w:rStyle w:val="VerbatimChar"/>
        </w:rPr>
        <w:t xml:space="preserve">                     v</w:t>
      </w:r>
      <w:r>
        <w:br/>
      </w:r>
      <w:r>
        <w:rPr>
          <w:rStyle w:val="VerbatimChar"/>
        </w:rPr>
        <w:t xml:space="preserve">             Microsoft Fabric</w:t>
      </w:r>
      <w:r>
        <w:br/>
      </w:r>
      <w:r>
        <w:rPr>
          <w:rStyle w:val="VerbatimChar"/>
        </w:rPr>
        <w:t xml:space="preserve">          Lakehouse / Spark / DW</w:t>
      </w:r>
    </w:p>
    <w:p>
      <w:pPr>
        <w:pStyle w:val="FirstParagraph"/>
      </w:pPr>
      <w:r>
        <w:t xml:space="preserve">The important architectural principle is that</w:t>
      </w:r>
      <w:r>
        <w:t xml:space="preserve"> </w:t>
      </w:r>
      <w:r>
        <w:rPr>
          <w:b/>
          <w:bCs/>
        </w:rPr>
        <w:t xml:space="preserve">Synapse Workspace is not another isolated data platform</w:t>
      </w:r>
      <w:r>
        <w:t xml:space="preserve">. It should operate as a governed analytical access and compute layer over the enterprise data estate.</w:t>
      </w:r>
    </w:p>
    <w:p>
      <w:r>
        <w:pict>
          <v:rect style="width:0;height:1.5pt" o:hralign="center" o:hrstd="t" o:hr="t"/>
        </w:pict>
      </w:r>
    </w:p>
    <w:bookmarkEnd w:id="21"/>
    <w:bookmarkStart w:id="22" w:name="what-is-an-azure-synapse-workspace"/>
    <w:p>
      <w:pPr>
        <w:pStyle w:val="Heading1"/>
      </w:pPr>
      <w:r>
        <w:t xml:space="preserve">6. What Is an Azure Synapse Workspace?</w:t>
      </w:r>
    </w:p>
    <w:p>
      <w:pPr>
        <w:pStyle w:val="FirstParagraph"/>
      </w:pPr>
      <w:r>
        <w:t xml:space="preserve">An Azure Synapse Workspace provides an integrated analytics environment combining capabilities such as:</w:t>
      </w:r>
    </w:p>
    <w:p>
      <w:pPr>
        <w:pStyle w:val="Compact"/>
        <w:numPr>
          <w:ilvl w:val="0"/>
          <w:numId w:val="1008"/>
        </w:numPr>
      </w:pPr>
      <w:r>
        <w:t xml:space="preserve">SQL analytics.</w:t>
      </w:r>
    </w:p>
    <w:p>
      <w:pPr>
        <w:pStyle w:val="Compact"/>
        <w:numPr>
          <w:ilvl w:val="0"/>
          <w:numId w:val="1008"/>
        </w:numPr>
      </w:pPr>
      <w:r>
        <w:t xml:space="preserve">Apache Spark.</w:t>
      </w:r>
    </w:p>
    <w:p>
      <w:pPr>
        <w:pStyle w:val="Compact"/>
        <w:numPr>
          <w:ilvl w:val="0"/>
          <w:numId w:val="1008"/>
        </w:numPr>
      </w:pPr>
      <w:r>
        <w:t xml:space="preserve">Notebooks.</w:t>
      </w:r>
    </w:p>
    <w:p>
      <w:pPr>
        <w:pStyle w:val="Compact"/>
        <w:numPr>
          <w:ilvl w:val="0"/>
          <w:numId w:val="1008"/>
        </w:numPr>
      </w:pPr>
      <w:r>
        <w:t xml:space="preserve">Data integration.</w:t>
      </w:r>
    </w:p>
    <w:p>
      <w:pPr>
        <w:pStyle w:val="Compact"/>
        <w:numPr>
          <w:ilvl w:val="0"/>
          <w:numId w:val="1008"/>
        </w:numPr>
      </w:pPr>
      <w:r>
        <w:t xml:space="preserve">Data exploration.</w:t>
      </w:r>
    </w:p>
    <w:p>
      <w:pPr>
        <w:pStyle w:val="Compact"/>
        <w:numPr>
          <w:ilvl w:val="0"/>
          <w:numId w:val="1008"/>
        </w:numPr>
      </w:pPr>
      <w:r>
        <w:t xml:space="preserve">Data engineering.</w:t>
      </w:r>
    </w:p>
    <w:p>
      <w:pPr>
        <w:pStyle w:val="Compact"/>
        <w:numPr>
          <w:ilvl w:val="0"/>
          <w:numId w:val="1008"/>
        </w:numPr>
      </w:pPr>
      <w:r>
        <w:t xml:space="preserve">Data science.</w:t>
      </w:r>
    </w:p>
    <w:p>
      <w:pPr>
        <w:pStyle w:val="Compact"/>
        <w:numPr>
          <w:ilvl w:val="0"/>
          <w:numId w:val="1008"/>
        </w:numPr>
      </w:pPr>
      <w:r>
        <w:t xml:space="preserve">Monitoring.</w:t>
      </w:r>
    </w:p>
    <w:p>
      <w:pPr>
        <w:pStyle w:val="Compact"/>
        <w:numPr>
          <w:ilvl w:val="0"/>
          <w:numId w:val="1008"/>
        </w:numPr>
      </w:pPr>
      <w:r>
        <w:t xml:space="preserve">Security integration.</w:t>
      </w:r>
    </w:p>
    <w:p>
      <w:pPr>
        <w:pStyle w:val="Compact"/>
        <w:numPr>
          <w:ilvl w:val="0"/>
          <w:numId w:val="1008"/>
        </w:numPr>
      </w:pPr>
      <w:r>
        <w:t xml:space="preserve">Git-based development.</w:t>
      </w:r>
    </w:p>
    <w:p>
      <w:pPr>
        <w:pStyle w:val="Compact"/>
        <w:numPr>
          <w:ilvl w:val="0"/>
          <w:numId w:val="1008"/>
        </w:numPr>
      </w:pPr>
      <w:r>
        <w:t xml:space="preserve">Integration with Azure Data Lake Storage.</w:t>
      </w:r>
    </w:p>
    <w:p>
      <w:pPr>
        <w:pStyle w:val="FirstParagraph"/>
      </w:pPr>
      <w:r>
        <w:t xml:space="preserve">For ABC Insurance, the workspace should provide a controlled environment where authorised technical users can perform analytical activities without necessarily executing every workload against the Dedicated SQL Pool.</w:t>
      </w:r>
    </w:p>
    <w:p>
      <w:pPr>
        <w:pStyle w:val="BodyText"/>
      </w:pPr>
      <w:r>
        <w:t xml:space="preserve">The workspace should therefore be viewed as an</w:t>
      </w:r>
      <w:r>
        <w:t xml:space="preserve"> </w:t>
      </w:r>
      <w:r>
        <w:rPr>
          <w:b/>
          <w:bCs/>
        </w:rPr>
        <w:t xml:space="preserve">analytical workbench</w:t>
      </w:r>
      <w:r>
        <w:t xml:space="preserve">, rather than simply another SQL database.</w:t>
      </w:r>
    </w:p>
    <w:p>
      <w:r>
        <w:pict>
          <v:rect style="width:0;height:1.5pt" o:hralign="center" o:hrstd="t" o:hr="t"/>
        </w:pict>
      </w:r>
    </w:p>
    <w:bookmarkEnd w:id="22"/>
    <w:bookmarkStart w:id="28" w:name="proposed-synapse-workspace-uses"/>
    <w:p>
      <w:pPr>
        <w:pStyle w:val="Heading1"/>
      </w:pPr>
      <w:r>
        <w:t xml:space="preserve">7. Proposed Synapse Workspace Uses</w:t>
      </w:r>
    </w:p>
    <w:bookmarkStart w:id="23" w:name="self-service-data-exploration"/>
    <w:p>
      <w:pPr>
        <w:pStyle w:val="Heading2"/>
      </w:pPr>
      <w:r>
        <w:t xml:space="preserve">7.1 Self-Service Data Exploration</w:t>
      </w:r>
    </w:p>
    <w:p>
      <w:pPr>
        <w:pStyle w:val="FirstParagraph"/>
      </w:pPr>
      <w:r>
        <w:t xml:space="preserve">DCoE users can explore datasets using:</w:t>
      </w:r>
    </w:p>
    <w:p>
      <w:pPr>
        <w:pStyle w:val="Compact"/>
        <w:numPr>
          <w:ilvl w:val="0"/>
          <w:numId w:val="1009"/>
        </w:numPr>
      </w:pPr>
      <w:r>
        <w:t xml:space="preserve">SQL.</w:t>
      </w:r>
    </w:p>
    <w:p>
      <w:pPr>
        <w:pStyle w:val="Compact"/>
        <w:numPr>
          <w:ilvl w:val="0"/>
          <w:numId w:val="1009"/>
        </w:numPr>
      </w:pPr>
      <w:r>
        <w:t xml:space="preserve">PySpark.</w:t>
      </w:r>
    </w:p>
    <w:p>
      <w:pPr>
        <w:pStyle w:val="Compact"/>
        <w:numPr>
          <w:ilvl w:val="0"/>
          <w:numId w:val="1009"/>
        </w:numPr>
      </w:pPr>
      <w:r>
        <w:t xml:space="preserve">Spark DataFrames.</w:t>
      </w:r>
    </w:p>
    <w:p>
      <w:pPr>
        <w:pStyle w:val="Compact"/>
        <w:numPr>
          <w:ilvl w:val="0"/>
          <w:numId w:val="1009"/>
        </w:numPr>
      </w:pPr>
      <w:r>
        <w:t xml:space="preserve">Notebooks.</w:t>
      </w:r>
    </w:p>
    <w:p>
      <w:pPr>
        <w:pStyle w:val="Compact"/>
        <w:numPr>
          <w:ilvl w:val="0"/>
          <w:numId w:val="1009"/>
        </w:numPr>
      </w:pPr>
      <w:r>
        <w:t xml:space="preserve">Data profiling.</w:t>
      </w:r>
    </w:p>
    <w:p>
      <w:pPr>
        <w:pStyle w:val="Compact"/>
        <w:numPr>
          <w:ilvl w:val="0"/>
          <w:numId w:val="1009"/>
        </w:numPr>
      </w:pPr>
      <w:r>
        <w:t xml:space="preserve">Statistical analysis.</w:t>
      </w:r>
    </w:p>
    <w:p>
      <w:pPr>
        <w:pStyle w:val="FirstParagraph"/>
      </w:pPr>
      <w:r>
        <w:t xml:space="preserve">This allows analysts to answer exploratory questions without creating permanent enterprise data structures for every investigation.</w:t>
      </w:r>
    </w:p>
    <w:p>
      <w:r>
        <w:pict>
          <v:rect style="width:0;height:1.5pt" o:hralign="center" o:hrstd="t" o:hr="t"/>
        </w:pict>
      </w:r>
    </w:p>
    <w:bookmarkEnd w:id="23"/>
    <w:bookmarkStart w:id="24" w:name="pyspark-analytics"/>
    <w:p>
      <w:pPr>
        <w:pStyle w:val="Heading2"/>
      </w:pPr>
      <w:r>
        <w:t xml:space="preserve">7.2 PySpark Analytics</w:t>
      </w:r>
    </w:p>
    <w:p>
      <w:pPr>
        <w:pStyle w:val="FirstParagraph"/>
      </w:pPr>
      <w:r>
        <w:t xml:space="preserve">PySpark should be one of the primary capabilities promoted to DCoE users.</w:t>
      </w:r>
    </w:p>
    <w:p>
      <w:pPr>
        <w:pStyle w:val="BodyText"/>
      </w:pPr>
      <w:r>
        <w:t xml:space="preserve">Typical use cases include:</w:t>
      </w:r>
    </w:p>
    <w:p>
      <w:pPr>
        <w:pStyle w:val="Compact"/>
        <w:numPr>
          <w:ilvl w:val="0"/>
          <w:numId w:val="1010"/>
        </w:numPr>
      </w:pPr>
      <w:r>
        <w:t xml:space="preserve">Large-scale transformations.</w:t>
      </w:r>
    </w:p>
    <w:p>
      <w:pPr>
        <w:pStyle w:val="Compact"/>
        <w:numPr>
          <w:ilvl w:val="0"/>
          <w:numId w:val="1010"/>
        </w:numPr>
      </w:pPr>
      <w:r>
        <w:t xml:space="preserve">Complex data preparation.</w:t>
      </w:r>
    </w:p>
    <w:p>
      <w:pPr>
        <w:pStyle w:val="Compact"/>
        <w:numPr>
          <w:ilvl w:val="0"/>
          <w:numId w:val="1010"/>
        </w:numPr>
      </w:pPr>
      <w:r>
        <w:t xml:space="preserve">JSON processing.</w:t>
      </w:r>
    </w:p>
    <w:p>
      <w:pPr>
        <w:pStyle w:val="Compact"/>
        <w:numPr>
          <w:ilvl w:val="0"/>
          <w:numId w:val="1010"/>
        </w:numPr>
      </w:pPr>
      <w:r>
        <w:t xml:space="preserve">CSV/Parquet processing.</w:t>
      </w:r>
    </w:p>
    <w:p>
      <w:pPr>
        <w:pStyle w:val="Compact"/>
        <w:numPr>
          <w:ilvl w:val="0"/>
          <w:numId w:val="1010"/>
        </w:numPr>
      </w:pPr>
      <w:r>
        <w:t xml:space="preserve">Data cleansing.</w:t>
      </w:r>
    </w:p>
    <w:p>
      <w:pPr>
        <w:pStyle w:val="Compact"/>
        <w:numPr>
          <w:ilvl w:val="0"/>
          <w:numId w:val="1010"/>
        </w:numPr>
      </w:pPr>
      <w:r>
        <w:t xml:space="preserve">Aggregation.</w:t>
      </w:r>
    </w:p>
    <w:p>
      <w:pPr>
        <w:pStyle w:val="Compact"/>
        <w:numPr>
          <w:ilvl w:val="0"/>
          <w:numId w:val="1010"/>
        </w:numPr>
      </w:pPr>
      <w:r>
        <w:t xml:space="preserve">Feature engineering.</w:t>
      </w:r>
    </w:p>
    <w:p>
      <w:pPr>
        <w:pStyle w:val="Compact"/>
        <w:numPr>
          <w:ilvl w:val="0"/>
          <w:numId w:val="1010"/>
        </w:numPr>
      </w:pPr>
      <w:r>
        <w:t xml:space="preserve">Data-quality analysis.</w:t>
      </w:r>
    </w:p>
    <w:p>
      <w:pPr>
        <w:pStyle w:val="Compact"/>
        <w:numPr>
          <w:ilvl w:val="0"/>
          <w:numId w:val="1010"/>
        </w:numPr>
      </w:pPr>
      <w:r>
        <w:t xml:space="preserve">Advanced analytics.</w:t>
      </w:r>
    </w:p>
    <w:p>
      <w:pPr>
        <w:pStyle w:val="FirstParagraph"/>
      </w:pPr>
      <w:r>
        <w:t xml:space="preserve">Spark provides a different compute model from Dedicated SQL Pool, allowing appropriate workloads to be processed outside the SQL-serving layer.</w:t>
      </w:r>
    </w:p>
    <w:p>
      <w:r>
        <w:pict>
          <v:rect style="width:0;height:1.5pt" o:hralign="center" o:hrstd="t" o:hr="t"/>
        </w:pict>
      </w:r>
    </w:p>
    <w:bookmarkEnd w:id="24"/>
    <w:bookmarkStart w:id="25" w:name="data-preparation"/>
    <w:p>
      <w:pPr>
        <w:pStyle w:val="Heading2"/>
      </w:pPr>
      <w:r>
        <w:t xml:space="preserve">7.3 Data Preparation</w:t>
      </w:r>
    </w:p>
    <w:p>
      <w:pPr>
        <w:pStyle w:val="FirstParagraph"/>
      </w:pPr>
      <w:r>
        <w:t xml:space="preserve">Users can create temporary or analytical datasets in ADLS Gen2.</w:t>
      </w:r>
    </w:p>
    <w:p>
      <w:pPr>
        <w:pStyle w:val="BodyText"/>
      </w:pPr>
      <w:r>
        <w:t xml:space="preserve">For example:</w:t>
      </w:r>
    </w:p>
    <w:p>
      <w:pPr>
        <w:pStyle w:val="SourceCode"/>
      </w:pPr>
      <w:r>
        <w:rPr>
          <w:rStyle w:val="VerbatimChar"/>
        </w:rPr>
        <w:t xml:space="preserve">Enterprise Data</w:t>
      </w:r>
      <w:r>
        <w:br/>
      </w:r>
      <w:r>
        <w:rPr>
          <w:rStyle w:val="VerbatimChar"/>
        </w:rPr>
        <w:t xml:space="preserve">      |</w:t>
      </w:r>
      <w:r>
        <w:br/>
      </w:r>
      <w:r>
        <w:rPr>
          <w:rStyle w:val="VerbatimChar"/>
        </w:rPr>
        <w:t xml:space="preserve">      v</w:t>
      </w:r>
      <w:r>
        <w:br/>
      </w:r>
      <w:r>
        <w:rPr>
          <w:rStyle w:val="VerbatimChar"/>
        </w:rPr>
        <w:t xml:space="preserve">ADLS Gen2</w:t>
      </w:r>
      <w:r>
        <w:br/>
      </w:r>
      <w:r>
        <w:rPr>
          <w:rStyle w:val="VerbatimChar"/>
        </w:rPr>
        <w:t xml:space="preserve">      |</w:t>
      </w:r>
      <w:r>
        <w:br/>
      </w:r>
      <w:r>
        <w:rPr>
          <w:rStyle w:val="VerbatimChar"/>
        </w:rPr>
        <w:t xml:space="preserve">      v</w:t>
      </w:r>
      <w:r>
        <w:br/>
      </w:r>
      <w:r>
        <w:rPr>
          <w:rStyle w:val="VerbatimChar"/>
        </w:rPr>
        <w:t xml:space="preserve">Synapse Notebook</w:t>
      </w:r>
      <w:r>
        <w:br/>
      </w:r>
      <w:r>
        <w:rPr>
          <w:rStyle w:val="VerbatimChar"/>
        </w:rPr>
        <w:t xml:space="preserve">      |</w:t>
      </w:r>
      <w:r>
        <w:br/>
      </w:r>
      <w:r>
        <w:rPr>
          <w:rStyle w:val="VerbatimChar"/>
        </w:rPr>
        <w:t xml:space="preserve">      +--&gt; Filter</w:t>
      </w:r>
      <w:r>
        <w:br/>
      </w:r>
      <w:r>
        <w:rPr>
          <w:rStyle w:val="VerbatimChar"/>
        </w:rPr>
        <w:t xml:space="preserve">      +--&gt; Join</w:t>
      </w:r>
      <w:r>
        <w:br/>
      </w:r>
      <w:r>
        <w:rPr>
          <w:rStyle w:val="VerbatimChar"/>
        </w:rPr>
        <w:t xml:space="preserve">      +--&gt; Transform</w:t>
      </w:r>
      <w:r>
        <w:br/>
      </w:r>
      <w:r>
        <w:rPr>
          <w:rStyle w:val="VerbatimChar"/>
        </w:rPr>
        <w:t xml:space="preserve">      +--&gt; Aggregate</w:t>
      </w:r>
      <w:r>
        <w:br/>
      </w:r>
      <w:r>
        <w:rPr>
          <w:rStyle w:val="VerbatimChar"/>
        </w:rPr>
        <w:t xml:space="preserve">      |</w:t>
      </w:r>
      <w:r>
        <w:br/>
      </w:r>
      <w:r>
        <w:rPr>
          <w:rStyle w:val="VerbatimChar"/>
        </w:rPr>
        <w:t xml:space="preserve">      v</w:t>
      </w:r>
      <w:r>
        <w:br/>
      </w:r>
      <w:r>
        <w:rPr>
          <w:rStyle w:val="VerbatimChar"/>
        </w:rPr>
        <w:t xml:space="preserve">Analytical Dataset</w:t>
      </w:r>
      <w:r>
        <w:br/>
      </w:r>
      <w:r>
        <w:rPr>
          <w:rStyle w:val="VerbatimChar"/>
        </w:rPr>
        <w:t xml:space="preserve">      |</w:t>
      </w:r>
      <w:r>
        <w:br/>
      </w:r>
      <w:r>
        <w:rPr>
          <w:rStyle w:val="VerbatimChar"/>
        </w:rPr>
        <w:t xml:space="preserve">      v</w:t>
      </w:r>
      <w:r>
        <w:br/>
      </w:r>
      <w:r>
        <w:rPr>
          <w:rStyle w:val="VerbatimChar"/>
        </w:rPr>
        <w:t xml:space="preserve">Power BI / Further Analysis</w:t>
      </w:r>
    </w:p>
    <w:p>
      <w:pPr>
        <w:pStyle w:val="FirstParagraph"/>
      </w:pPr>
      <w:r>
        <w:t xml:space="preserve">This approach prevents every analytical transformation from becoming a permanent SQL warehouse object.</w:t>
      </w:r>
    </w:p>
    <w:p>
      <w:r>
        <w:pict>
          <v:rect style="width:0;height:1.5pt" o:hralign="center" o:hrstd="t" o:hr="t"/>
        </w:pict>
      </w:r>
    </w:p>
    <w:bookmarkEnd w:id="25"/>
    <w:bookmarkStart w:id="26" w:name="data-profiling-and-data-quality"/>
    <w:p>
      <w:pPr>
        <w:pStyle w:val="Heading2"/>
      </w:pPr>
      <w:r>
        <w:t xml:space="preserve">7.4 Data Profiling and Data Quality</w:t>
      </w:r>
    </w:p>
    <w:p>
      <w:pPr>
        <w:pStyle w:val="FirstParagraph"/>
      </w:pPr>
      <w:r>
        <w:t xml:space="preserve">DCoE can use notebooks to perform:</w:t>
      </w:r>
    </w:p>
    <w:p>
      <w:pPr>
        <w:pStyle w:val="Compact"/>
        <w:numPr>
          <w:ilvl w:val="0"/>
          <w:numId w:val="1011"/>
        </w:numPr>
      </w:pPr>
      <w:r>
        <w:t xml:space="preserve">Null analysis.</w:t>
      </w:r>
    </w:p>
    <w:p>
      <w:pPr>
        <w:pStyle w:val="Compact"/>
        <w:numPr>
          <w:ilvl w:val="0"/>
          <w:numId w:val="1011"/>
        </w:numPr>
      </w:pPr>
      <w:r>
        <w:t xml:space="preserve">Duplicate detection.</w:t>
      </w:r>
    </w:p>
    <w:p>
      <w:pPr>
        <w:pStyle w:val="Compact"/>
        <w:numPr>
          <w:ilvl w:val="0"/>
          <w:numId w:val="1011"/>
        </w:numPr>
      </w:pPr>
      <w:r>
        <w:t xml:space="preserve">Referential integrity analysis.</w:t>
      </w:r>
    </w:p>
    <w:p>
      <w:pPr>
        <w:pStyle w:val="Compact"/>
        <w:numPr>
          <w:ilvl w:val="0"/>
          <w:numId w:val="1011"/>
        </w:numPr>
      </w:pPr>
      <w:r>
        <w:t xml:space="preserve">Distribution analysis.</w:t>
      </w:r>
    </w:p>
    <w:p>
      <w:pPr>
        <w:pStyle w:val="Compact"/>
        <w:numPr>
          <w:ilvl w:val="0"/>
          <w:numId w:val="1011"/>
        </w:numPr>
      </w:pPr>
      <w:r>
        <w:t xml:space="preserve">Outlier identification.</w:t>
      </w:r>
    </w:p>
    <w:p>
      <w:pPr>
        <w:pStyle w:val="Compact"/>
        <w:numPr>
          <w:ilvl w:val="0"/>
          <w:numId w:val="1011"/>
        </w:numPr>
      </w:pPr>
      <w:r>
        <w:t xml:space="preserve">Data freshness checks.</w:t>
      </w:r>
    </w:p>
    <w:p>
      <w:pPr>
        <w:pStyle w:val="Compact"/>
        <w:numPr>
          <w:ilvl w:val="0"/>
          <w:numId w:val="1011"/>
        </w:numPr>
      </w:pPr>
      <w:r>
        <w:t xml:space="preserve">Source-to-target reconciliation.</w:t>
      </w:r>
    </w:p>
    <w:p>
      <w:pPr>
        <w:pStyle w:val="FirstParagraph"/>
      </w:pPr>
      <w:r>
        <w:t xml:space="preserve">The results can subsequently be incorporated into formal data-quality processes.</w:t>
      </w:r>
    </w:p>
    <w:p>
      <w:r>
        <w:pict>
          <v:rect style="width:0;height:1.5pt" o:hralign="center" o:hrstd="t" o:hr="t"/>
        </w:pict>
      </w:r>
    </w:p>
    <w:bookmarkEnd w:id="26"/>
    <w:bookmarkStart w:id="27" w:name="data-science-and-advanced-analytics"/>
    <w:p>
      <w:pPr>
        <w:pStyle w:val="Heading2"/>
      </w:pPr>
      <w:r>
        <w:t xml:space="preserve">7.5 Data Science and Advanced Analytics</w:t>
      </w:r>
    </w:p>
    <w:p>
      <w:pPr>
        <w:pStyle w:val="FirstParagraph"/>
      </w:pPr>
      <w:r>
        <w:t xml:space="preserve">Synapse notebooks can support:</w:t>
      </w:r>
    </w:p>
    <w:p>
      <w:pPr>
        <w:pStyle w:val="Compact"/>
        <w:numPr>
          <w:ilvl w:val="0"/>
          <w:numId w:val="1012"/>
        </w:numPr>
      </w:pPr>
      <w:r>
        <w:t xml:space="preserve">Statistical modelling.</w:t>
      </w:r>
    </w:p>
    <w:p>
      <w:pPr>
        <w:pStyle w:val="Compact"/>
        <w:numPr>
          <w:ilvl w:val="0"/>
          <w:numId w:val="1012"/>
        </w:numPr>
      </w:pPr>
      <w:r>
        <w:t xml:space="preserve">Predictive analytics.</w:t>
      </w:r>
    </w:p>
    <w:p>
      <w:pPr>
        <w:pStyle w:val="Compact"/>
        <w:numPr>
          <w:ilvl w:val="0"/>
          <w:numId w:val="1012"/>
        </w:numPr>
      </w:pPr>
      <w:r>
        <w:t xml:space="preserve">Machine-learning experimentation.</w:t>
      </w:r>
    </w:p>
    <w:p>
      <w:pPr>
        <w:pStyle w:val="Compact"/>
        <w:numPr>
          <w:ilvl w:val="0"/>
          <w:numId w:val="1012"/>
        </w:numPr>
      </w:pPr>
      <w:r>
        <w:t xml:space="preserve">Feature engineering.</w:t>
      </w:r>
    </w:p>
    <w:p>
      <w:pPr>
        <w:pStyle w:val="Compact"/>
        <w:numPr>
          <w:ilvl w:val="0"/>
          <w:numId w:val="1012"/>
        </w:numPr>
      </w:pPr>
      <w:r>
        <w:t xml:space="preserve">Model preparation.</w:t>
      </w:r>
    </w:p>
    <w:p>
      <w:pPr>
        <w:pStyle w:val="FirstParagraph"/>
      </w:pPr>
      <w:r>
        <w:t xml:space="preserve">The DCoE can therefore become a controlled environment for advanced analytical experimentation without impacting enterprise reporting workloads.</w:t>
      </w:r>
    </w:p>
    <w:p>
      <w:r>
        <w:pict>
          <v:rect style="width:0;height:1.5pt" o:hralign="center" o:hrstd="t" o:hr="t"/>
        </w:pict>
      </w:r>
    </w:p>
    <w:bookmarkEnd w:id="27"/>
    <w:bookmarkEnd w:id="28"/>
    <w:bookmarkStart w:id="30" w:name="X2b7ea75b0fe6d8fcb23c9b7686baf2325ff412d"/>
    <w:p>
      <w:pPr>
        <w:pStyle w:val="Heading1"/>
      </w:pPr>
      <w:r>
        <w:t xml:space="preserve">8. Moving Compute Away from the Dedicated SQL Pool</w:t>
      </w:r>
    </w:p>
    <w:p>
      <w:pPr>
        <w:pStyle w:val="FirstParagraph"/>
      </w:pPr>
      <w:r>
        <w:t xml:space="preserve">This is one of the primary architectural drivers for the initiative.</w:t>
      </w:r>
    </w:p>
    <w:p>
      <w:pPr>
        <w:pStyle w:val="BodyText"/>
      </w:pPr>
      <w:r>
        <w:t xml:space="preserve">The objective is</w:t>
      </w:r>
      <w:r>
        <w:t xml:space="preserve"> </w:t>
      </w:r>
      <w:r>
        <w:rPr>
          <w:b/>
          <w:bCs/>
        </w:rPr>
        <w:t xml:space="preserve">not to eliminate Dedicated SQL Pool usage</w:t>
      </w:r>
      <w:r>
        <w:t xml:space="preserve">. Instead, workloads should be allocated to the compute engine that is most appropriate for their characteristics.</w:t>
      </w:r>
    </w:p>
    <w:bookmarkStart w:id="29" w:name="proposed-workload-allocation"/>
    <w:p>
      <w:pPr>
        <w:pStyle w:val="Heading2"/>
      </w:pPr>
      <w:r>
        <w:t xml:space="preserve">8.1 Proposed Workload Allocation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Workload</w:t>
            </w:r>
          </w:p>
        </w:tc>
        <w:tc>
          <w:tcPr/>
          <w:p>
            <w:pPr>
              <w:pStyle w:val="Compact"/>
            </w:pPr>
            <w:r>
              <w:t xml:space="preserve">Recommended Compute</w:t>
            </w:r>
          </w:p>
        </w:tc>
      </w:tr>
      <w:tr>
        <w:tc>
          <w:tcPr/>
          <w:p>
            <w:pPr>
              <w:pStyle w:val="Compact"/>
            </w:pPr>
            <w:r>
              <w:t xml:space="preserve">Enterprise dimensional warehouse</w:t>
            </w:r>
          </w:p>
        </w:tc>
        <w:tc>
          <w:tcPr/>
          <w:p>
            <w:pPr>
              <w:pStyle w:val="Compact"/>
            </w:pPr>
            <w:r>
              <w:t xml:space="preserve">Dedicated SQL Pool</w:t>
            </w:r>
          </w:p>
        </w:tc>
      </w:tr>
      <w:tr>
        <w:tc>
          <w:tcPr/>
          <w:p>
            <w:pPr>
              <w:pStyle w:val="Compact"/>
            </w:pPr>
            <w:r>
              <w:t xml:space="preserve">Curated relational datasets</w:t>
            </w:r>
          </w:p>
        </w:tc>
        <w:tc>
          <w:tcPr/>
          <w:p>
            <w:pPr>
              <w:pStyle w:val="Compact"/>
            </w:pPr>
            <w:r>
              <w:t xml:space="preserve">Dedicated SQL Pool</w:t>
            </w:r>
          </w:p>
        </w:tc>
      </w:tr>
      <w:tr>
        <w:tc>
          <w:tcPr/>
          <w:p>
            <w:pPr>
              <w:pStyle w:val="Compact"/>
            </w:pPr>
            <w:r>
              <w:t xml:space="preserve">Enterprise reporting</w:t>
            </w:r>
          </w:p>
        </w:tc>
        <w:tc>
          <w:tcPr/>
          <w:p>
            <w:pPr>
              <w:pStyle w:val="Compact"/>
            </w:pPr>
            <w:r>
              <w:t xml:space="preserve">Dedicated SQL Pool</w:t>
            </w:r>
          </w:p>
        </w:tc>
      </w:tr>
      <w:tr>
        <w:tc>
          <w:tcPr/>
          <w:p>
            <w:pPr>
              <w:pStyle w:val="Compact"/>
            </w:pPr>
            <w:r>
              <w:t xml:space="preserve">Standard Power BI semantic models</w:t>
            </w:r>
          </w:p>
        </w:tc>
        <w:tc>
          <w:tcPr/>
          <w:p>
            <w:pPr>
              <w:pStyle w:val="Compact"/>
            </w:pPr>
            <w:r>
              <w:t xml:space="preserve">Dedicated SQL Pool / approved serving layer</w:t>
            </w:r>
          </w:p>
        </w:tc>
      </w:tr>
      <w:tr>
        <w:tc>
          <w:tcPr/>
          <w:p>
            <w:pPr>
              <w:pStyle w:val="Compact"/>
            </w:pPr>
            <w:r>
              <w:t xml:space="preserve">Ad-hoc SQL analysis</w:t>
            </w:r>
          </w:p>
        </w:tc>
        <w:tc>
          <w:tcPr/>
          <w:p>
            <w:pPr>
              <w:pStyle w:val="Compact"/>
            </w:pPr>
            <w:r>
              <w:t xml:space="preserve">Synapse SQL or controlled self-service layer</w:t>
            </w:r>
          </w:p>
        </w:tc>
      </w:tr>
      <w:tr>
        <w:tc>
          <w:tcPr/>
          <w:p>
            <w:pPr>
              <w:pStyle w:val="Compact"/>
            </w:pPr>
            <w:r>
              <w:t xml:space="preserve">Large file processing</w:t>
            </w:r>
          </w:p>
        </w:tc>
        <w:tc>
          <w:tcPr/>
          <w:p>
            <w:pPr>
              <w:pStyle w:val="Compact"/>
            </w:pPr>
            <w:r>
              <w:t xml:space="preserve">Synapse Spark</w:t>
            </w:r>
          </w:p>
        </w:tc>
      </w:tr>
      <w:tr>
        <w:tc>
          <w:tcPr/>
          <w:p>
            <w:pPr>
              <w:pStyle w:val="Compact"/>
            </w:pPr>
            <w:r>
              <w:t xml:space="preserve">PySpark transformation</w:t>
            </w:r>
          </w:p>
        </w:tc>
        <w:tc>
          <w:tcPr/>
          <w:p>
            <w:pPr>
              <w:pStyle w:val="Compact"/>
            </w:pPr>
            <w:r>
              <w:t xml:space="preserve">Synapse Spark</w:t>
            </w:r>
          </w:p>
        </w:tc>
      </w:tr>
      <w:tr>
        <w:tc>
          <w:tcPr/>
          <w:p>
            <w:pPr>
              <w:pStyle w:val="Compact"/>
            </w:pPr>
            <w:r>
              <w:t xml:space="preserve">Data profiling</w:t>
            </w:r>
          </w:p>
        </w:tc>
        <w:tc>
          <w:tcPr/>
          <w:p>
            <w:pPr>
              <w:pStyle w:val="Compact"/>
            </w:pPr>
            <w:r>
              <w:t xml:space="preserve">Synapse Spark</w:t>
            </w:r>
          </w:p>
        </w:tc>
      </w:tr>
      <w:tr>
        <w:tc>
          <w:tcPr/>
          <w:p>
            <w:pPr>
              <w:pStyle w:val="Compact"/>
            </w:pPr>
            <w:r>
              <w:t xml:space="preserve">Data science</w:t>
            </w:r>
          </w:p>
        </w:tc>
        <w:tc>
          <w:tcPr/>
          <w:p>
            <w:pPr>
              <w:pStyle w:val="Compact"/>
            </w:pPr>
            <w:r>
              <w:t xml:space="preserve">Synapse Spark</w:t>
            </w:r>
          </w:p>
        </w:tc>
      </w:tr>
      <w:tr>
        <w:tc>
          <w:tcPr/>
          <w:p>
            <w:pPr>
              <w:pStyle w:val="Compact"/>
            </w:pPr>
            <w:r>
              <w:t xml:space="preserve">Semi-structured processing</w:t>
            </w:r>
          </w:p>
        </w:tc>
        <w:tc>
          <w:tcPr/>
          <w:p>
            <w:pPr>
              <w:pStyle w:val="Compact"/>
            </w:pPr>
            <w:r>
              <w:t xml:space="preserve">Synapse Spark</w:t>
            </w:r>
          </w:p>
        </w:tc>
      </w:tr>
      <w:tr>
        <w:tc>
          <w:tcPr/>
          <w:p>
            <w:pPr>
              <w:pStyle w:val="Compact"/>
            </w:pPr>
            <w:r>
              <w:t xml:space="preserve">Experimental analytics</w:t>
            </w:r>
          </w:p>
        </w:tc>
        <w:tc>
          <w:tcPr/>
          <w:p>
            <w:pPr>
              <w:pStyle w:val="Compact"/>
            </w:pPr>
            <w:r>
              <w:t xml:space="preserve">Synapse Spark</w:t>
            </w:r>
          </w:p>
        </w:tc>
      </w:tr>
      <w:tr>
        <w:tc>
          <w:tcPr/>
          <w:p>
            <w:pPr>
              <w:pStyle w:val="Compact"/>
            </w:pPr>
            <w:r>
              <w:t xml:space="preserve">Temporary analytical datasets</w:t>
            </w:r>
          </w:p>
        </w:tc>
        <w:tc>
          <w:tcPr/>
          <w:p>
            <w:pPr>
              <w:pStyle w:val="Compact"/>
            </w:pPr>
            <w:r>
              <w:t xml:space="preserve">ADLS + Spark</w:t>
            </w:r>
          </w:p>
        </w:tc>
      </w:tr>
      <w:tr>
        <w:tc>
          <w:tcPr/>
          <w:p>
            <w:pPr>
              <w:pStyle w:val="Compact"/>
            </w:pPr>
            <w:r>
              <w:t xml:space="preserve">Productionised relational transformation</w:t>
            </w:r>
          </w:p>
        </w:tc>
        <w:tc>
          <w:tcPr/>
          <w:p>
            <w:pPr>
              <w:pStyle w:val="Compact"/>
            </w:pPr>
            <w:r>
              <w:t xml:space="preserve">Dedicated SQL Pool where appropriate</w:t>
            </w:r>
          </w:p>
        </w:tc>
      </w:tr>
    </w:tbl>
    <w:p>
      <w:pPr>
        <w:pStyle w:val="BodyText"/>
      </w:pPr>
      <w:r>
        <w:t xml:space="preserve">The objective is to prevent the Dedicated SQL Pool from becoming the default compute engine for every analytical requirement.</w:t>
      </w:r>
    </w:p>
    <w:p>
      <w:r>
        <w:pict>
          <v:rect style="width:0;height:1.5pt" o:hralign="center" o:hrstd="t" o:hr="t"/>
        </w:pict>
      </w:r>
    </w:p>
    <w:bookmarkEnd w:id="29"/>
    <w:bookmarkEnd w:id="30"/>
    <w:bookmarkStart w:id="31" w:name="why-moving-compute-matters"/>
    <w:p>
      <w:pPr>
        <w:pStyle w:val="Heading1"/>
      </w:pPr>
      <w:r>
        <w:t xml:space="preserve">9. Why Moving Compute Matters</w:t>
      </w:r>
    </w:p>
    <w:p>
      <w:pPr>
        <w:pStyle w:val="FirstParagraph"/>
      </w:pPr>
      <w:r>
        <w:t xml:space="preserve">Consider a scenario where the Dedicated SQL Pool is simultaneously executing:</w:t>
      </w:r>
    </w:p>
    <w:p>
      <w:pPr>
        <w:pStyle w:val="SourceCode"/>
      </w:pPr>
      <w:r>
        <w:rPr>
          <w:rStyle w:val="VerbatimChar"/>
        </w:rPr>
        <w:t xml:space="preserve">ETL workload</w:t>
      </w:r>
      <w:r>
        <w:br/>
      </w:r>
      <w:r>
        <w:rPr>
          <w:rStyle w:val="VerbatimChar"/>
        </w:rPr>
        <w:t xml:space="preserve">     +</w:t>
      </w:r>
      <w:r>
        <w:br/>
      </w:r>
      <w:r>
        <w:rPr>
          <w:rStyle w:val="VerbatimChar"/>
        </w:rPr>
        <w:t xml:space="preserve">Power BI queries</w:t>
      </w:r>
      <w:r>
        <w:br/>
      </w:r>
      <w:r>
        <w:rPr>
          <w:rStyle w:val="VerbatimChar"/>
        </w:rPr>
        <w:t xml:space="preserve">     +</w:t>
      </w:r>
      <w:r>
        <w:br/>
      </w:r>
      <w:r>
        <w:rPr>
          <w:rStyle w:val="VerbatimChar"/>
        </w:rPr>
        <w:t xml:space="preserve">Business reporting</w:t>
      </w:r>
      <w:r>
        <w:br/>
      </w:r>
      <w:r>
        <w:rPr>
          <w:rStyle w:val="VerbatimChar"/>
        </w:rPr>
        <w:t xml:space="preserve">     +</w:t>
      </w:r>
      <w:r>
        <w:br/>
      </w:r>
      <w:r>
        <w:rPr>
          <w:rStyle w:val="VerbatimChar"/>
        </w:rPr>
        <w:t xml:space="preserve">Ad-hoc SQL</w:t>
      </w:r>
      <w:r>
        <w:br/>
      </w:r>
      <w:r>
        <w:rPr>
          <w:rStyle w:val="VerbatimChar"/>
        </w:rPr>
        <w:t xml:space="preserve">     +</w:t>
      </w:r>
      <w:r>
        <w:br/>
      </w:r>
      <w:r>
        <w:rPr>
          <w:rStyle w:val="VerbatimChar"/>
        </w:rPr>
        <w:t xml:space="preserve">Large analytical joins</w:t>
      </w:r>
      <w:r>
        <w:br/>
      </w:r>
      <w:r>
        <w:rPr>
          <w:rStyle w:val="VerbatimChar"/>
        </w:rPr>
        <w:t xml:space="preserve">     +</w:t>
      </w:r>
      <w:r>
        <w:br/>
      </w:r>
      <w:r>
        <w:rPr>
          <w:rStyle w:val="VerbatimChar"/>
        </w:rPr>
        <w:t xml:space="preserve">Data profiling</w:t>
      </w:r>
    </w:p>
    <w:p>
      <w:pPr>
        <w:pStyle w:val="FirstParagraph"/>
      </w:pPr>
      <w:r>
        <w:t xml:space="preserve">A user running a large exploratory query can potentially consume significant compute resources.</w:t>
      </w:r>
    </w:p>
    <w:p>
      <w:pPr>
        <w:pStyle w:val="BodyText"/>
      </w:pPr>
      <w:r>
        <w:t xml:space="preserve">The proposed model becomes:</w:t>
      </w:r>
    </w:p>
    <w:p>
      <w:pPr>
        <w:pStyle w:val="SourceCode"/>
      </w:pPr>
      <w:r>
        <w:rPr>
          <w:rStyle w:val="VerbatimChar"/>
        </w:rPr>
        <w:t xml:space="preserve">                    Analytical Workloads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Enterprise workloads        Self-service workloads</w:t>
      </w:r>
      <w:r>
        <w:br/>
      </w:r>
      <w:r>
        <w:rPr>
          <w:rStyle w:val="VerbatimChar"/>
        </w:rPr>
        <w:t xml:space="preserve">             |                           |</w:t>
      </w:r>
      <w:r>
        <w:br/>
      </w:r>
      <w:r>
        <w:rPr>
          <w:rStyle w:val="VerbatimChar"/>
        </w:rPr>
        <w:t xml:space="preserve">             v                           v</w:t>
      </w:r>
      <w:r>
        <w:br/>
      </w:r>
      <w:r>
        <w:rPr>
          <w:rStyle w:val="VerbatimChar"/>
        </w:rPr>
        <w:t xml:space="preserve">      Dedicated SQL Pool          Synapse Spark</w:t>
      </w:r>
      <w:r>
        <w:br/>
      </w:r>
      <w:r>
        <w:rPr>
          <w:rStyle w:val="VerbatimChar"/>
        </w:rPr>
        <w:t xml:space="preserve">             |                           |</w:t>
      </w:r>
      <w:r>
        <w:br/>
      </w:r>
      <w:r>
        <w:rPr>
          <w:rStyle w:val="VerbatimChar"/>
        </w:rPr>
        <w:t xml:space="preserve">             v                           v</w:t>
      </w:r>
      <w:r>
        <w:br/>
      </w:r>
      <w:r>
        <w:rPr>
          <w:rStyle w:val="VerbatimChar"/>
        </w:rPr>
        <w:t xml:space="preserve">       Power BI / BI               Notebooks /</w:t>
      </w:r>
      <w:r>
        <w:br/>
      </w:r>
      <w:r>
        <w:rPr>
          <w:rStyle w:val="VerbatimChar"/>
        </w:rPr>
        <w:t xml:space="preserve">       Enterprise BI               PySpark / Analysis</w:t>
      </w:r>
    </w:p>
    <w:p>
      <w:pPr>
        <w:pStyle w:val="FirstParagraph"/>
      </w:pPr>
      <w:r>
        <w:t xml:space="preserve">This introduces</w:t>
      </w:r>
      <w:r>
        <w:t xml:space="preserve"> </w:t>
      </w:r>
      <w:r>
        <w:rPr>
          <w:b/>
          <w:bCs/>
        </w:rPr>
        <w:t xml:space="preserve">compute separation</w:t>
      </w:r>
      <w:r>
        <w:t xml:space="preserve">.</w:t>
      </w:r>
    </w:p>
    <w:p>
      <w:pPr>
        <w:pStyle w:val="BodyText"/>
      </w:pPr>
      <w:r>
        <w:t xml:space="preserve">The benefit is not necessarily that every Spark workload will be faster than SQL. The benefit is that appropriate workloads can be executed without competing directly for Dedicated SQL Pool resources.</w:t>
      </w:r>
    </w:p>
    <w:p>
      <w:r>
        <w:pict>
          <v:rect style="width:0;height:1.5pt" o:hralign="center" o:hrstd="t" o:hr="t"/>
        </w:pict>
      </w:r>
    </w:p>
    <w:bookmarkEnd w:id="31"/>
    <w:bookmarkStart w:id="32" w:name="X51485804807244ad817c50d3710d12dff2d205c"/>
    <w:p>
      <w:pPr>
        <w:pStyle w:val="Heading1"/>
      </w:pPr>
      <w:r>
        <w:t xml:space="preserve">10. Dedicated SQL Pool Remains a Strategic Component</w:t>
      </w:r>
    </w:p>
    <w:p>
      <w:pPr>
        <w:pStyle w:val="FirstParagraph"/>
      </w:pPr>
      <w:r>
        <w:t xml:space="preserve">The adoption of Synapse Workspace should not be positioned as a replacement for Dedicated SQL Pool.</w:t>
      </w:r>
    </w:p>
    <w:p>
      <w:pPr>
        <w:pStyle w:val="BodyText"/>
      </w:pPr>
      <w:r>
        <w:t xml:space="preserve">Dedicated SQL Pool should continue to provide:</w:t>
      </w:r>
    </w:p>
    <w:p>
      <w:pPr>
        <w:pStyle w:val="Compact"/>
        <w:numPr>
          <w:ilvl w:val="0"/>
          <w:numId w:val="1013"/>
        </w:numPr>
      </w:pPr>
      <w:r>
        <w:t xml:space="preserve">Enterprise dimensional models.</w:t>
      </w:r>
    </w:p>
    <w:p>
      <w:pPr>
        <w:pStyle w:val="Compact"/>
        <w:numPr>
          <w:ilvl w:val="0"/>
          <w:numId w:val="1013"/>
        </w:numPr>
      </w:pPr>
      <w:r>
        <w:t xml:space="preserve">Curated analytical datasets.</w:t>
      </w:r>
    </w:p>
    <w:p>
      <w:pPr>
        <w:pStyle w:val="Compact"/>
        <w:numPr>
          <w:ilvl w:val="0"/>
          <w:numId w:val="1013"/>
        </w:numPr>
      </w:pPr>
      <w:r>
        <w:t xml:space="preserve">Standardised business logic.</w:t>
      </w:r>
    </w:p>
    <w:p>
      <w:pPr>
        <w:pStyle w:val="Compact"/>
        <w:numPr>
          <w:ilvl w:val="0"/>
          <w:numId w:val="1013"/>
        </w:numPr>
      </w:pPr>
      <w:r>
        <w:t xml:space="preserve">Enterprise reporting.</w:t>
      </w:r>
    </w:p>
    <w:p>
      <w:pPr>
        <w:pStyle w:val="Compact"/>
        <w:numPr>
          <w:ilvl w:val="0"/>
          <w:numId w:val="1013"/>
        </w:numPr>
      </w:pPr>
      <w:r>
        <w:t xml:space="preserve">Governed relational data.</w:t>
      </w:r>
    </w:p>
    <w:p>
      <w:pPr>
        <w:pStyle w:val="Compact"/>
        <w:numPr>
          <w:ilvl w:val="0"/>
          <w:numId w:val="1013"/>
        </w:numPr>
      </w:pPr>
      <w:r>
        <w:t xml:space="preserve">High-value production workloads.</w:t>
      </w:r>
    </w:p>
    <w:p>
      <w:pPr>
        <w:pStyle w:val="Compact"/>
        <w:numPr>
          <w:ilvl w:val="0"/>
          <w:numId w:val="1013"/>
        </w:numPr>
      </w:pPr>
      <w:r>
        <w:t xml:space="preserve">Stable Power BI serving structures.</w:t>
      </w:r>
    </w:p>
    <w:p>
      <w:pPr>
        <w:pStyle w:val="Compact"/>
        <w:numPr>
          <w:ilvl w:val="0"/>
          <w:numId w:val="1013"/>
        </w:numPr>
      </w:pPr>
      <w:r>
        <w:t xml:space="preserve">Controlled data products.</w:t>
      </w:r>
    </w:p>
    <w:p>
      <w:pPr>
        <w:pStyle w:val="FirstParagraph"/>
      </w:pPr>
      <w:r>
        <w:t xml:space="preserve">Synapse Spark should complement this capability.</w:t>
      </w:r>
    </w:p>
    <w:p>
      <w:pPr>
        <w:pStyle w:val="BodyText"/>
      </w:pPr>
      <w:r>
        <w:t xml:space="preserve">The target architecture is therefore:</w:t>
      </w:r>
    </w:p>
    <w:p>
      <w:pPr>
        <w:pStyle w:val="BodyText"/>
      </w:pPr>
      <w:r>
        <w:rPr>
          <w:b/>
          <w:bCs/>
        </w:rPr>
        <w:t xml:space="preserve">SQL for governed relational serving + Spark for scalable analytical processing.</w:t>
      </w:r>
    </w:p>
    <w:p>
      <w:r>
        <w:pict>
          <v:rect style="width:0;height:1.5pt" o:hralign="center" o:hrstd="t" o:hr="t"/>
        </w:pict>
      </w:r>
    </w:p>
    <w:bookmarkEnd w:id="32"/>
    <w:bookmarkStart w:id="35" w:name="synapse-workspace-governance-model"/>
    <w:p>
      <w:pPr>
        <w:pStyle w:val="Heading1"/>
      </w:pPr>
      <w:r>
        <w:t xml:space="preserve">11. Synapse Workspace Governance Model</w:t>
      </w:r>
    </w:p>
    <w:p>
      <w:pPr>
        <w:pStyle w:val="FirstParagraph"/>
      </w:pPr>
      <w:r>
        <w:t xml:space="preserve">Self-service does not mean unrestricted access.</w:t>
      </w:r>
    </w:p>
    <w:p>
      <w:pPr>
        <w:pStyle w:val="BodyText"/>
      </w:pPr>
      <w:r>
        <w:t xml:space="preserve">The proposed model should introduce several governance layers.</w:t>
      </w:r>
    </w:p>
    <w:bookmarkStart w:id="33" w:name="workspace-structure"/>
    <w:p>
      <w:pPr>
        <w:pStyle w:val="Heading2"/>
      </w:pPr>
      <w:r>
        <w:t xml:space="preserve">11.1 Workspace Structure</w:t>
      </w:r>
    </w:p>
    <w:p>
      <w:pPr>
        <w:pStyle w:val="FirstParagraph"/>
      </w:pPr>
      <w:r>
        <w:t xml:space="preserve">Initially:</w:t>
      </w:r>
    </w:p>
    <w:p>
      <w:pPr>
        <w:pStyle w:val="SourceCode"/>
      </w:pPr>
      <w:r>
        <w:rPr>
          <w:rStyle w:val="VerbatimChar"/>
        </w:rPr>
        <w:t xml:space="preserve">ABC Insurance Synapse Platform</w:t>
      </w:r>
      <w:r>
        <w:br/>
      </w:r>
      <w:r>
        <w:rPr>
          <w:rStyle w:val="VerbatimChar"/>
        </w:rPr>
        <w:t xml:space="preserve">             |</w:t>
      </w:r>
      <w:r>
        <w:br/>
      </w:r>
      <w:r>
        <w:rPr>
          <w:rStyle w:val="VerbatimChar"/>
        </w:rPr>
        <w:t xml:space="preserve">             +-- DCoE Self-Service Workspace</w:t>
      </w:r>
      <w:r>
        <w:br/>
      </w:r>
      <w:r>
        <w:rPr>
          <w:rStyle w:val="VerbatimChar"/>
        </w:rPr>
        <w:t xml:space="preserve">             |</w:t>
      </w:r>
      <w:r>
        <w:br/>
      </w:r>
      <w:r>
        <w:rPr>
          <w:rStyle w:val="VerbatimChar"/>
        </w:rPr>
        <w:t xml:space="preserve">             +-- Enterprise Data Workspace</w:t>
      </w:r>
      <w:r>
        <w:br/>
      </w:r>
      <w:r>
        <w:rPr>
          <w:rStyle w:val="VerbatimChar"/>
        </w:rPr>
        <w:t xml:space="preserve">             |</w:t>
      </w:r>
      <w:r>
        <w:br/>
      </w:r>
      <w:r>
        <w:rPr>
          <w:rStyle w:val="VerbatimChar"/>
        </w:rPr>
        <w:t xml:space="preserve">             +-- Future Department Workspaces</w:t>
      </w:r>
    </w:p>
    <w:p>
      <w:pPr>
        <w:pStyle w:val="FirstParagraph"/>
      </w:pPr>
      <w:r>
        <w:t xml:space="preserve">The DCoE workspace should be treated as a pilot and reference implementation.</w:t>
      </w:r>
    </w:p>
    <w:p>
      <w:r>
        <w:pict>
          <v:rect style="width:0;height:1.5pt" o:hralign="center" o:hrstd="t" o:hr="t"/>
        </w:pict>
      </w:r>
    </w:p>
    <w:bookmarkEnd w:id="33"/>
    <w:bookmarkStart w:id="34" w:name="security-groups"/>
    <w:p>
      <w:pPr>
        <w:pStyle w:val="Heading2"/>
      </w:pPr>
      <w:r>
        <w:t xml:space="preserve">11.2 Security Groups</w:t>
      </w:r>
    </w:p>
    <w:p>
      <w:pPr>
        <w:pStyle w:val="FirstParagraph"/>
      </w:pPr>
      <w:r>
        <w:t xml:space="preserve">Access should preferably be controlled using Microsoft Entra ID groups rather than individual user permissions.</w:t>
      </w:r>
    </w:p>
    <w:p>
      <w:pPr>
        <w:pStyle w:val="BodyText"/>
      </w:pPr>
      <w:r>
        <w:t xml:space="preserve">Example:</w:t>
      </w:r>
    </w:p>
    <w:p>
      <w:pPr>
        <w:pStyle w:val="SourceCode"/>
      </w:pPr>
      <w:r>
        <w:rPr>
          <w:rStyle w:val="VerbatimChar"/>
        </w:rPr>
        <w:t xml:space="preserve">SG-Synapse-DCoE-Readers</w:t>
      </w:r>
      <w:r>
        <w:br/>
      </w:r>
      <w:r>
        <w:rPr>
          <w:rStyle w:val="VerbatimChar"/>
        </w:rPr>
        <w:t xml:space="preserve">SG-Synapse-DCoE-Contributors</w:t>
      </w:r>
      <w:r>
        <w:br/>
      </w:r>
      <w:r>
        <w:rPr>
          <w:rStyle w:val="VerbatimChar"/>
        </w:rPr>
        <w:t xml:space="preserve">SG-Synapse-DCoE-Developers</w:t>
      </w:r>
      <w:r>
        <w:br/>
      </w:r>
      <w:r>
        <w:rPr>
          <w:rStyle w:val="VerbatimChar"/>
        </w:rPr>
        <w:t xml:space="preserve">SG-Synapse-DCoE-Administrators</w:t>
      </w:r>
    </w:p>
    <w:p>
      <w:pPr>
        <w:pStyle w:val="FirstParagraph"/>
      </w:pPr>
      <w:r>
        <w:t xml:space="preserve">Access should follow least-privilege principles.</w:t>
      </w:r>
    </w:p>
    <w:p>
      <w:r>
        <w:pict>
          <v:rect style="width:0;height:1.5pt" o:hralign="center" o:hrstd="t" o:hr="t"/>
        </w:pict>
      </w:r>
    </w:p>
    <w:bookmarkEnd w:id="34"/>
    <w:bookmarkEnd w:id="35"/>
    <w:bookmarkStart w:id="39" w:name="data-access-model"/>
    <w:p>
      <w:pPr>
        <w:pStyle w:val="Heading1"/>
      </w:pPr>
      <w:r>
        <w:t xml:space="preserve">12. Data Access Model</w:t>
      </w:r>
    </w:p>
    <w:p>
      <w:pPr>
        <w:pStyle w:val="FirstParagraph"/>
      </w:pPr>
      <w:r>
        <w:t xml:space="preserve">A three-level data access model is recommended.</w:t>
      </w:r>
    </w:p>
    <w:bookmarkStart w:id="36" w:name="level-1-certified-enterprise-data"/>
    <w:p>
      <w:pPr>
        <w:pStyle w:val="Heading3"/>
      </w:pPr>
      <w:r>
        <w:t xml:space="preserve">Level 1 – Certified Enterprise Data</w:t>
      </w:r>
    </w:p>
    <w:p>
      <w:pPr>
        <w:pStyle w:val="FirstParagraph"/>
      </w:pPr>
      <w:r>
        <w:t xml:space="preserve">Data that has been approved and documented for self-service consumption.</w:t>
      </w:r>
    </w:p>
    <w:p>
      <w:pPr>
        <w:pStyle w:val="BodyText"/>
      </w:pPr>
      <w:r>
        <w:t xml:space="preserve">Examples:</w:t>
      </w:r>
    </w:p>
    <w:p>
      <w:pPr>
        <w:pStyle w:val="Compact"/>
        <w:numPr>
          <w:ilvl w:val="0"/>
          <w:numId w:val="1014"/>
        </w:numPr>
      </w:pPr>
      <w:r>
        <w:t xml:space="preserve">Customer.</w:t>
      </w:r>
    </w:p>
    <w:p>
      <w:pPr>
        <w:pStyle w:val="Compact"/>
        <w:numPr>
          <w:ilvl w:val="0"/>
          <w:numId w:val="1014"/>
        </w:numPr>
      </w:pPr>
      <w:r>
        <w:t xml:space="preserve">Policy.</w:t>
      </w:r>
    </w:p>
    <w:p>
      <w:pPr>
        <w:pStyle w:val="Compact"/>
        <w:numPr>
          <w:ilvl w:val="0"/>
          <w:numId w:val="1014"/>
        </w:numPr>
      </w:pPr>
      <w:r>
        <w:t xml:space="preserve">Claim.</w:t>
      </w:r>
    </w:p>
    <w:p>
      <w:pPr>
        <w:pStyle w:val="Compact"/>
        <w:numPr>
          <w:ilvl w:val="0"/>
          <w:numId w:val="1014"/>
        </w:numPr>
      </w:pPr>
      <w:r>
        <w:t xml:space="preserve">Product.</w:t>
      </w:r>
    </w:p>
    <w:p>
      <w:pPr>
        <w:pStyle w:val="Compact"/>
        <w:numPr>
          <w:ilvl w:val="0"/>
          <w:numId w:val="1014"/>
        </w:numPr>
      </w:pPr>
      <w:r>
        <w:t xml:space="preserve">Broker.</w:t>
      </w:r>
    </w:p>
    <w:p>
      <w:pPr>
        <w:pStyle w:val="Compact"/>
        <w:numPr>
          <w:ilvl w:val="0"/>
          <w:numId w:val="1014"/>
        </w:numPr>
      </w:pPr>
      <w:r>
        <w:t xml:space="preserve">Finance.</w:t>
      </w:r>
    </w:p>
    <w:bookmarkEnd w:id="36"/>
    <w:bookmarkStart w:id="37" w:name="level-2-controlled-analytical-data"/>
    <w:p>
      <w:pPr>
        <w:pStyle w:val="Heading3"/>
      </w:pPr>
      <w:r>
        <w:t xml:space="preserve">Level 2 – Controlled Analytical Data</w:t>
      </w:r>
    </w:p>
    <w:p>
      <w:pPr>
        <w:pStyle w:val="FirstParagraph"/>
      </w:pPr>
      <w:r>
        <w:t xml:space="preserve">Datasets made available to DCoE for analysis but not necessarily certified for enterprise reporting.</w:t>
      </w:r>
    </w:p>
    <w:bookmarkEnd w:id="37"/>
    <w:bookmarkStart w:id="38" w:name="level-3-restricted-data"/>
    <w:p>
      <w:pPr>
        <w:pStyle w:val="Heading3"/>
      </w:pPr>
      <w:r>
        <w:t xml:space="preserve">Level 3 – Restricted Data</w:t>
      </w:r>
    </w:p>
    <w:p>
      <w:pPr>
        <w:pStyle w:val="FirstParagraph"/>
      </w:pPr>
      <w:r>
        <w:t xml:space="preserve">Sensitive or regulated data requiring additional controls.</w:t>
      </w:r>
    </w:p>
    <w:p>
      <w:pPr>
        <w:pStyle w:val="BodyText"/>
      </w:pPr>
      <w:r>
        <w:t xml:space="preserve">Users should not automatically receive unrestricted access to source-level insurance data.</w:t>
      </w:r>
    </w:p>
    <w:p>
      <w:r>
        <w:pict>
          <v:rect style="width:0;height:1.5pt" o:hralign="center" o:hrstd="t" o:hr="t"/>
        </w:pict>
      </w:r>
    </w:p>
    <w:bookmarkEnd w:id="38"/>
    <w:bookmarkEnd w:id="39"/>
    <w:bookmarkStart w:id="40" w:name="data-classification"/>
    <w:p>
      <w:pPr>
        <w:pStyle w:val="Heading1"/>
      </w:pPr>
      <w:r>
        <w:t xml:space="preserve">13. Data Classification</w:t>
      </w:r>
    </w:p>
    <w:p>
      <w:pPr>
        <w:pStyle w:val="FirstParagraph"/>
      </w:pPr>
      <w:r>
        <w:t xml:space="preserve">The workspace should integrate with ABC Insurance’s existing data classification standards.</w:t>
      </w:r>
    </w:p>
    <w:p>
      <w:pPr>
        <w:pStyle w:val="BodyText"/>
      </w:pPr>
      <w:r>
        <w:t xml:space="preserve">Data should be classified according to characteristics such as:</w:t>
      </w:r>
    </w:p>
    <w:p>
      <w:pPr>
        <w:pStyle w:val="Compact"/>
        <w:numPr>
          <w:ilvl w:val="0"/>
          <w:numId w:val="1015"/>
        </w:numPr>
      </w:pPr>
      <w:r>
        <w:t xml:space="preserve">Public.</w:t>
      </w:r>
    </w:p>
    <w:p>
      <w:pPr>
        <w:pStyle w:val="Compact"/>
        <w:numPr>
          <w:ilvl w:val="0"/>
          <w:numId w:val="1015"/>
        </w:numPr>
      </w:pPr>
      <w:r>
        <w:t xml:space="preserve">Internal.</w:t>
      </w:r>
    </w:p>
    <w:p>
      <w:pPr>
        <w:pStyle w:val="Compact"/>
        <w:numPr>
          <w:ilvl w:val="0"/>
          <w:numId w:val="1015"/>
        </w:numPr>
      </w:pPr>
      <w:r>
        <w:t xml:space="preserve">Confidential.</w:t>
      </w:r>
    </w:p>
    <w:p>
      <w:pPr>
        <w:pStyle w:val="Compact"/>
        <w:numPr>
          <w:ilvl w:val="0"/>
          <w:numId w:val="1015"/>
        </w:numPr>
      </w:pPr>
      <w:r>
        <w:t xml:space="preserve">Highly Confidential.</w:t>
      </w:r>
    </w:p>
    <w:p>
      <w:pPr>
        <w:pStyle w:val="Compact"/>
        <w:numPr>
          <w:ilvl w:val="0"/>
          <w:numId w:val="1015"/>
        </w:numPr>
      </w:pPr>
      <w:r>
        <w:t xml:space="preserve">Personally identifiable information.</w:t>
      </w:r>
    </w:p>
    <w:p>
      <w:pPr>
        <w:pStyle w:val="Compact"/>
        <w:numPr>
          <w:ilvl w:val="0"/>
          <w:numId w:val="1015"/>
        </w:numPr>
      </w:pPr>
      <w:r>
        <w:t xml:space="preserve">Financially sensitive information.</w:t>
      </w:r>
    </w:p>
    <w:p>
      <w:pPr>
        <w:pStyle w:val="Compact"/>
        <w:numPr>
          <w:ilvl w:val="0"/>
          <w:numId w:val="1015"/>
        </w:numPr>
      </w:pPr>
      <w:r>
        <w:t xml:space="preserve">Insurance/customer-sensitive information.</w:t>
      </w:r>
    </w:p>
    <w:p>
      <w:pPr>
        <w:pStyle w:val="FirstParagraph"/>
      </w:pPr>
      <w:r>
        <w:t xml:space="preserve">The DCoE workspace should not become a mechanism for bypassing existing information-security controls.</w:t>
      </w:r>
    </w:p>
    <w:p>
      <w:r>
        <w:pict>
          <v:rect style="width:0;height:1.5pt" o:hralign="center" o:hrstd="t" o:hr="t"/>
        </w:pict>
      </w:r>
    </w:p>
    <w:bookmarkEnd w:id="40"/>
    <w:bookmarkStart w:id="43" w:name="development-standards"/>
    <w:p>
      <w:pPr>
        <w:pStyle w:val="Heading1"/>
      </w:pPr>
      <w:r>
        <w:t xml:space="preserve">14. Development Standards</w:t>
      </w:r>
    </w:p>
    <w:p>
      <w:pPr>
        <w:pStyle w:val="FirstParagraph"/>
      </w:pPr>
      <w:r>
        <w:t xml:space="preserve">DCoE users should follow common engineering standards.</w:t>
      </w:r>
    </w:p>
    <w:p>
      <w:pPr>
        <w:pStyle w:val="BodyText"/>
      </w:pPr>
      <w:r>
        <w:t xml:space="preserve">Recommended standards include:</w:t>
      </w:r>
    </w:p>
    <w:bookmarkStart w:id="41" w:name="notebook-standards"/>
    <w:p>
      <w:pPr>
        <w:pStyle w:val="Heading3"/>
      </w:pPr>
      <w:r>
        <w:t xml:space="preserve">Notebook standards</w:t>
      </w:r>
    </w:p>
    <w:p>
      <w:pPr>
        <w:pStyle w:val="Compact"/>
        <w:numPr>
          <w:ilvl w:val="0"/>
          <w:numId w:val="1016"/>
        </w:numPr>
      </w:pPr>
      <w:r>
        <w:t xml:space="preserve">Clear notebook naming.</w:t>
      </w:r>
    </w:p>
    <w:p>
      <w:pPr>
        <w:pStyle w:val="Compact"/>
        <w:numPr>
          <w:ilvl w:val="0"/>
          <w:numId w:val="1016"/>
        </w:numPr>
      </w:pPr>
      <w:r>
        <w:t xml:space="preserve">Standard headers.</w:t>
      </w:r>
    </w:p>
    <w:p>
      <w:pPr>
        <w:pStyle w:val="Compact"/>
        <w:numPr>
          <w:ilvl w:val="0"/>
          <w:numId w:val="1016"/>
        </w:numPr>
      </w:pPr>
      <w:r>
        <w:t xml:space="preserve">Purpose and owner.</w:t>
      </w:r>
    </w:p>
    <w:p>
      <w:pPr>
        <w:pStyle w:val="Compact"/>
        <w:numPr>
          <w:ilvl w:val="0"/>
          <w:numId w:val="1016"/>
        </w:numPr>
      </w:pPr>
      <w:r>
        <w:t xml:space="preserve">Source datasets.</w:t>
      </w:r>
    </w:p>
    <w:p>
      <w:pPr>
        <w:pStyle w:val="Compact"/>
        <w:numPr>
          <w:ilvl w:val="0"/>
          <w:numId w:val="1016"/>
        </w:numPr>
      </w:pPr>
      <w:r>
        <w:t xml:space="preserve">Target datasets.</w:t>
      </w:r>
    </w:p>
    <w:p>
      <w:pPr>
        <w:pStyle w:val="Compact"/>
        <w:numPr>
          <w:ilvl w:val="0"/>
          <w:numId w:val="1016"/>
        </w:numPr>
      </w:pPr>
      <w:r>
        <w:t xml:space="preserve">Business rules.</w:t>
      </w:r>
    </w:p>
    <w:p>
      <w:pPr>
        <w:pStyle w:val="Compact"/>
        <w:numPr>
          <w:ilvl w:val="0"/>
          <w:numId w:val="1016"/>
        </w:numPr>
      </w:pPr>
      <w:r>
        <w:t xml:space="preserve">Dependencies.</w:t>
      </w:r>
    </w:p>
    <w:p>
      <w:pPr>
        <w:pStyle w:val="Compact"/>
        <w:numPr>
          <w:ilvl w:val="0"/>
          <w:numId w:val="1016"/>
        </w:numPr>
      </w:pPr>
      <w:r>
        <w:t xml:space="preserve">Runtime requirements.</w:t>
      </w:r>
    </w:p>
    <w:p>
      <w:pPr>
        <w:pStyle w:val="Compact"/>
        <w:numPr>
          <w:ilvl w:val="0"/>
          <w:numId w:val="1016"/>
        </w:numPr>
      </w:pPr>
      <w:r>
        <w:t xml:space="preserve">Error handling.</w:t>
      </w:r>
    </w:p>
    <w:p>
      <w:pPr>
        <w:pStyle w:val="Compact"/>
        <w:numPr>
          <w:ilvl w:val="0"/>
          <w:numId w:val="1016"/>
        </w:numPr>
      </w:pPr>
      <w:r>
        <w:t xml:space="preserve">Logging.</w:t>
      </w:r>
    </w:p>
    <w:p>
      <w:pPr>
        <w:pStyle w:val="Compact"/>
        <w:numPr>
          <w:ilvl w:val="0"/>
          <w:numId w:val="1016"/>
        </w:numPr>
      </w:pPr>
      <w:r>
        <w:t xml:space="preserve">Documentation.</w:t>
      </w:r>
    </w:p>
    <w:bookmarkEnd w:id="41"/>
    <w:bookmarkStart w:id="42" w:name="pyspark-standards"/>
    <w:p>
      <w:pPr>
        <w:pStyle w:val="Heading3"/>
      </w:pPr>
      <w:r>
        <w:t xml:space="preserve">PySpark standards</w:t>
      </w:r>
    </w:p>
    <w:p>
      <w:pPr>
        <w:pStyle w:val="Compact"/>
        <w:numPr>
          <w:ilvl w:val="0"/>
          <w:numId w:val="1017"/>
        </w:numPr>
      </w:pPr>
      <w:r>
        <w:t xml:space="preserve">Avoid unnecessary collection to the driver.</w:t>
      </w:r>
    </w:p>
    <w:p>
      <w:pPr>
        <w:pStyle w:val="Compact"/>
        <w:numPr>
          <w:ilvl w:val="0"/>
          <w:numId w:val="1017"/>
        </w:numPr>
      </w:pPr>
      <w:r>
        <w:t xml:space="preserve">Avoid uncontrolled</w:t>
      </w:r>
      <w:r>
        <w:t xml:space="preserve"> </w:t>
      </w:r>
      <w:r>
        <w:rPr>
          <w:rStyle w:val="VerbatimChar"/>
        </w:rPr>
        <w:t xml:space="preserve">crossJoin</w:t>
      </w:r>
      <w:r>
        <w:t xml:space="preserve">.</w:t>
      </w:r>
    </w:p>
    <w:p>
      <w:pPr>
        <w:pStyle w:val="Compact"/>
        <w:numPr>
          <w:ilvl w:val="0"/>
          <w:numId w:val="1017"/>
        </w:numPr>
      </w:pPr>
      <w:r>
        <w:t xml:space="preserve">Use appropriate partitioning.</w:t>
      </w:r>
    </w:p>
    <w:p>
      <w:pPr>
        <w:pStyle w:val="Compact"/>
        <w:numPr>
          <w:ilvl w:val="0"/>
          <w:numId w:val="1017"/>
        </w:numPr>
      </w:pPr>
      <w:r>
        <w:t xml:space="preserve">Avoid repeated scans.</w:t>
      </w:r>
    </w:p>
    <w:p>
      <w:pPr>
        <w:pStyle w:val="Compact"/>
        <w:numPr>
          <w:ilvl w:val="0"/>
          <w:numId w:val="1017"/>
        </w:numPr>
      </w:pPr>
      <w:r>
        <w:t xml:space="preserve">Use Parquet/Delta where appropriate.</w:t>
      </w:r>
    </w:p>
    <w:p>
      <w:pPr>
        <w:pStyle w:val="Compact"/>
        <w:numPr>
          <w:ilvl w:val="0"/>
          <w:numId w:val="1017"/>
        </w:numPr>
      </w:pPr>
      <w:r>
        <w:t xml:space="preserve">Avoid hard-coded credentials.</w:t>
      </w:r>
    </w:p>
    <w:p>
      <w:pPr>
        <w:pStyle w:val="Compact"/>
        <w:numPr>
          <w:ilvl w:val="0"/>
          <w:numId w:val="1017"/>
        </w:numPr>
      </w:pPr>
      <w:r>
        <w:t xml:space="preserve">Externalise configuration.</w:t>
      </w:r>
    </w:p>
    <w:p>
      <w:pPr>
        <w:pStyle w:val="Compact"/>
        <w:numPr>
          <w:ilvl w:val="0"/>
          <w:numId w:val="1017"/>
        </w:numPr>
      </w:pPr>
      <w:r>
        <w:t xml:space="preserve">Reuse common libraries.</w:t>
      </w:r>
    </w:p>
    <w:p>
      <w:pPr>
        <w:pStyle w:val="Compact"/>
        <w:numPr>
          <w:ilvl w:val="0"/>
          <w:numId w:val="1017"/>
        </w:numPr>
      </w:pPr>
      <w:r>
        <w:t xml:space="preserve">Monitor Spark jobs.</w:t>
      </w:r>
    </w:p>
    <w:p>
      <w:r>
        <w:pict>
          <v:rect style="width:0;height:1.5pt" o:hralign="center" o:hrstd="t" o:hr="t"/>
        </w:pict>
      </w:r>
    </w:p>
    <w:bookmarkEnd w:id="42"/>
    <w:bookmarkEnd w:id="43"/>
    <w:bookmarkStart w:id="44" w:name="git-and-devops"/>
    <w:p>
      <w:pPr>
        <w:pStyle w:val="Heading1"/>
      </w:pPr>
      <w:r>
        <w:t xml:space="preserve">15. Git and DevOps</w:t>
      </w:r>
    </w:p>
    <w:p>
      <w:pPr>
        <w:pStyle w:val="FirstParagraph"/>
      </w:pPr>
      <w:r>
        <w:t xml:space="preserve">Synapse notebooks should be managed through source control wherever practical.</w:t>
      </w:r>
    </w:p>
    <w:p>
      <w:pPr>
        <w:pStyle w:val="BodyText"/>
      </w:pPr>
      <w:r>
        <w:t xml:space="preserve">Recommended approach:</w:t>
      </w:r>
    </w:p>
    <w:p>
      <w:pPr>
        <w:pStyle w:val="SourceCode"/>
      </w:pPr>
      <w:r>
        <w:rPr>
          <w:rStyle w:val="VerbatimChar"/>
        </w:rPr>
        <w:t xml:space="preserve">Developer</w:t>
      </w:r>
      <w:r>
        <w:br/>
      </w:r>
      <w:r>
        <w:rPr>
          <w:rStyle w:val="VerbatimChar"/>
        </w:rPr>
        <w:t xml:space="preserve">    |</w:t>
      </w:r>
      <w:r>
        <w:br/>
      </w:r>
      <w:r>
        <w:rPr>
          <w:rStyle w:val="VerbatimChar"/>
        </w:rPr>
        <w:t xml:space="preserve">    v</w:t>
      </w:r>
      <w:r>
        <w:br/>
      </w:r>
      <w:r>
        <w:rPr>
          <w:rStyle w:val="VerbatimChar"/>
        </w:rPr>
        <w:t xml:space="preserve">Git Branch</w:t>
      </w:r>
      <w:r>
        <w:br/>
      </w:r>
      <w:r>
        <w:rPr>
          <w:rStyle w:val="VerbatimChar"/>
        </w:rPr>
        <w:t xml:space="preserve">    |</w:t>
      </w:r>
      <w:r>
        <w:br/>
      </w:r>
      <w:r>
        <w:rPr>
          <w:rStyle w:val="VerbatimChar"/>
        </w:rPr>
        <w:t xml:space="preserve">    v</w:t>
      </w:r>
      <w:r>
        <w:br/>
      </w:r>
      <w:r>
        <w:rPr>
          <w:rStyle w:val="VerbatimChar"/>
        </w:rPr>
        <w:t xml:space="preserve">Development Workspace</w:t>
      </w:r>
      <w:r>
        <w:br/>
      </w:r>
      <w:r>
        <w:rPr>
          <w:rStyle w:val="VerbatimChar"/>
        </w:rPr>
        <w:t xml:space="preserve">    |</w:t>
      </w:r>
      <w:r>
        <w:br/>
      </w:r>
      <w:r>
        <w:rPr>
          <w:rStyle w:val="VerbatimChar"/>
        </w:rPr>
        <w:t xml:space="preserve">    v</w:t>
      </w:r>
      <w:r>
        <w:br/>
      </w:r>
      <w:r>
        <w:rPr>
          <w:rStyle w:val="VerbatimChar"/>
        </w:rPr>
        <w:t xml:space="preserve">Pull Request</w:t>
      </w:r>
      <w:r>
        <w:br/>
      </w:r>
      <w:r>
        <w:rPr>
          <w:rStyle w:val="VerbatimChar"/>
        </w:rPr>
        <w:t xml:space="preserve">    |</w:t>
      </w:r>
      <w:r>
        <w:br/>
      </w:r>
      <w:r>
        <w:rPr>
          <w:rStyle w:val="VerbatimChar"/>
        </w:rPr>
        <w:t xml:space="preserve">    v</w:t>
      </w:r>
      <w:r>
        <w:br/>
      </w:r>
      <w:r>
        <w:rPr>
          <w:rStyle w:val="VerbatimChar"/>
        </w:rPr>
        <w:t xml:space="preserve">Test</w:t>
      </w:r>
      <w:r>
        <w:br/>
      </w:r>
      <w:r>
        <w:rPr>
          <w:rStyle w:val="VerbatimChar"/>
        </w:rPr>
        <w:t xml:space="preserve">    |</w:t>
      </w:r>
      <w:r>
        <w:br/>
      </w:r>
      <w:r>
        <w:rPr>
          <w:rStyle w:val="VerbatimChar"/>
        </w:rPr>
        <w:t xml:space="preserve">    v</w:t>
      </w:r>
      <w:r>
        <w:br/>
      </w:r>
      <w:r>
        <w:rPr>
          <w:rStyle w:val="VerbatimChar"/>
        </w:rPr>
        <w:t xml:space="preserve">Production / Approved Workspace</w:t>
      </w:r>
    </w:p>
    <w:p>
      <w:pPr>
        <w:pStyle w:val="FirstParagraph"/>
      </w:pPr>
      <w:r>
        <w:t xml:space="preserve">This prevents the self-service environment from becoming an uncontrolled collection of notebooks.</w:t>
      </w:r>
    </w:p>
    <w:p>
      <w:pPr>
        <w:pStyle w:val="BodyText"/>
      </w:pPr>
      <w:r>
        <w:t xml:space="preserve">DCoE should establish:</w:t>
      </w:r>
    </w:p>
    <w:p>
      <w:pPr>
        <w:pStyle w:val="Compact"/>
        <w:numPr>
          <w:ilvl w:val="0"/>
          <w:numId w:val="1018"/>
        </w:numPr>
      </w:pPr>
      <w:r>
        <w:t xml:space="preserve">Naming standards.</w:t>
      </w:r>
    </w:p>
    <w:p>
      <w:pPr>
        <w:pStyle w:val="Compact"/>
        <w:numPr>
          <w:ilvl w:val="0"/>
          <w:numId w:val="1018"/>
        </w:numPr>
      </w:pPr>
      <w:r>
        <w:t xml:space="preserve">Branching standards.</w:t>
      </w:r>
    </w:p>
    <w:p>
      <w:pPr>
        <w:pStyle w:val="Compact"/>
        <w:numPr>
          <w:ilvl w:val="0"/>
          <w:numId w:val="1018"/>
        </w:numPr>
      </w:pPr>
      <w:r>
        <w:t xml:space="preserve">Pull-request requirements.</w:t>
      </w:r>
    </w:p>
    <w:p>
      <w:pPr>
        <w:pStyle w:val="Compact"/>
        <w:numPr>
          <w:ilvl w:val="0"/>
          <w:numId w:val="1018"/>
        </w:numPr>
      </w:pPr>
      <w:r>
        <w:t xml:space="preserve">Code review.</w:t>
      </w:r>
    </w:p>
    <w:p>
      <w:pPr>
        <w:pStyle w:val="Compact"/>
        <w:numPr>
          <w:ilvl w:val="0"/>
          <w:numId w:val="1018"/>
        </w:numPr>
      </w:pPr>
      <w:r>
        <w:t xml:space="preserve">Deployment process.</w:t>
      </w:r>
    </w:p>
    <w:p>
      <w:pPr>
        <w:pStyle w:val="Compact"/>
        <w:numPr>
          <w:ilvl w:val="0"/>
          <w:numId w:val="1018"/>
        </w:numPr>
      </w:pPr>
      <w:r>
        <w:t xml:space="preserve">Release management.</w:t>
      </w:r>
    </w:p>
    <w:p>
      <w:pPr>
        <w:pStyle w:val="Compact"/>
        <w:numPr>
          <w:ilvl w:val="0"/>
          <w:numId w:val="1018"/>
        </w:numPr>
      </w:pPr>
      <w:r>
        <w:t xml:space="preserve">Notebook ownership.</w:t>
      </w:r>
    </w:p>
    <w:p>
      <w:r>
        <w:pict>
          <v:rect style="width:0;height:1.5pt" o:hralign="center" o:hrstd="t" o:hr="t"/>
        </w:pict>
      </w:r>
    </w:p>
    <w:bookmarkEnd w:id="44"/>
    <w:bookmarkStart w:id="53" w:name="pros-of-synapse-workspace-adoption"/>
    <w:p>
      <w:pPr>
        <w:pStyle w:val="Heading1"/>
      </w:pPr>
      <w:r>
        <w:t xml:space="preserve">16. Pros of Synapse Workspace Adoption</w:t>
      </w:r>
    </w:p>
    <w:bookmarkStart w:id="45" w:name="compute-separation"/>
    <w:p>
      <w:pPr>
        <w:pStyle w:val="Heading2"/>
      </w:pPr>
      <w:r>
        <w:t xml:space="preserve">16.1 Compute Separation</w:t>
      </w:r>
    </w:p>
    <w:p>
      <w:pPr>
        <w:pStyle w:val="FirstParagraph"/>
      </w:pPr>
      <w:r>
        <w:t xml:space="preserve">The strongest benefit is the ability to move suitable Spark-based analytical workloads away from Dedicated SQL Pool compute.</w:t>
      </w:r>
    </w:p>
    <w:bookmarkEnd w:id="45"/>
    <w:bookmarkStart w:id="46" w:name="improved-sql-pool-performance"/>
    <w:p>
      <w:pPr>
        <w:pStyle w:val="Heading2"/>
      </w:pPr>
      <w:r>
        <w:t xml:space="preserve">16.2 Improved SQL Pool Performance</w:t>
      </w:r>
    </w:p>
    <w:p>
      <w:pPr>
        <w:pStyle w:val="FirstParagraph"/>
      </w:pPr>
      <w:r>
        <w:t xml:space="preserve">Reducing unnecessary analytical workload can improve:</w:t>
      </w:r>
    </w:p>
    <w:p>
      <w:pPr>
        <w:pStyle w:val="Compact"/>
        <w:numPr>
          <w:ilvl w:val="0"/>
          <w:numId w:val="1019"/>
        </w:numPr>
      </w:pPr>
      <w:r>
        <w:t xml:space="preserve">Query concurrency.</w:t>
      </w:r>
    </w:p>
    <w:p>
      <w:pPr>
        <w:pStyle w:val="Compact"/>
        <w:numPr>
          <w:ilvl w:val="0"/>
          <w:numId w:val="1019"/>
        </w:numPr>
      </w:pPr>
      <w:r>
        <w:t xml:space="preserve">Query response time.</w:t>
      </w:r>
    </w:p>
    <w:p>
      <w:pPr>
        <w:pStyle w:val="Compact"/>
        <w:numPr>
          <w:ilvl w:val="0"/>
          <w:numId w:val="1019"/>
        </w:numPr>
      </w:pPr>
      <w:r>
        <w:t xml:space="preserve">ETL predictability.</w:t>
      </w:r>
    </w:p>
    <w:p>
      <w:pPr>
        <w:pStyle w:val="Compact"/>
        <w:numPr>
          <w:ilvl w:val="0"/>
          <w:numId w:val="1019"/>
        </w:numPr>
      </w:pPr>
      <w:r>
        <w:t xml:space="preserve">Power BI performance.</w:t>
      </w:r>
    </w:p>
    <w:bookmarkEnd w:id="46"/>
    <w:bookmarkStart w:id="47" w:name="self-service-analytics"/>
    <w:p>
      <w:pPr>
        <w:pStyle w:val="Heading2"/>
      </w:pPr>
      <w:r>
        <w:t xml:space="preserve">16.3 Self-Service Analytics</w:t>
      </w:r>
    </w:p>
    <w:p>
      <w:pPr>
        <w:pStyle w:val="FirstParagraph"/>
      </w:pPr>
      <w:r>
        <w:t xml:space="preserve">DCoE users gain greater independence from central data engineering teams.</w:t>
      </w:r>
    </w:p>
    <w:bookmarkEnd w:id="47"/>
    <w:bookmarkStart w:id="48" w:name="pyspark-capability"/>
    <w:p>
      <w:pPr>
        <w:pStyle w:val="Heading2"/>
      </w:pPr>
      <w:r>
        <w:t xml:space="preserve">16.4 PySpark Capability</w:t>
      </w:r>
    </w:p>
    <w:p>
      <w:pPr>
        <w:pStyle w:val="FirstParagraph"/>
      </w:pPr>
      <w:r>
        <w:t xml:space="preserve">Technical users can use Python and Spark for advanced analytical workloads.</w:t>
      </w:r>
    </w:p>
    <w:bookmarkEnd w:id="48"/>
    <w:bookmarkStart w:id="49" w:name="better-large-scale-data-processing"/>
    <w:p>
      <w:pPr>
        <w:pStyle w:val="Heading2"/>
      </w:pPr>
      <w:r>
        <w:t xml:space="preserve">16.5 Better Large-Scale Data Processing</w:t>
      </w:r>
    </w:p>
    <w:p>
      <w:pPr>
        <w:pStyle w:val="FirstParagraph"/>
      </w:pPr>
      <w:r>
        <w:t xml:space="preserve">Spark is well suited to large-scale file and semi-structured processing.</w:t>
      </w:r>
    </w:p>
    <w:bookmarkEnd w:id="49"/>
    <w:bookmarkStart w:id="50" w:name="faster-experimentation"/>
    <w:p>
      <w:pPr>
        <w:pStyle w:val="Heading2"/>
      </w:pPr>
      <w:r>
        <w:t xml:space="preserve">16.6 Faster Experimentation</w:t>
      </w:r>
    </w:p>
    <w:p>
      <w:pPr>
        <w:pStyle w:val="FirstParagraph"/>
      </w:pPr>
      <w:r>
        <w:t xml:space="preserve">Users can experiment without requiring permanent enterprise database changes.</w:t>
      </w:r>
    </w:p>
    <w:bookmarkEnd w:id="50"/>
    <w:bookmarkStart w:id="51" w:name="better-data-engineering-productivity"/>
    <w:p>
      <w:pPr>
        <w:pStyle w:val="Heading2"/>
      </w:pPr>
      <w:r>
        <w:t xml:space="preserve">16.7 Better Data Engineering Productivity</w:t>
      </w:r>
    </w:p>
    <w:p>
      <w:pPr>
        <w:pStyle w:val="FirstParagraph"/>
      </w:pPr>
      <w:r>
        <w:t xml:space="preserve">Data engineers can prototype transformations using notebooks before productionising them.</w:t>
      </w:r>
    </w:p>
    <w:bookmarkEnd w:id="51"/>
    <w:bookmarkStart w:id="52" w:name="foundation-for-future-fabric-adoption"/>
    <w:p>
      <w:pPr>
        <w:pStyle w:val="Heading2"/>
      </w:pPr>
      <w:r>
        <w:t xml:space="preserve">16.8 Foundation for Future Fabric Adoption</w:t>
      </w:r>
    </w:p>
    <w:p>
      <w:pPr>
        <w:pStyle w:val="FirstParagraph"/>
      </w:pPr>
      <w:r>
        <w:t xml:space="preserve">Synapse notebooks and Spark workloads can provide useful experience and reusable assets for a future Fabric transition.</w:t>
      </w:r>
    </w:p>
    <w:p>
      <w:pPr>
        <w:pStyle w:val="BodyText"/>
      </w:pPr>
      <w:r>
        <w:t xml:space="preserve">Microsoft now provides dedicated guidance and tooling for migrating Synapse Spark workloads to Fabric.</w:t>
      </w:r>
    </w:p>
    <w:p>
      <w:r>
        <w:pict>
          <v:rect style="width:0;height:1.5pt" o:hralign="center" o:hrstd="t" o:hr="t"/>
        </w:pict>
      </w:r>
    </w:p>
    <w:bookmarkEnd w:id="52"/>
    <w:bookmarkEnd w:id="53"/>
    <w:bookmarkStart w:id="61" w:name="cons-and-risks"/>
    <w:p>
      <w:pPr>
        <w:pStyle w:val="Heading1"/>
      </w:pPr>
      <w:r>
        <w:t xml:space="preserve">17. Cons and Risks</w:t>
      </w:r>
    </w:p>
    <w:bookmarkStart w:id="54" w:name="additional-platform-complexity"/>
    <w:p>
      <w:pPr>
        <w:pStyle w:val="Heading2"/>
      </w:pPr>
      <w:r>
        <w:t xml:space="preserve">17.1 Additional Platform Complexity</w:t>
      </w:r>
    </w:p>
    <w:p>
      <w:pPr>
        <w:pStyle w:val="FirstParagraph"/>
      </w:pPr>
      <w:r>
        <w:t xml:space="preserve">Introducing Spark adds another compute paradigm that requires operational knowledge.</w:t>
      </w:r>
    </w:p>
    <w:bookmarkEnd w:id="54"/>
    <w:bookmarkStart w:id="55" w:name="skills-requirement"/>
    <w:p>
      <w:pPr>
        <w:pStyle w:val="Heading2"/>
      </w:pPr>
      <w:r>
        <w:t xml:space="preserve">17.2 Skills Requirement</w:t>
      </w:r>
    </w:p>
    <w:p>
      <w:pPr>
        <w:pStyle w:val="FirstParagraph"/>
      </w:pPr>
      <w:r>
        <w:t xml:space="preserve">Users need knowledge of:</w:t>
      </w:r>
    </w:p>
    <w:p>
      <w:pPr>
        <w:pStyle w:val="Compact"/>
        <w:numPr>
          <w:ilvl w:val="0"/>
          <w:numId w:val="1020"/>
        </w:numPr>
      </w:pPr>
      <w:r>
        <w:t xml:space="preserve">Python.</w:t>
      </w:r>
    </w:p>
    <w:p>
      <w:pPr>
        <w:pStyle w:val="Compact"/>
        <w:numPr>
          <w:ilvl w:val="0"/>
          <w:numId w:val="1020"/>
        </w:numPr>
      </w:pPr>
      <w:r>
        <w:t xml:space="preserve">PySpark.</w:t>
      </w:r>
    </w:p>
    <w:p>
      <w:pPr>
        <w:pStyle w:val="Compact"/>
        <w:numPr>
          <w:ilvl w:val="0"/>
          <w:numId w:val="1020"/>
        </w:numPr>
      </w:pPr>
      <w:r>
        <w:t xml:space="preserve">Spark architecture.</w:t>
      </w:r>
    </w:p>
    <w:p>
      <w:pPr>
        <w:pStyle w:val="Compact"/>
        <w:numPr>
          <w:ilvl w:val="0"/>
          <w:numId w:val="1020"/>
        </w:numPr>
      </w:pPr>
      <w:r>
        <w:t xml:space="preserve">Data engineering.</w:t>
      </w:r>
    </w:p>
    <w:p>
      <w:pPr>
        <w:pStyle w:val="Compact"/>
        <w:numPr>
          <w:ilvl w:val="0"/>
          <w:numId w:val="1020"/>
        </w:numPr>
      </w:pPr>
      <w:r>
        <w:t xml:space="preserve">Performance optimisation.</w:t>
      </w:r>
    </w:p>
    <w:p>
      <w:pPr>
        <w:pStyle w:val="FirstParagraph"/>
      </w:pPr>
      <w:r>
        <w:t xml:space="preserve">This is one reason DCoE is a suitable starting group.</w:t>
      </w:r>
    </w:p>
    <w:bookmarkEnd w:id="55"/>
    <w:bookmarkStart w:id="56" w:name="governance-risk"/>
    <w:p>
      <w:pPr>
        <w:pStyle w:val="Heading2"/>
      </w:pPr>
      <w:r>
        <w:t xml:space="preserve">17.3 Governance Risk</w:t>
      </w:r>
    </w:p>
    <w:p>
      <w:pPr>
        <w:pStyle w:val="FirstParagraph"/>
      </w:pPr>
      <w:r>
        <w:t xml:space="preserve">Poorly governed self-service can result in:</w:t>
      </w:r>
    </w:p>
    <w:p>
      <w:pPr>
        <w:pStyle w:val="Compact"/>
        <w:numPr>
          <w:ilvl w:val="0"/>
          <w:numId w:val="1021"/>
        </w:numPr>
      </w:pPr>
      <w:r>
        <w:t xml:space="preserve">Duplicate datasets.</w:t>
      </w:r>
    </w:p>
    <w:p>
      <w:pPr>
        <w:pStyle w:val="Compact"/>
        <w:numPr>
          <w:ilvl w:val="0"/>
          <w:numId w:val="1021"/>
        </w:numPr>
      </w:pPr>
      <w:r>
        <w:t xml:space="preserve">Multiple versions of business logic.</w:t>
      </w:r>
    </w:p>
    <w:p>
      <w:pPr>
        <w:pStyle w:val="Compact"/>
        <w:numPr>
          <w:ilvl w:val="0"/>
          <w:numId w:val="1021"/>
        </w:numPr>
      </w:pPr>
      <w:r>
        <w:t xml:space="preserve">Uncontrolled data extracts.</w:t>
      </w:r>
    </w:p>
    <w:p>
      <w:pPr>
        <w:pStyle w:val="Compact"/>
        <w:numPr>
          <w:ilvl w:val="0"/>
          <w:numId w:val="1021"/>
        </w:numPr>
      </w:pPr>
      <w:r>
        <w:t xml:space="preserve">Data silos.</w:t>
      </w:r>
    </w:p>
    <w:p>
      <w:pPr>
        <w:pStyle w:val="Compact"/>
        <w:numPr>
          <w:ilvl w:val="0"/>
          <w:numId w:val="1021"/>
        </w:numPr>
      </w:pPr>
      <w:r>
        <w:t xml:space="preserve">Poorly managed notebooks.</w:t>
      </w:r>
    </w:p>
    <w:bookmarkEnd w:id="56"/>
    <w:bookmarkStart w:id="57" w:name="cost-management"/>
    <w:p>
      <w:pPr>
        <w:pStyle w:val="Heading2"/>
      </w:pPr>
      <w:r>
        <w:t xml:space="preserve">17.4 Cost Management</w:t>
      </w:r>
    </w:p>
    <w:p>
      <w:pPr>
        <w:pStyle w:val="FirstParagraph"/>
      </w:pPr>
      <w:r>
        <w:t xml:space="preserve">Spark compute can create additional consumption if users run inefficient or long-running workloads.</w:t>
      </w:r>
    </w:p>
    <w:p>
      <w:pPr>
        <w:pStyle w:val="BodyText"/>
      </w:pPr>
      <w:r>
        <w:t xml:space="preserve">Cost monitoring must therefore be part of the operating model.</w:t>
      </w:r>
    </w:p>
    <w:bookmarkEnd w:id="57"/>
    <w:bookmarkStart w:id="58" w:name="data-duplication"/>
    <w:p>
      <w:pPr>
        <w:pStyle w:val="Heading2"/>
      </w:pPr>
      <w:r>
        <w:t xml:space="preserve">17.5 Data Duplication</w:t>
      </w:r>
    </w:p>
    <w:p>
      <w:pPr>
        <w:pStyle w:val="FirstParagraph"/>
      </w:pPr>
      <w:r>
        <w:t xml:space="preserve">Users may create multiple copies of the same dataset.</w:t>
      </w:r>
    </w:p>
    <w:p>
      <w:pPr>
        <w:pStyle w:val="BodyText"/>
      </w:pPr>
      <w:r>
        <w:t xml:space="preserve">A governed storage and lifecycle policy is required.</w:t>
      </w:r>
    </w:p>
    <w:bookmarkEnd w:id="58"/>
    <w:bookmarkStart w:id="59" w:name="operational-support"/>
    <w:p>
      <w:pPr>
        <w:pStyle w:val="Heading2"/>
      </w:pPr>
      <w:r>
        <w:t xml:space="preserve">17.6 Operational Support</w:t>
      </w:r>
    </w:p>
    <w:p>
      <w:pPr>
        <w:pStyle w:val="FirstParagraph"/>
      </w:pPr>
      <w:r>
        <w:t xml:space="preserve">The platform team must support:</w:t>
      </w:r>
    </w:p>
    <w:p>
      <w:pPr>
        <w:pStyle w:val="Compact"/>
        <w:numPr>
          <w:ilvl w:val="0"/>
          <w:numId w:val="1022"/>
        </w:numPr>
      </w:pPr>
      <w:r>
        <w:t xml:space="preserve">Spark failures.</w:t>
      </w:r>
    </w:p>
    <w:p>
      <w:pPr>
        <w:pStyle w:val="Compact"/>
        <w:numPr>
          <w:ilvl w:val="0"/>
          <w:numId w:val="1022"/>
        </w:numPr>
      </w:pPr>
      <w:r>
        <w:t xml:space="preserve">Library dependencies.</w:t>
      </w:r>
    </w:p>
    <w:p>
      <w:pPr>
        <w:pStyle w:val="Compact"/>
        <w:numPr>
          <w:ilvl w:val="0"/>
          <w:numId w:val="1022"/>
        </w:numPr>
      </w:pPr>
      <w:r>
        <w:t xml:space="preserve">Notebook failures.</w:t>
      </w:r>
    </w:p>
    <w:p>
      <w:pPr>
        <w:pStyle w:val="Compact"/>
        <w:numPr>
          <w:ilvl w:val="0"/>
          <w:numId w:val="1022"/>
        </w:numPr>
      </w:pPr>
      <w:r>
        <w:t xml:space="preserve">Access issues.</w:t>
      </w:r>
    </w:p>
    <w:p>
      <w:pPr>
        <w:pStyle w:val="Compact"/>
        <w:numPr>
          <w:ilvl w:val="0"/>
          <w:numId w:val="1022"/>
        </w:numPr>
      </w:pPr>
      <w:r>
        <w:t xml:space="preserve">Performance issues.</w:t>
      </w:r>
    </w:p>
    <w:p>
      <w:pPr>
        <w:pStyle w:val="Compact"/>
        <w:numPr>
          <w:ilvl w:val="0"/>
          <w:numId w:val="1022"/>
        </w:numPr>
      </w:pPr>
      <w:r>
        <w:t xml:space="preserve">Data-quality problems.</w:t>
      </w:r>
    </w:p>
    <w:bookmarkEnd w:id="59"/>
    <w:bookmarkStart w:id="60" w:name="fabric-transition-risk"/>
    <w:p>
      <w:pPr>
        <w:pStyle w:val="Heading2"/>
      </w:pPr>
      <w:r>
        <w:t xml:space="preserve">17.7 Fabric Transition Risk</w:t>
      </w:r>
    </w:p>
    <w:p>
      <w:pPr>
        <w:pStyle w:val="FirstParagraph"/>
      </w:pPr>
      <w:r>
        <w:t xml:space="preserve">If Synapse-specific functionality is used extensively, future migration to Fabric may require more refactoring.</w:t>
      </w:r>
    </w:p>
    <w:p>
      <w:pPr>
        <w:pStyle w:val="BodyText"/>
      </w:pPr>
      <w:r>
        <w:t xml:space="preserve">Therefore, portability should be a design principle from the beginning.</w:t>
      </w:r>
    </w:p>
    <w:p>
      <w:r>
        <w:pict>
          <v:rect style="width:0;height:1.5pt" o:hralign="center" o:hrstd="t" o:hr="t"/>
        </w:pict>
      </w:r>
    </w:p>
    <w:bookmarkEnd w:id="60"/>
    <w:bookmarkEnd w:id="61"/>
    <w:bookmarkStart w:id="62" w:name="dcoe-as-the-first-adoption-group"/>
    <w:p>
      <w:pPr>
        <w:pStyle w:val="Heading1"/>
      </w:pPr>
      <w:r>
        <w:t xml:space="preserve">18. DCoE as the First Adoption Group</w:t>
      </w:r>
    </w:p>
    <w:p>
      <w:pPr>
        <w:pStyle w:val="FirstParagraph"/>
      </w:pPr>
      <w:r>
        <w:t xml:space="preserve">A phased approach is strongly recommended.</w:t>
      </w:r>
    </w:p>
    <w:p>
      <w:pPr>
        <w:pStyle w:val="BodyText"/>
      </w:pPr>
      <w:r>
        <w:t xml:space="preserve">The DCoE should be selected as the first adoption group because it provides a technically capable user population without immediately exposing the entire organisation to a new operating model.</w:t>
      </w:r>
    </w:p>
    <w:p>
      <w:pPr>
        <w:pStyle w:val="BodyText"/>
      </w:pPr>
      <w:r>
        <w:t xml:space="preserve">DCoE users are expected to have experience in areas such as:</w:t>
      </w:r>
    </w:p>
    <w:p>
      <w:pPr>
        <w:pStyle w:val="Compact"/>
        <w:numPr>
          <w:ilvl w:val="0"/>
          <w:numId w:val="1023"/>
        </w:numPr>
      </w:pPr>
      <w:r>
        <w:t xml:space="preserve">SQL.</w:t>
      </w:r>
    </w:p>
    <w:p>
      <w:pPr>
        <w:pStyle w:val="Compact"/>
        <w:numPr>
          <w:ilvl w:val="0"/>
          <w:numId w:val="1023"/>
        </w:numPr>
      </w:pPr>
      <w:r>
        <w:t xml:space="preserve">Python.</w:t>
      </w:r>
    </w:p>
    <w:p>
      <w:pPr>
        <w:pStyle w:val="Compact"/>
        <w:numPr>
          <w:ilvl w:val="0"/>
          <w:numId w:val="1023"/>
        </w:numPr>
      </w:pPr>
      <w:r>
        <w:t xml:space="preserve">PySpark.</w:t>
      </w:r>
    </w:p>
    <w:p>
      <w:pPr>
        <w:pStyle w:val="Compact"/>
        <w:numPr>
          <w:ilvl w:val="0"/>
          <w:numId w:val="1023"/>
        </w:numPr>
      </w:pPr>
      <w:r>
        <w:t xml:space="preserve">Data engineering.</w:t>
      </w:r>
    </w:p>
    <w:p>
      <w:pPr>
        <w:pStyle w:val="Compact"/>
        <w:numPr>
          <w:ilvl w:val="0"/>
          <w:numId w:val="1023"/>
        </w:numPr>
      </w:pPr>
      <w:r>
        <w:t xml:space="preserve">Data modelling.</w:t>
      </w:r>
    </w:p>
    <w:p>
      <w:pPr>
        <w:pStyle w:val="Compact"/>
        <w:numPr>
          <w:ilvl w:val="0"/>
          <w:numId w:val="1023"/>
        </w:numPr>
      </w:pPr>
      <w:r>
        <w:t xml:space="preserve">Azure.</w:t>
      </w:r>
    </w:p>
    <w:p>
      <w:pPr>
        <w:pStyle w:val="Compact"/>
        <w:numPr>
          <w:ilvl w:val="0"/>
          <w:numId w:val="1023"/>
        </w:numPr>
      </w:pPr>
      <w:r>
        <w:t xml:space="preserve">Power BI.</w:t>
      </w:r>
    </w:p>
    <w:p>
      <w:pPr>
        <w:pStyle w:val="Compact"/>
        <w:numPr>
          <w:ilvl w:val="0"/>
          <w:numId w:val="1023"/>
        </w:numPr>
      </w:pPr>
      <w:r>
        <w:t xml:space="preserve">Data analysis.</w:t>
      </w:r>
    </w:p>
    <w:p>
      <w:pPr>
        <w:pStyle w:val="FirstParagraph"/>
      </w:pPr>
      <w:r>
        <w:t xml:space="preserve">This reduces the training burden and allows the DCoE to discover technical issues before broader business adoption.</w:t>
      </w:r>
    </w:p>
    <w:p>
      <w:pPr>
        <w:pStyle w:val="BodyText"/>
      </w:pPr>
      <w:r>
        <w:t xml:space="preserve">The DCoE should become the</w:t>
      </w:r>
      <w:r>
        <w:t xml:space="preserve"> </w:t>
      </w:r>
      <w:r>
        <w:rPr>
          <w:b/>
          <w:bCs/>
        </w:rPr>
        <w:t xml:space="preserve">reference user group and internal centre of excellence</w:t>
      </w:r>
      <w:r>
        <w:t xml:space="preserve">.</w:t>
      </w:r>
    </w:p>
    <w:p>
      <w:r>
        <w:pict>
          <v:rect style="width:0;height:1.5pt" o:hralign="center" o:hrstd="t" o:hr="t"/>
        </w:pict>
      </w:r>
    </w:p>
    <w:bookmarkEnd w:id="62"/>
    <w:bookmarkStart w:id="66" w:name="dcoe-pilot-objectives"/>
    <w:p>
      <w:pPr>
        <w:pStyle w:val="Heading1"/>
      </w:pPr>
      <w:r>
        <w:t xml:space="preserve">19. DCoE Pilot Objectives</w:t>
      </w:r>
    </w:p>
    <w:p>
      <w:pPr>
        <w:pStyle w:val="FirstParagraph"/>
      </w:pPr>
      <w:r>
        <w:t xml:space="preserve">The pilot should demonstrate measurable benefits.</w:t>
      </w:r>
    </w:p>
    <w:bookmarkStart w:id="63" w:name="technical-objectives"/>
    <w:p>
      <w:pPr>
        <w:pStyle w:val="Heading3"/>
      </w:pPr>
      <w:r>
        <w:t xml:space="preserve">Technical objectives</w:t>
      </w:r>
    </w:p>
    <w:p>
      <w:pPr>
        <w:pStyle w:val="Compact"/>
        <w:numPr>
          <w:ilvl w:val="0"/>
          <w:numId w:val="1024"/>
        </w:numPr>
      </w:pPr>
      <w:r>
        <w:t xml:space="preserve">Deploy a governed Synapse Workspace.</w:t>
      </w:r>
    </w:p>
    <w:p>
      <w:pPr>
        <w:pStyle w:val="Compact"/>
        <w:numPr>
          <w:ilvl w:val="0"/>
          <w:numId w:val="1024"/>
        </w:numPr>
      </w:pPr>
      <w:r>
        <w:t xml:space="preserve">Enable Spark/PySpark.</w:t>
      </w:r>
    </w:p>
    <w:p>
      <w:pPr>
        <w:pStyle w:val="Compact"/>
        <w:numPr>
          <w:ilvl w:val="0"/>
          <w:numId w:val="1024"/>
        </w:numPr>
      </w:pPr>
      <w:r>
        <w:t xml:space="preserve">Connect to approved enterprise data.</w:t>
      </w:r>
    </w:p>
    <w:p>
      <w:pPr>
        <w:pStyle w:val="Compact"/>
        <w:numPr>
          <w:ilvl w:val="0"/>
          <w:numId w:val="1024"/>
        </w:numPr>
      </w:pPr>
      <w:r>
        <w:t xml:space="preserve">Establish RBAC.</w:t>
      </w:r>
    </w:p>
    <w:p>
      <w:pPr>
        <w:pStyle w:val="Compact"/>
        <w:numPr>
          <w:ilvl w:val="0"/>
          <w:numId w:val="1024"/>
        </w:numPr>
      </w:pPr>
      <w:r>
        <w:t xml:space="preserve">Implement Git integration.</w:t>
      </w:r>
    </w:p>
    <w:p>
      <w:pPr>
        <w:pStyle w:val="Compact"/>
        <w:numPr>
          <w:ilvl w:val="0"/>
          <w:numId w:val="1024"/>
        </w:numPr>
      </w:pPr>
      <w:r>
        <w:t xml:space="preserve">Establish notebook standards.</w:t>
      </w:r>
    </w:p>
    <w:p>
      <w:pPr>
        <w:pStyle w:val="Compact"/>
        <w:numPr>
          <w:ilvl w:val="0"/>
          <w:numId w:val="1024"/>
        </w:numPr>
      </w:pPr>
      <w:r>
        <w:t xml:space="preserve">Implement monitoring.</w:t>
      </w:r>
    </w:p>
    <w:p>
      <w:pPr>
        <w:pStyle w:val="Compact"/>
        <w:numPr>
          <w:ilvl w:val="0"/>
          <w:numId w:val="1024"/>
        </w:numPr>
      </w:pPr>
      <w:r>
        <w:t xml:space="preserve">Establish cost controls.</w:t>
      </w:r>
    </w:p>
    <w:bookmarkEnd w:id="63"/>
    <w:bookmarkStart w:id="64" w:name="business-objectives"/>
    <w:p>
      <w:pPr>
        <w:pStyle w:val="Heading3"/>
      </w:pPr>
      <w:r>
        <w:t xml:space="preserve">Business objectives</w:t>
      </w:r>
    </w:p>
    <w:p>
      <w:pPr>
        <w:pStyle w:val="Compact"/>
        <w:numPr>
          <w:ilvl w:val="0"/>
          <w:numId w:val="1025"/>
        </w:numPr>
      </w:pPr>
      <w:r>
        <w:t xml:space="preserve">Demonstrate self-service analytics.</w:t>
      </w:r>
    </w:p>
    <w:p>
      <w:pPr>
        <w:pStyle w:val="Compact"/>
        <w:numPr>
          <w:ilvl w:val="0"/>
          <w:numId w:val="1025"/>
        </w:numPr>
      </w:pPr>
      <w:r>
        <w:t xml:space="preserve">Reduce central data-engineering dependency.</w:t>
      </w:r>
    </w:p>
    <w:p>
      <w:pPr>
        <w:pStyle w:val="Compact"/>
        <w:numPr>
          <w:ilvl w:val="0"/>
          <w:numId w:val="1025"/>
        </w:numPr>
      </w:pPr>
      <w:r>
        <w:t xml:space="preserve">Improve analytical turnaround time.</w:t>
      </w:r>
    </w:p>
    <w:p>
      <w:pPr>
        <w:pStyle w:val="Compact"/>
        <w:numPr>
          <w:ilvl w:val="0"/>
          <w:numId w:val="1025"/>
        </w:numPr>
      </w:pPr>
      <w:r>
        <w:t xml:space="preserve">Demonstrate SQL Pool workload reduction.</w:t>
      </w:r>
    </w:p>
    <w:bookmarkEnd w:id="64"/>
    <w:bookmarkStart w:id="65" w:name="architecture-objectives"/>
    <w:p>
      <w:pPr>
        <w:pStyle w:val="Heading3"/>
      </w:pPr>
      <w:r>
        <w:t xml:space="preserve">Architecture objectives</w:t>
      </w:r>
    </w:p>
    <w:p>
      <w:pPr>
        <w:pStyle w:val="Compact"/>
        <w:numPr>
          <w:ilvl w:val="0"/>
          <w:numId w:val="1026"/>
        </w:numPr>
      </w:pPr>
      <w:r>
        <w:t xml:space="preserve">Prove compute separation.</w:t>
      </w:r>
    </w:p>
    <w:p>
      <w:pPr>
        <w:pStyle w:val="Compact"/>
        <w:numPr>
          <w:ilvl w:val="0"/>
          <w:numId w:val="1026"/>
        </w:numPr>
      </w:pPr>
      <w:r>
        <w:t xml:space="preserve">Establish reusable security patterns.</w:t>
      </w:r>
    </w:p>
    <w:p>
      <w:pPr>
        <w:pStyle w:val="Compact"/>
        <w:numPr>
          <w:ilvl w:val="0"/>
          <w:numId w:val="1026"/>
        </w:numPr>
      </w:pPr>
      <w:r>
        <w:t xml:space="preserve">Establish data-access patterns.</w:t>
      </w:r>
    </w:p>
    <w:p>
      <w:pPr>
        <w:pStyle w:val="Compact"/>
        <w:numPr>
          <w:ilvl w:val="0"/>
          <w:numId w:val="1026"/>
        </w:numPr>
      </w:pPr>
      <w:r>
        <w:t xml:space="preserve">Establish future Fabric migration patterns.</w:t>
      </w:r>
    </w:p>
    <w:p>
      <w:r>
        <w:pict>
          <v:rect style="width:0;height:1.5pt" o:hralign="center" o:hrstd="t" o:hr="t"/>
        </w:pict>
      </w:r>
    </w:p>
    <w:bookmarkEnd w:id="65"/>
    <w:bookmarkEnd w:id="66"/>
    <w:bookmarkStart w:id="72" w:name="pilot-use-cases"/>
    <w:p>
      <w:pPr>
        <w:pStyle w:val="Heading1"/>
      </w:pPr>
      <w:r>
        <w:t xml:space="preserve">20. Pilot Use Cases</w:t>
      </w:r>
    </w:p>
    <w:p>
      <w:pPr>
        <w:pStyle w:val="FirstParagraph"/>
      </w:pPr>
      <w:r>
        <w:t xml:space="preserve">The initial pilot should focus on 3–5 representative use cases.</w:t>
      </w:r>
    </w:p>
    <w:p>
      <w:pPr>
        <w:pStyle w:val="BodyText"/>
      </w:pPr>
      <w:r>
        <w:t xml:space="preserve">Recommended examples:</w:t>
      </w:r>
    </w:p>
    <w:bookmarkStart w:id="67" w:name="use-case-1-claims-analytics"/>
    <w:p>
      <w:pPr>
        <w:pStyle w:val="Heading3"/>
      </w:pPr>
      <w:r>
        <w:t xml:space="preserve">Use Case 1 – Claims Analytics</w:t>
      </w:r>
    </w:p>
    <w:p>
      <w:pPr>
        <w:pStyle w:val="FirstParagraph"/>
      </w:pPr>
      <w:r>
        <w:t xml:space="preserve">DCoE performs large-scale analysis of claim transactions using PySpark without running the entire workload against the Dedicated SQL Pool.</w:t>
      </w:r>
    </w:p>
    <w:bookmarkEnd w:id="67"/>
    <w:bookmarkStart w:id="68" w:name="use-case-2-data-quality"/>
    <w:p>
      <w:pPr>
        <w:pStyle w:val="Heading3"/>
      </w:pPr>
      <w:r>
        <w:t xml:space="preserve">Use Case 2 – Data Quality</w:t>
      </w:r>
    </w:p>
    <w:p>
      <w:pPr>
        <w:pStyle w:val="FirstParagraph"/>
      </w:pPr>
      <w:r>
        <w:t xml:space="preserve">Notebook-based profiling of policy and claims datasets.</w:t>
      </w:r>
    </w:p>
    <w:bookmarkEnd w:id="68"/>
    <w:bookmarkStart w:id="69" w:name="use-case-3-exploratory-analytics"/>
    <w:p>
      <w:pPr>
        <w:pStyle w:val="Heading3"/>
      </w:pPr>
      <w:r>
        <w:t xml:space="preserve">Use Case 3 – Exploratory Analytics</w:t>
      </w:r>
    </w:p>
    <w:p>
      <w:pPr>
        <w:pStyle w:val="FirstParagraph"/>
      </w:pPr>
      <w:r>
        <w:t xml:space="preserve">Analysis of a large historical dataset to identify trends and patterns.</w:t>
      </w:r>
    </w:p>
    <w:bookmarkEnd w:id="69"/>
    <w:bookmarkStart w:id="70" w:name="use-case-4-semi-structured-data"/>
    <w:p>
      <w:pPr>
        <w:pStyle w:val="Heading3"/>
      </w:pPr>
      <w:r>
        <w:t xml:space="preserve">Use Case 4 – Semi-Structured Data</w:t>
      </w:r>
    </w:p>
    <w:p>
      <w:pPr>
        <w:pStyle w:val="FirstParagraph"/>
      </w:pPr>
      <w:r>
        <w:t xml:space="preserve">Processing JSON or other semi-structured insurance data using Spark.</w:t>
      </w:r>
    </w:p>
    <w:bookmarkEnd w:id="70"/>
    <w:bookmarkStart w:id="71" w:name="use-case-5-data-preparation"/>
    <w:p>
      <w:pPr>
        <w:pStyle w:val="Heading3"/>
      </w:pPr>
      <w:r>
        <w:t xml:space="preserve">Use Case 5 – Data Preparation</w:t>
      </w:r>
    </w:p>
    <w:p>
      <w:pPr>
        <w:pStyle w:val="FirstParagraph"/>
      </w:pPr>
      <w:r>
        <w:t xml:space="preserve">Create an analytical dataset in ADLS for subsequent Power BI analysis.</w:t>
      </w:r>
    </w:p>
    <w:p>
      <w:r>
        <w:pict>
          <v:rect style="width:0;height:1.5pt" o:hralign="center" o:hrstd="t" o:hr="t"/>
        </w:pict>
      </w:r>
    </w:p>
    <w:bookmarkEnd w:id="71"/>
    <w:bookmarkEnd w:id="72"/>
    <w:bookmarkStart w:id="73" w:name="success-metrics"/>
    <w:p>
      <w:pPr>
        <w:pStyle w:val="Heading1"/>
      </w:pPr>
      <w:r>
        <w:t xml:space="preserve">21. Success Metrics</w:t>
      </w:r>
    </w:p>
    <w:p>
      <w:pPr>
        <w:pStyle w:val="FirstParagraph"/>
      </w:pPr>
      <w:r>
        <w:t xml:space="preserve">The pilot should be measured objectively.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Current State</w:t>
            </w:r>
          </w:p>
        </w:tc>
        <w:tc>
          <w:tcPr/>
          <w:p>
            <w:pPr>
              <w:pStyle w:val="Compact"/>
              <w:jc w:val="right"/>
            </w:pPr>
            <w:r>
              <w:t xml:space="preserve">Target</w:t>
            </w:r>
          </w:p>
        </w:tc>
      </w:tr>
      <w:tr>
        <w:tc>
          <w:tcPr/>
          <w:p>
            <w:pPr>
              <w:pStyle w:val="Compact"/>
            </w:pPr>
            <w:r>
              <w:t xml:space="preserve">Ad-hoc workload on Dedicated SQL Pool</w:t>
            </w:r>
          </w:p>
        </w:tc>
        <w:tc>
          <w:tcPr/>
          <w:p>
            <w:pPr>
              <w:pStyle w:val="Compact"/>
              <w:jc w:val="right"/>
            </w:pPr>
            <w:r>
              <w:t xml:space="preserve">Baseline</w:t>
            </w:r>
          </w:p>
        </w:tc>
        <w:tc>
          <w:tcPr/>
          <w:p>
            <w:pPr>
              <w:pStyle w:val="Compact"/>
              <w:jc w:val="right"/>
            </w:pPr>
            <w:r>
              <w:t xml:space="preserve">Reduce</w:t>
            </w:r>
          </w:p>
        </w:tc>
      </w:tr>
      <w:tr>
        <w:tc>
          <w:tcPr/>
          <w:p>
            <w:pPr>
              <w:pStyle w:val="Compact"/>
            </w:pPr>
            <w:r>
              <w:t xml:space="preserve">Average enterprise query duration</w:t>
            </w:r>
          </w:p>
        </w:tc>
        <w:tc>
          <w:tcPr/>
          <w:p>
            <w:pPr>
              <w:pStyle w:val="Compact"/>
              <w:jc w:val="right"/>
            </w:pPr>
            <w:r>
              <w:t xml:space="preserve">Baseline</w:t>
            </w:r>
          </w:p>
        </w:tc>
        <w:tc>
          <w:tcPr/>
          <w:p>
            <w:pPr>
              <w:pStyle w:val="Compact"/>
              <w:jc w:val="right"/>
            </w:pPr>
            <w:r>
              <w:t xml:space="preserve">Improve</w:t>
            </w:r>
          </w:p>
        </w:tc>
      </w:tr>
      <w:tr>
        <w:tc>
          <w:tcPr/>
          <w:p>
            <w:pPr>
              <w:pStyle w:val="Compact"/>
            </w:pPr>
            <w:r>
              <w:t xml:space="preserve">SQL Pool queue time</w:t>
            </w:r>
          </w:p>
        </w:tc>
        <w:tc>
          <w:tcPr/>
          <w:p>
            <w:pPr>
              <w:pStyle w:val="Compact"/>
              <w:jc w:val="right"/>
            </w:pPr>
            <w:r>
              <w:t xml:space="preserve">Baseline</w:t>
            </w:r>
          </w:p>
        </w:tc>
        <w:tc>
          <w:tcPr/>
          <w:p>
            <w:pPr>
              <w:pStyle w:val="Compact"/>
              <w:jc w:val="right"/>
            </w:pPr>
            <w:r>
              <w:t xml:space="preserve">Reduce</w:t>
            </w:r>
          </w:p>
        </w:tc>
      </w:tr>
      <w:tr>
        <w:tc>
          <w:tcPr/>
          <w:p>
            <w:pPr>
              <w:pStyle w:val="Compact"/>
            </w:pPr>
            <w:r>
              <w:t xml:space="preserve">Power BI query performance</w:t>
            </w:r>
          </w:p>
        </w:tc>
        <w:tc>
          <w:tcPr/>
          <w:p>
            <w:pPr>
              <w:pStyle w:val="Compact"/>
              <w:jc w:val="right"/>
            </w:pPr>
            <w:r>
              <w:t xml:space="preserve">Baseline</w:t>
            </w:r>
          </w:p>
        </w:tc>
        <w:tc>
          <w:tcPr/>
          <w:p>
            <w:pPr>
              <w:pStyle w:val="Compact"/>
              <w:jc w:val="right"/>
            </w:pPr>
            <w:r>
              <w:t xml:space="preserve">Improve</w:t>
            </w:r>
          </w:p>
        </w:tc>
      </w:tr>
      <w:tr>
        <w:tc>
          <w:tcPr/>
          <w:p>
            <w:pPr>
              <w:pStyle w:val="Compact"/>
            </w:pPr>
            <w:r>
              <w:t xml:space="preserve">DCoE self-service use cases</w:t>
            </w:r>
          </w:p>
        </w:tc>
        <w:tc>
          <w:tcPr/>
          <w:p>
            <w:pPr>
              <w:pStyle w:val="Compact"/>
              <w:jc w:val="right"/>
            </w:pPr>
            <w:r>
              <w:t xml:space="preserve">Baseline</w:t>
            </w:r>
          </w:p>
        </w:tc>
        <w:tc>
          <w:tcPr/>
          <w:p>
            <w:pPr>
              <w:pStyle w:val="Compact"/>
              <w:jc w:val="right"/>
            </w:pPr>
            <w:r>
              <w:t xml:space="preserve">Increase</w:t>
            </w:r>
          </w:p>
        </w:tc>
      </w:tr>
      <w:tr>
        <w:tc>
          <w:tcPr/>
          <w:p>
            <w:pPr>
              <w:pStyle w:val="Compact"/>
            </w:pPr>
            <w:r>
              <w:t xml:space="preserve">Central data-engineering requests</w:t>
            </w:r>
          </w:p>
        </w:tc>
        <w:tc>
          <w:tcPr/>
          <w:p>
            <w:pPr>
              <w:pStyle w:val="Compact"/>
              <w:jc w:val="right"/>
            </w:pPr>
            <w:r>
              <w:t xml:space="preserve">Baseline</w:t>
            </w:r>
          </w:p>
        </w:tc>
        <w:tc>
          <w:tcPr/>
          <w:p>
            <w:pPr>
              <w:pStyle w:val="Compact"/>
              <w:jc w:val="right"/>
            </w:pPr>
            <w:r>
              <w:t xml:space="preserve">Reduce</w:t>
            </w:r>
          </w:p>
        </w:tc>
      </w:tr>
      <w:tr>
        <w:tc>
          <w:tcPr/>
          <w:p>
            <w:pPr>
              <w:pStyle w:val="Compact"/>
            </w:pPr>
            <w:r>
              <w:t xml:space="preserve">Spark workload adoption</w:t>
            </w:r>
          </w:p>
        </w:tc>
        <w:tc>
          <w:tcPr/>
          <w:p>
            <w:pPr>
              <w:pStyle w:val="Compact"/>
              <w:jc w:val="right"/>
            </w:pPr>
            <w:r>
              <w:t xml:space="preserve">0</w:t>
            </w:r>
          </w:p>
        </w:tc>
        <w:tc>
          <w:tcPr/>
          <w:p>
            <w:pPr>
              <w:pStyle w:val="Compact"/>
              <w:jc w:val="right"/>
            </w:pPr>
            <w:r>
              <w:t xml:space="preserve">Increase</w:t>
            </w:r>
          </w:p>
        </w:tc>
      </w:tr>
      <w:tr>
        <w:tc>
          <w:tcPr/>
          <w:p>
            <w:pPr>
              <w:pStyle w:val="Compact"/>
            </w:pPr>
            <w:r>
              <w:t xml:space="preserve">Failed/poorly governed notebooks</w:t>
            </w:r>
          </w:p>
        </w:tc>
        <w:tc>
          <w:tcPr/>
          <w:p>
            <w:pPr>
              <w:pStyle w:val="Compact"/>
              <w:jc w:val="right"/>
            </w:pPr>
            <w:r>
              <w:t xml:space="preserve">Baseline</w:t>
            </w:r>
          </w:p>
        </w:tc>
        <w:tc>
          <w:tcPr/>
          <w:p>
            <w:pPr>
              <w:pStyle w:val="Compact"/>
              <w:jc w:val="right"/>
            </w:pPr>
            <w:r>
              <w:t xml:space="preserve">Minimise</w:t>
            </w:r>
          </w:p>
        </w:tc>
      </w:tr>
      <w:tr>
        <w:tc>
          <w:tcPr/>
          <w:p>
            <w:pPr>
              <w:pStyle w:val="Compact"/>
            </w:pPr>
            <w:r>
              <w:t xml:space="preserve">Analytical turnaround time</w:t>
            </w:r>
          </w:p>
        </w:tc>
        <w:tc>
          <w:tcPr/>
          <w:p>
            <w:pPr>
              <w:pStyle w:val="Compact"/>
              <w:jc w:val="right"/>
            </w:pPr>
            <w:r>
              <w:t xml:space="preserve">Baseline</w:t>
            </w:r>
          </w:p>
        </w:tc>
        <w:tc>
          <w:tcPr/>
          <w:p>
            <w:pPr>
              <w:pStyle w:val="Compact"/>
              <w:jc w:val="right"/>
            </w:pPr>
            <w:r>
              <w:t xml:space="preserve">Improve</w:t>
            </w:r>
          </w:p>
        </w:tc>
      </w:tr>
      <w:tr>
        <w:tc>
          <w:tcPr/>
          <w:p>
            <w:pPr>
              <w:pStyle w:val="Compact"/>
            </w:pPr>
            <w:r>
              <w:t xml:space="preserve">User satisfaction</w:t>
            </w:r>
          </w:p>
        </w:tc>
        <w:tc>
          <w:tcPr/>
          <w:p>
            <w:pPr>
              <w:pStyle w:val="Compact"/>
              <w:jc w:val="right"/>
            </w:pPr>
            <w:r>
              <w:t xml:space="preserve">Baseline</w:t>
            </w:r>
          </w:p>
        </w:tc>
        <w:tc>
          <w:tcPr/>
          <w:p>
            <w:pPr>
              <w:pStyle w:val="Compact"/>
              <w:jc w:val="right"/>
            </w:pPr>
            <w:r>
              <w:t xml:space="preserve">Improve</w:t>
            </w:r>
          </w:p>
        </w:tc>
      </w:tr>
    </w:tbl>
    <w:p>
      <w:pPr>
        <w:pStyle w:val="BodyText"/>
      </w:pPr>
      <w:r>
        <w:t xml:space="preserve">A baseline should be captured before pilot implementation so that the programme can demonstrate measurable value.</w:t>
      </w:r>
    </w:p>
    <w:p>
      <w:r>
        <w:pict>
          <v:rect style="width:0;height:1.5pt" o:hralign="center" o:hrstd="t" o:hr="t"/>
        </w:pict>
      </w:r>
    </w:p>
    <w:bookmarkEnd w:id="73"/>
    <w:bookmarkStart w:id="74" w:name="synapse-notebook-strategy"/>
    <w:p>
      <w:pPr>
        <w:pStyle w:val="Heading1"/>
      </w:pPr>
      <w:r>
        <w:t xml:space="preserve">22. Synapse Notebook Strategy</w:t>
      </w:r>
    </w:p>
    <w:p>
      <w:pPr>
        <w:pStyle w:val="FirstParagraph"/>
      </w:pPr>
      <w:r>
        <w:t xml:space="preserve">Notebooks should be treated as</w:t>
      </w:r>
      <w:r>
        <w:t xml:space="preserve"> </w:t>
      </w:r>
      <w:r>
        <w:rPr>
          <w:b/>
          <w:bCs/>
        </w:rPr>
        <w:t xml:space="preserve">development and analytical assets</w:t>
      </w:r>
      <w:r>
        <w:t xml:space="preserve">, not simply interactive scripts.</w:t>
      </w:r>
    </w:p>
    <w:p>
      <w:pPr>
        <w:pStyle w:val="BodyText"/>
      </w:pPr>
      <w:r>
        <w:t xml:space="preserve">Recommended lifecycle:</w:t>
      </w:r>
    </w:p>
    <w:p>
      <w:pPr>
        <w:pStyle w:val="SourceCode"/>
      </w:pPr>
      <w:r>
        <w:rPr>
          <w:rStyle w:val="VerbatimChar"/>
        </w:rPr>
        <w:t xml:space="preserve">Explore</w:t>
      </w:r>
      <w:r>
        <w:br/>
      </w:r>
      <w:r>
        <w:rPr>
          <w:rStyle w:val="VerbatimChar"/>
        </w:rPr>
        <w:t xml:space="preserve">   |</w:t>
      </w:r>
      <w:r>
        <w:br/>
      </w:r>
      <w:r>
        <w:rPr>
          <w:rStyle w:val="VerbatimChar"/>
        </w:rPr>
        <w:t xml:space="preserve">   v</w:t>
      </w:r>
      <w:r>
        <w:br/>
      </w:r>
      <w:r>
        <w:rPr>
          <w:rStyle w:val="VerbatimChar"/>
        </w:rPr>
        <w:t xml:space="preserve">Prototype</w:t>
      </w:r>
      <w:r>
        <w:br/>
      </w:r>
      <w:r>
        <w:rPr>
          <w:rStyle w:val="VerbatimChar"/>
        </w:rPr>
        <w:t xml:space="preserve">   |</w:t>
      </w:r>
      <w:r>
        <w:br/>
      </w:r>
      <w:r>
        <w:rPr>
          <w:rStyle w:val="VerbatimChar"/>
        </w:rPr>
        <w:t xml:space="preserve">   v</w:t>
      </w:r>
      <w:r>
        <w:br/>
      </w:r>
      <w:r>
        <w:rPr>
          <w:rStyle w:val="VerbatimChar"/>
        </w:rPr>
        <w:t xml:space="preserve">Validate</w:t>
      </w:r>
      <w:r>
        <w:br/>
      </w:r>
      <w:r>
        <w:rPr>
          <w:rStyle w:val="VerbatimChar"/>
        </w:rPr>
        <w:t xml:space="preserve">   |</w:t>
      </w:r>
      <w:r>
        <w:br/>
      </w:r>
      <w:r>
        <w:rPr>
          <w:rStyle w:val="VerbatimChar"/>
        </w:rPr>
        <w:t xml:space="preserve">   v</w:t>
      </w:r>
      <w:r>
        <w:br/>
      </w:r>
      <w:r>
        <w:rPr>
          <w:rStyle w:val="VerbatimChar"/>
        </w:rPr>
        <w:t xml:space="preserve">Productionise</w:t>
      </w:r>
      <w:r>
        <w:br/>
      </w:r>
      <w:r>
        <w:rPr>
          <w:rStyle w:val="VerbatimChar"/>
        </w:rPr>
        <w:t xml:space="preserve">   |</w:t>
      </w:r>
      <w:r>
        <w:br/>
      </w:r>
      <w:r>
        <w:rPr>
          <w:rStyle w:val="VerbatimChar"/>
        </w:rPr>
        <w:t xml:space="preserve">   +----&gt; Scheduled Spark workload</w:t>
      </w:r>
      <w:r>
        <w:br/>
      </w:r>
      <w:r>
        <w:rPr>
          <w:rStyle w:val="VerbatimChar"/>
        </w:rPr>
        <w:t xml:space="preserve">   |</w:t>
      </w:r>
      <w:r>
        <w:br/>
      </w:r>
      <w:r>
        <w:rPr>
          <w:rStyle w:val="VerbatimChar"/>
        </w:rPr>
        <w:t xml:space="preserve">   +----&gt; Enterprise SQL transformation</w:t>
      </w:r>
      <w:r>
        <w:br/>
      </w:r>
      <w:r>
        <w:rPr>
          <w:rStyle w:val="VerbatimChar"/>
        </w:rPr>
        <w:t xml:space="preserve">   |</w:t>
      </w:r>
      <w:r>
        <w:br/>
      </w:r>
      <w:r>
        <w:rPr>
          <w:rStyle w:val="VerbatimChar"/>
        </w:rPr>
        <w:t xml:space="preserve">   +----&gt; Data Product</w:t>
      </w:r>
      <w:r>
        <w:br/>
      </w:r>
      <w:r>
        <w:rPr>
          <w:rStyle w:val="VerbatimChar"/>
        </w:rPr>
        <w:t xml:space="preserve">   |</w:t>
      </w:r>
      <w:r>
        <w:br/>
      </w:r>
      <w:r>
        <w:rPr>
          <w:rStyle w:val="VerbatimChar"/>
        </w:rPr>
        <w:t xml:space="preserve">   +----&gt; Retire</w:t>
      </w:r>
    </w:p>
    <w:p>
      <w:pPr>
        <w:pStyle w:val="FirstParagraph"/>
      </w:pPr>
      <w:r>
        <w:t xml:space="preserve">Not every notebook should become a production process.</w:t>
      </w:r>
    </w:p>
    <w:p>
      <w:pPr>
        <w:pStyle w:val="BodyText"/>
      </w:pPr>
      <w:r>
        <w:t xml:space="preserve">A governance review should determine whether a notebook is:</w:t>
      </w:r>
    </w:p>
    <w:p>
      <w:pPr>
        <w:pStyle w:val="Compact"/>
        <w:numPr>
          <w:ilvl w:val="0"/>
          <w:numId w:val="1027"/>
        </w:numPr>
      </w:pPr>
      <w:r>
        <w:t xml:space="preserve">Temporary.</w:t>
      </w:r>
    </w:p>
    <w:p>
      <w:pPr>
        <w:pStyle w:val="Compact"/>
        <w:numPr>
          <w:ilvl w:val="0"/>
          <w:numId w:val="1027"/>
        </w:numPr>
      </w:pPr>
      <w:r>
        <w:t xml:space="preserve">Experimental.</w:t>
      </w:r>
    </w:p>
    <w:p>
      <w:pPr>
        <w:pStyle w:val="Compact"/>
        <w:numPr>
          <w:ilvl w:val="0"/>
          <w:numId w:val="1027"/>
        </w:numPr>
      </w:pPr>
      <w:r>
        <w:t xml:space="preserve">Reusable.</w:t>
      </w:r>
    </w:p>
    <w:p>
      <w:pPr>
        <w:pStyle w:val="Compact"/>
        <w:numPr>
          <w:ilvl w:val="0"/>
          <w:numId w:val="1027"/>
        </w:numPr>
      </w:pPr>
      <w:r>
        <w:t xml:space="preserve">Production.</w:t>
      </w:r>
    </w:p>
    <w:p>
      <w:pPr>
        <w:pStyle w:val="Compact"/>
        <w:numPr>
          <w:ilvl w:val="0"/>
          <w:numId w:val="1027"/>
        </w:numPr>
      </w:pPr>
      <w:r>
        <w:t xml:space="preserve">Retired.</w:t>
      </w:r>
    </w:p>
    <w:p>
      <w:r>
        <w:pict>
          <v:rect style="width:0;height:1.5pt" o:hralign="center" o:hrstd="t" o:hr="t"/>
        </w:pict>
      </w:r>
    </w:p>
    <w:bookmarkEnd w:id="74"/>
    <w:bookmarkStart w:id="75" w:name="future-fabric-migration-strategy"/>
    <w:p>
      <w:pPr>
        <w:pStyle w:val="Heading1"/>
      </w:pPr>
      <w:r>
        <w:t xml:space="preserve">23. Future Fabric Migration Strategy</w:t>
      </w:r>
    </w:p>
    <w:p>
      <w:pPr>
        <w:pStyle w:val="FirstParagraph"/>
      </w:pPr>
      <w:r>
        <w:t xml:space="preserve">Microsoft’s current guidance describes Synapse-to-Fabric Spark migration as a</w:t>
      </w:r>
      <w:r>
        <w:t xml:space="preserve"> </w:t>
      </w:r>
      <w:r>
        <w:rPr>
          <w:b/>
          <w:bCs/>
        </w:rPr>
        <w:t xml:space="preserve">copy-and-adapt process</w:t>
      </w:r>
      <w:r>
        <w:t xml:space="preserve">, rather than a simple in-place migration. The migration can involve notebooks, Spark pools, environments, libraries, metadata, data access, security and validation.</w:t>
      </w:r>
    </w:p>
    <w:p>
      <w:pPr>
        <w:pStyle w:val="BodyText"/>
      </w:pPr>
      <w:r>
        <w:t xml:space="preserve">Therefore, the Synapse adoption programme should explicitly include</w:t>
      </w:r>
      <w:r>
        <w:t xml:space="preserve"> </w:t>
      </w:r>
      <w:r>
        <w:rPr>
          <w:b/>
          <w:bCs/>
        </w:rPr>
        <w:t xml:space="preserve">Fabric readiness</w:t>
      </w:r>
      <w:r>
        <w:t xml:space="preserve"> </w:t>
      </w:r>
      <w:r>
        <w:t xml:space="preserve">as an architectural principle.</w:t>
      </w:r>
    </w:p>
    <w:p>
      <w:pPr>
        <w:pStyle w:val="BodyText"/>
      </w:pPr>
      <w:r>
        <w:t xml:space="preserve">The objective is not to build a large Synapse-specific estate that must subsequently be redesigned.</w:t>
      </w:r>
    </w:p>
    <w:p>
      <w:r>
        <w:pict>
          <v:rect style="width:0;height:1.5pt" o:hralign="center" o:hrstd="t" o:hr="t"/>
        </w:pict>
      </w:r>
    </w:p>
    <w:bookmarkEnd w:id="75"/>
    <w:bookmarkStart w:id="76" w:name="fabric-ready-notebook-principles"/>
    <w:p>
      <w:pPr>
        <w:pStyle w:val="Heading1"/>
      </w:pPr>
      <w:r>
        <w:t xml:space="preserve">24. Fabric-Ready Notebook Principles</w:t>
      </w:r>
    </w:p>
    <w:p>
      <w:pPr>
        <w:pStyle w:val="FirstParagraph"/>
      </w:pPr>
      <w:r>
        <w:t xml:space="preserve">DCoE notebooks should minimise dependency on Synapse-specific functionality.</w:t>
      </w:r>
    </w:p>
    <w:p>
      <w:pPr>
        <w:pStyle w:val="BodyText"/>
      </w:pPr>
      <w:r>
        <w:t xml:space="preserve">Examples include:</w:t>
      </w:r>
    </w:p>
    <w:p>
      <w:pPr>
        <w:pStyle w:val="Compact"/>
        <w:numPr>
          <w:ilvl w:val="0"/>
          <w:numId w:val="1028"/>
        </w:numPr>
      </w:pPr>
      <w:r>
        <w:t xml:space="preserve">Minimise use of Synapse-specific utilities where alternatives exist.</w:t>
      </w:r>
    </w:p>
    <w:p>
      <w:pPr>
        <w:pStyle w:val="Compact"/>
        <w:numPr>
          <w:ilvl w:val="0"/>
          <w:numId w:val="1028"/>
        </w:numPr>
      </w:pPr>
      <w:r>
        <w:t xml:space="preserve">Avoid hard-coded ADLS paths.</w:t>
      </w:r>
    </w:p>
    <w:p>
      <w:pPr>
        <w:pStyle w:val="Compact"/>
        <w:numPr>
          <w:ilvl w:val="0"/>
          <w:numId w:val="1028"/>
        </w:numPr>
      </w:pPr>
      <w:r>
        <w:t xml:space="preserve">Avoid hard-coded workspace identifiers.</w:t>
      </w:r>
    </w:p>
    <w:p>
      <w:pPr>
        <w:pStyle w:val="Compact"/>
        <w:numPr>
          <w:ilvl w:val="0"/>
          <w:numId w:val="1028"/>
        </w:numPr>
      </w:pPr>
      <w:r>
        <w:t xml:space="preserve">Externalise configuration.</w:t>
      </w:r>
    </w:p>
    <w:p>
      <w:pPr>
        <w:pStyle w:val="Compact"/>
        <w:numPr>
          <w:ilvl w:val="0"/>
          <w:numId w:val="1028"/>
        </w:numPr>
      </w:pPr>
      <w:r>
        <w:t xml:space="preserve">Use standard PySpark APIs.</w:t>
      </w:r>
    </w:p>
    <w:p>
      <w:pPr>
        <w:pStyle w:val="Compact"/>
        <w:numPr>
          <w:ilvl w:val="0"/>
          <w:numId w:val="1028"/>
        </w:numPr>
      </w:pPr>
      <w:r>
        <w:t xml:space="preserve">Maintain reusable Python libraries.</w:t>
      </w:r>
    </w:p>
    <w:p>
      <w:pPr>
        <w:pStyle w:val="Compact"/>
        <w:numPr>
          <w:ilvl w:val="0"/>
          <w:numId w:val="1028"/>
        </w:numPr>
      </w:pPr>
      <w:r>
        <w:t xml:space="preserve">Document dependencies.</w:t>
      </w:r>
    </w:p>
    <w:p>
      <w:pPr>
        <w:pStyle w:val="Compact"/>
        <w:numPr>
          <w:ilvl w:val="0"/>
          <w:numId w:val="1028"/>
        </w:numPr>
      </w:pPr>
      <w:r>
        <w:t xml:space="preserve">Maintain environment requirements.</w:t>
      </w:r>
    </w:p>
    <w:p>
      <w:pPr>
        <w:pStyle w:val="Compact"/>
        <w:numPr>
          <w:ilvl w:val="0"/>
          <w:numId w:val="1028"/>
        </w:numPr>
      </w:pPr>
      <w:r>
        <w:t xml:space="preserve">Avoid proprietary APIs unless there is a clear business reason.</w:t>
      </w:r>
    </w:p>
    <w:p>
      <w:pPr>
        <w:pStyle w:val="FirstParagraph"/>
      </w:pPr>
      <w:r>
        <w:t xml:space="preserve">Microsoft’s migration guidance specifically identifies areas requiring attention, including</w:t>
      </w:r>
      <w:r>
        <w:t xml:space="preserve"> </w:t>
      </w:r>
      <w:r>
        <w:rPr>
          <w:rStyle w:val="VerbatimChar"/>
        </w:rPr>
        <w:t xml:space="preserve">mssparkutils</w:t>
      </w:r>
      <w:r>
        <w:t xml:space="preserve">, linked services, file paths, catalog APIs, authentication, Spark properties and libraries.</w:t>
      </w:r>
    </w:p>
    <w:p>
      <w:r>
        <w:pict>
          <v:rect style="width:0;height:1.5pt" o:hralign="center" o:hrstd="t" o:hr="t"/>
        </w:pict>
      </w:r>
    </w:p>
    <w:bookmarkEnd w:id="76"/>
    <w:bookmarkStart w:id="77" w:name="X2ef711ac9548cf9d0829d7bd5403d16d5d61dcd"/>
    <w:p>
      <w:pPr>
        <w:pStyle w:val="Heading1"/>
      </w:pPr>
      <w:r>
        <w:t xml:space="preserve">25. Synapse-to-Fabric Notebook Migration Path</w:t>
      </w:r>
    </w:p>
    <w:p>
      <w:pPr>
        <w:pStyle w:val="FirstParagraph"/>
      </w:pPr>
      <w:r>
        <w:t xml:space="preserve">The proposed path is:</w:t>
      </w:r>
    </w:p>
    <w:p>
      <w:pPr>
        <w:pStyle w:val="SourceCode"/>
      </w:pPr>
      <w:r>
        <w:rPr>
          <w:rStyle w:val="VerbatimChar"/>
        </w:rPr>
        <w:t xml:space="preserve">                  Synapse Workspace</w:t>
      </w:r>
      <w:r>
        <w:br/>
      </w:r>
      <w:r>
        <w:rPr>
          <w:rStyle w:val="VerbatimChar"/>
        </w:rPr>
        <w:t xml:space="preserve">                         |</w:t>
      </w:r>
      <w:r>
        <w:br/>
      </w:r>
      <w:r>
        <w:rPr>
          <w:rStyle w:val="VerbatimChar"/>
        </w:rPr>
        <w:t xml:space="preserve">                         v</w:t>
      </w:r>
      <w:r>
        <w:br/>
      </w:r>
      <w:r>
        <w:rPr>
          <w:rStyle w:val="VerbatimChar"/>
        </w:rPr>
        <w:t xml:space="preserve">                 Notebook Inventory</w:t>
      </w:r>
      <w:r>
        <w:br/>
      </w:r>
      <w:r>
        <w:rPr>
          <w:rStyle w:val="VerbatimChar"/>
        </w:rPr>
        <w:t xml:space="preserve">                         |</w:t>
      </w:r>
      <w:r>
        <w:br/>
      </w:r>
      <w:r>
        <w:rPr>
          <w:rStyle w:val="VerbatimChar"/>
        </w:rPr>
        <w:t xml:space="preserve">                         v</w:t>
      </w:r>
      <w:r>
        <w:br/>
      </w:r>
      <w:r>
        <w:rPr>
          <w:rStyle w:val="VerbatimChar"/>
        </w:rPr>
        <w:t xml:space="preserve">                  Compatibility Scan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Portable              Synapse-specific</w:t>
      </w:r>
      <w:r>
        <w:br/>
      </w:r>
      <w:r>
        <w:rPr>
          <w:rStyle w:val="VerbatimChar"/>
        </w:rPr>
        <w:t xml:space="preserve">          Notebook                Notebook</w:t>
      </w:r>
      <w:r>
        <w:br/>
      </w:r>
      <w:r>
        <w:rPr>
          <w:rStyle w:val="VerbatimChar"/>
        </w:rPr>
        <w:t xml:space="preserve">              |                     |</w:t>
      </w:r>
      <w:r>
        <w:br/>
      </w:r>
      <w:r>
        <w:rPr>
          <w:rStyle w:val="VerbatimChar"/>
        </w:rPr>
        <w:t xml:space="preserve">              |                Refactoring</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Fabric Migration</w:t>
      </w:r>
      <w:r>
        <w:br/>
      </w:r>
      <w:r>
        <w:rPr>
          <w:rStyle w:val="VerbatimChar"/>
        </w:rPr>
        <w:t xml:space="preserve">                         |</w:t>
      </w:r>
      <w:r>
        <w:br/>
      </w:r>
      <w:r>
        <w:rPr>
          <w:rStyle w:val="VerbatimChar"/>
        </w:rPr>
        <w:t xml:space="preserve">                         v</w:t>
      </w:r>
      <w:r>
        <w:br/>
      </w:r>
      <w:r>
        <w:rPr>
          <w:rStyle w:val="VerbatimChar"/>
        </w:rPr>
        <w:t xml:space="preserve">                Fabric Validation</w:t>
      </w:r>
      <w:r>
        <w:br/>
      </w:r>
      <w:r>
        <w:rPr>
          <w:rStyle w:val="VerbatimChar"/>
        </w:rPr>
        <w:t xml:space="preserve">                         |</w:t>
      </w:r>
      <w:r>
        <w:br/>
      </w:r>
      <w:r>
        <w:rPr>
          <w:rStyle w:val="VerbatimChar"/>
        </w:rPr>
        <w:t xml:space="preserve">                         v</w:t>
      </w:r>
      <w:r>
        <w:br/>
      </w:r>
      <w:r>
        <w:rPr>
          <w:rStyle w:val="VerbatimChar"/>
        </w:rPr>
        <w:t xml:space="preserve">                    Production</w:t>
      </w:r>
    </w:p>
    <w:p>
      <w:pPr>
        <w:pStyle w:val="FirstParagraph"/>
      </w:pPr>
      <w:r>
        <w:t xml:space="preserve">Microsoft currently provides several migration approaches, including the Fabric Migration Assistant, manual notebook export/import and API-based migration.</w:t>
      </w:r>
    </w:p>
    <w:p>
      <w:r>
        <w:pict>
          <v:rect style="width:0;height:1.5pt" o:hralign="center" o:hrstd="t" o:hr="t"/>
        </w:pict>
      </w:r>
    </w:p>
    <w:bookmarkEnd w:id="77"/>
    <w:bookmarkStart w:id="85" w:name="recommended-migration-phases"/>
    <w:p>
      <w:pPr>
        <w:pStyle w:val="Heading1"/>
      </w:pPr>
      <w:r>
        <w:t xml:space="preserve">26. Recommended Migration Phases</w:t>
      </w:r>
    </w:p>
    <w:bookmarkStart w:id="78" w:name="phase-1-inventory"/>
    <w:p>
      <w:pPr>
        <w:pStyle w:val="Heading3"/>
      </w:pPr>
      <w:r>
        <w:t xml:space="preserve">Phase 1 – Inventory</w:t>
      </w:r>
    </w:p>
    <w:p>
      <w:pPr>
        <w:pStyle w:val="FirstParagraph"/>
      </w:pPr>
      <w:r>
        <w:t xml:space="preserve">Catalogue:</w:t>
      </w:r>
    </w:p>
    <w:p>
      <w:pPr>
        <w:pStyle w:val="Compact"/>
        <w:numPr>
          <w:ilvl w:val="0"/>
          <w:numId w:val="1029"/>
        </w:numPr>
      </w:pPr>
      <w:r>
        <w:t xml:space="preserve">Notebooks.</w:t>
      </w:r>
    </w:p>
    <w:p>
      <w:pPr>
        <w:pStyle w:val="Compact"/>
        <w:numPr>
          <w:ilvl w:val="0"/>
          <w:numId w:val="1029"/>
        </w:numPr>
      </w:pPr>
      <w:r>
        <w:t xml:space="preserve">Spark pools.</w:t>
      </w:r>
    </w:p>
    <w:p>
      <w:pPr>
        <w:pStyle w:val="Compact"/>
        <w:numPr>
          <w:ilvl w:val="0"/>
          <w:numId w:val="1029"/>
        </w:numPr>
      </w:pPr>
      <w:r>
        <w:t xml:space="preserve">Libraries.</w:t>
      </w:r>
    </w:p>
    <w:p>
      <w:pPr>
        <w:pStyle w:val="Compact"/>
        <w:numPr>
          <w:ilvl w:val="0"/>
          <w:numId w:val="1029"/>
        </w:numPr>
      </w:pPr>
      <w:r>
        <w:t xml:space="preserve">Spark configurations.</w:t>
      </w:r>
    </w:p>
    <w:p>
      <w:pPr>
        <w:pStyle w:val="Compact"/>
        <w:numPr>
          <w:ilvl w:val="0"/>
          <w:numId w:val="1029"/>
        </w:numPr>
      </w:pPr>
      <w:r>
        <w:t xml:space="preserve">Linked services.</w:t>
      </w:r>
    </w:p>
    <w:p>
      <w:pPr>
        <w:pStyle w:val="Compact"/>
        <w:numPr>
          <w:ilvl w:val="0"/>
          <w:numId w:val="1029"/>
        </w:numPr>
      </w:pPr>
      <w:r>
        <w:t xml:space="preserve">Data sources.</w:t>
      </w:r>
    </w:p>
    <w:p>
      <w:pPr>
        <w:pStyle w:val="Compact"/>
        <w:numPr>
          <w:ilvl w:val="0"/>
          <w:numId w:val="1029"/>
        </w:numPr>
      </w:pPr>
      <w:r>
        <w:t xml:space="preserve">Data paths.</w:t>
      </w:r>
    </w:p>
    <w:p>
      <w:pPr>
        <w:pStyle w:val="Compact"/>
        <w:numPr>
          <w:ilvl w:val="0"/>
          <w:numId w:val="1029"/>
        </w:numPr>
      </w:pPr>
      <w:r>
        <w:t xml:space="preserve">Notebook dependencies.</w:t>
      </w:r>
    </w:p>
    <w:bookmarkEnd w:id="78"/>
    <w:bookmarkStart w:id="79" w:name="phase-2-classify"/>
    <w:p>
      <w:pPr>
        <w:pStyle w:val="Heading3"/>
      </w:pPr>
      <w:r>
        <w:t xml:space="preserve">Phase 2 – Classify</w:t>
      </w:r>
    </w:p>
    <w:p>
      <w:pPr>
        <w:pStyle w:val="FirstParagraph"/>
      </w:pPr>
      <w:r>
        <w:t xml:space="preserve">Classify notebooks as:</w:t>
      </w:r>
    </w:p>
    <w:p>
      <w:pPr>
        <w:pStyle w:val="Compact"/>
        <w:numPr>
          <w:ilvl w:val="0"/>
          <w:numId w:val="1030"/>
        </w:numPr>
      </w:pPr>
      <w:r>
        <w:t xml:space="preserve">Retire.</w:t>
      </w:r>
    </w:p>
    <w:p>
      <w:pPr>
        <w:pStyle w:val="Compact"/>
        <w:numPr>
          <w:ilvl w:val="0"/>
          <w:numId w:val="1030"/>
        </w:numPr>
      </w:pPr>
      <w:r>
        <w:t xml:space="preserve">Retain in Synapse.</w:t>
      </w:r>
    </w:p>
    <w:p>
      <w:pPr>
        <w:pStyle w:val="Compact"/>
        <w:numPr>
          <w:ilvl w:val="0"/>
          <w:numId w:val="1030"/>
        </w:numPr>
      </w:pPr>
      <w:r>
        <w:t xml:space="preserve">Fabric candidate.</w:t>
      </w:r>
    </w:p>
    <w:p>
      <w:pPr>
        <w:pStyle w:val="Compact"/>
        <w:numPr>
          <w:ilvl w:val="0"/>
          <w:numId w:val="1030"/>
        </w:numPr>
      </w:pPr>
      <w:r>
        <w:t xml:space="preserve">Refactor before migration.</w:t>
      </w:r>
    </w:p>
    <w:bookmarkEnd w:id="79"/>
    <w:bookmarkStart w:id="80" w:name="phase-3-refactor"/>
    <w:p>
      <w:pPr>
        <w:pStyle w:val="Heading3"/>
      </w:pPr>
      <w:r>
        <w:t xml:space="preserve">Phase 3 – Refactor</w:t>
      </w:r>
    </w:p>
    <w:p>
      <w:pPr>
        <w:pStyle w:val="FirstParagraph"/>
      </w:pPr>
      <w:r>
        <w:t xml:space="preserve">Replace Synapse-specific dependencies where required.</w:t>
      </w:r>
    </w:p>
    <w:p>
      <w:pPr>
        <w:pStyle w:val="BodyText"/>
      </w:pPr>
      <w:r>
        <w:t xml:space="preserve">For example, Microsoft’s current migration guidance identifies replacement of</w:t>
      </w:r>
      <w:r>
        <w:t xml:space="preserve"> </w:t>
      </w:r>
      <w:r>
        <w:rPr>
          <w:rStyle w:val="VerbatimChar"/>
        </w:rPr>
        <w:t xml:space="preserve">mssparkutils</w:t>
      </w:r>
      <w:r>
        <w:t xml:space="preserve"> </w:t>
      </w:r>
      <w:r>
        <w:t xml:space="preserve">patterns with</w:t>
      </w:r>
      <w:r>
        <w:t xml:space="preserve"> </w:t>
      </w:r>
      <w:r>
        <w:rPr>
          <w:rStyle w:val="VerbatimChar"/>
        </w:rPr>
        <w:t xml:space="preserve">notebookutils</w:t>
      </w:r>
      <w:r>
        <w:t xml:space="preserve"> </w:t>
      </w:r>
      <w:r>
        <w:t xml:space="preserve">and replacement of Synapse linked-service patterns with Fabric Connections.</w:t>
      </w:r>
    </w:p>
    <w:bookmarkEnd w:id="80"/>
    <w:bookmarkStart w:id="81" w:name="phase-4-migrate"/>
    <w:p>
      <w:pPr>
        <w:pStyle w:val="Heading3"/>
      </w:pPr>
      <w:r>
        <w:t xml:space="preserve">Phase 4 – Migrate</w:t>
      </w:r>
    </w:p>
    <w:p>
      <w:pPr>
        <w:pStyle w:val="FirstParagraph"/>
      </w:pPr>
      <w:r>
        <w:t xml:space="preserve">Use the appropriate Fabric migration mechanism.</w:t>
      </w:r>
    </w:p>
    <w:bookmarkEnd w:id="81"/>
    <w:bookmarkStart w:id="82" w:name="phase-5-validate"/>
    <w:p>
      <w:pPr>
        <w:pStyle w:val="Heading3"/>
      </w:pPr>
      <w:r>
        <w:t xml:space="preserve">Phase 5 – Validate</w:t>
      </w:r>
    </w:p>
    <w:p>
      <w:pPr>
        <w:pStyle w:val="FirstParagraph"/>
      </w:pPr>
      <w:r>
        <w:t xml:space="preserve">Validate:</w:t>
      </w:r>
    </w:p>
    <w:p>
      <w:pPr>
        <w:pStyle w:val="Compact"/>
        <w:numPr>
          <w:ilvl w:val="0"/>
          <w:numId w:val="1031"/>
        </w:numPr>
      </w:pPr>
      <w:r>
        <w:t xml:space="preserve">Functional results.</w:t>
      </w:r>
    </w:p>
    <w:p>
      <w:pPr>
        <w:pStyle w:val="Compact"/>
        <w:numPr>
          <w:ilvl w:val="0"/>
          <w:numId w:val="1031"/>
        </w:numPr>
      </w:pPr>
      <w:r>
        <w:t xml:space="preserve">Row counts.</w:t>
      </w:r>
    </w:p>
    <w:p>
      <w:pPr>
        <w:pStyle w:val="Compact"/>
        <w:numPr>
          <w:ilvl w:val="0"/>
          <w:numId w:val="1031"/>
        </w:numPr>
      </w:pPr>
      <w:r>
        <w:t xml:space="preserve">Schema.</w:t>
      </w:r>
    </w:p>
    <w:p>
      <w:pPr>
        <w:pStyle w:val="Compact"/>
        <w:numPr>
          <w:ilvl w:val="0"/>
          <w:numId w:val="1031"/>
        </w:numPr>
      </w:pPr>
      <w:r>
        <w:t xml:space="preserve">Performance.</w:t>
      </w:r>
    </w:p>
    <w:p>
      <w:pPr>
        <w:pStyle w:val="Compact"/>
        <w:numPr>
          <w:ilvl w:val="0"/>
          <w:numId w:val="1031"/>
        </w:numPr>
      </w:pPr>
      <w:r>
        <w:t xml:space="preserve">Security.</w:t>
      </w:r>
    </w:p>
    <w:p>
      <w:pPr>
        <w:pStyle w:val="Compact"/>
        <w:numPr>
          <w:ilvl w:val="0"/>
          <w:numId w:val="1031"/>
        </w:numPr>
      </w:pPr>
      <w:r>
        <w:t xml:space="preserve">Data access.</w:t>
      </w:r>
    </w:p>
    <w:p>
      <w:pPr>
        <w:pStyle w:val="Compact"/>
        <w:numPr>
          <w:ilvl w:val="0"/>
          <w:numId w:val="1031"/>
        </w:numPr>
      </w:pPr>
      <w:r>
        <w:t xml:space="preserve">Dependencies.</w:t>
      </w:r>
    </w:p>
    <w:bookmarkEnd w:id="82"/>
    <w:bookmarkStart w:id="83" w:name="phase-6-cutover"/>
    <w:p>
      <w:pPr>
        <w:pStyle w:val="Heading3"/>
      </w:pPr>
      <w:r>
        <w:t xml:space="preserve">Phase 6 – Cutover</w:t>
      </w:r>
    </w:p>
    <w:p>
      <w:pPr>
        <w:pStyle w:val="FirstParagraph"/>
      </w:pPr>
      <w:r>
        <w:t xml:space="preserve">Move consumers to the Fabric workload.</w:t>
      </w:r>
    </w:p>
    <w:bookmarkEnd w:id="83"/>
    <w:bookmarkStart w:id="84" w:name="phase-7-decommission"/>
    <w:p>
      <w:pPr>
        <w:pStyle w:val="Heading3"/>
      </w:pPr>
      <w:r>
        <w:t xml:space="preserve">Phase 7 – Decommission</w:t>
      </w:r>
    </w:p>
    <w:p>
      <w:pPr>
        <w:pStyle w:val="FirstParagraph"/>
      </w:pPr>
      <w:r>
        <w:t xml:space="preserve">Retire the corresponding Synapse Spark workload once production stability has been demonstrated.</w:t>
      </w:r>
    </w:p>
    <w:p>
      <w:pPr>
        <w:pStyle w:val="BodyText"/>
      </w:pPr>
      <w:r>
        <w:t xml:space="preserve">Microsoft’s migration guidance recommends parallel validation, downstream rerouting and monitoring before final cutover.</w:t>
      </w:r>
    </w:p>
    <w:p>
      <w:r>
        <w:pict>
          <v:rect style="width:0;height:1.5pt" o:hralign="center" o:hrstd="t" o:hr="t"/>
        </w:pict>
      </w:r>
    </w:p>
    <w:bookmarkEnd w:id="84"/>
    <w:bookmarkEnd w:id="85"/>
    <w:bookmarkStart w:id="89" w:name="recommended-technology-direction"/>
    <w:p>
      <w:pPr>
        <w:pStyle w:val="Heading1"/>
      </w:pPr>
      <w:r>
        <w:t xml:space="preserve">27. Recommended Technology Direction</w:t>
      </w:r>
    </w:p>
    <w:p>
      <w:pPr>
        <w:pStyle w:val="FirstParagraph"/>
      </w:pPr>
      <w:r>
        <w:t xml:space="preserve">The strategic technology direction should be:</w:t>
      </w:r>
    </w:p>
    <w:bookmarkStart w:id="86" w:name="short-term"/>
    <w:p>
      <w:pPr>
        <w:pStyle w:val="Heading3"/>
      </w:pPr>
      <w:r>
        <w:t xml:space="preserve">Short term</w:t>
      </w:r>
    </w:p>
    <w:p>
      <w:pPr>
        <w:pStyle w:val="FirstParagraph"/>
      </w:pPr>
      <w:r>
        <w:rPr>
          <w:b/>
          <w:bCs/>
        </w:rPr>
        <w:t xml:space="preserve">Azure Synapse + ADLS Gen2 + Dedicated SQL Pool + Synapse Spark</w:t>
      </w:r>
    </w:p>
    <w:p>
      <w:pPr>
        <w:pStyle w:val="BodyText"/>
      </w:pPr>
      <w:r>
        <w:t xml:space="preserve">Use Synapse Workspace to establish governed self-service analytics.</w:t>
      </w:r>
    </w:p>
    <w:bookmarkEnd w:id="86"/>
    <w:bookmarkStart w:id="87" w:name="medium-term"/>
    <w:p>
      <w:pPr>
        <w:pStyle w:val="Heading3"/>
      </w:pPr>
      <w:r>
        <w:t xml:space="preserve">Medium term</w:t>
      </w:r>
    </w:p>
    <w:p>
      <w:pPr>
        <w:pStyle w:val="FirstParagraph"/>
      </w:pPr>
      <w:r>
        <w:rPr>
          <w:b/>
          <w:bCs/>
        </w:rPr>
        <w:t xml:space="preserve">Increase workload separation and standardise analytical engineering patterns.</w:t>
      </w:r>
    </w:p>
    <w:p>
      <w:pPr>
        <w:pStyle w:val="BodyText"/>
      </w:pPr>
      <w:r>
        <w:t xml:space="preserve">Identify workloads that are candidates for Fabric.</w:t>
      </w:r>
    </w:p>
    <w:bookmarkEnd w:id="87"/>
    <w:bookmarkStart w:id="88" w:name="long-term"/>
    <w:p>
      <w:pPr>
        <w:pStyle w:val="Heading3"/>
      </w:pPr>
      <w:r>
        <w:t xml:space="preserve">Long term</w:t>
      </w:r>
    </w:p>
    <w:p>
      <w:pPr>
        <w:pStyle w:val="FirstParagraph"/>
      </w:pPr>
      <w:r>
        <w:rPr>
          <w:b/>
          <w:bCs/>
        </w:rPr>
        <w:t xml:space="preserve">Microsoft Fabric as the strategic analytics evolution path</w:t>
      </w:r>
      <w:r>
        <w:t xml:space="preserve">, subject to ABC Insurance’s enterprise architecture, licensing, security and commercial decisions.</w:t>
      </w:r>
    </w:p>
    <w:p>
      <w:pPr>
        <w:pStyle w:val="BodyText"/>
      </w:pPr>
      <w:r>
        <w:t xml:space="preserve">This avoids creating an artificial</w:t>
      </w:r>
      <w:r>
        <w:t xml:space="preserve"> </w:t>
      </w:r>
      <w:r>
        <w:t xml:space="preserve">“Synapse versus Fabric”</w:t>
      </w:r>
      <w:r>
        <w:t xml:space="preserve"> </w:t>
      </w:r>
      <w:r>
        <w:t xml:space="preserve">decision today.</w:t>
      </w:r>
    </w:p>
    <w:p>
      <w:r>
        <w:pict>
          <v:rect style="width:0;height:1.5pt" o:hralign="center" o:hrstd="t" o:hr="t"/>
        </w:pict>
      </w:r>
    </w:p>
    <w:bookmarkEnd w:id="88"/>
    <w:bookmarkEnd w:id="89"/>
    <w:bookmarkStart w:id="90" w:name="operating-model"/>
    <w:p>
      <w:pPr>
        <w:pStyle w:val="Heading1"/>
      </w:pPr>
      <w:r>
        <w:t xml:space="preserve">28. Operating Model</w:t>
      </w:r>
    </w:p>
    <w:p>
      <w:pPr>
        <w:pStyle w:val="FirstParagraph"/>
      </w:pPr>
      <w:r>
        <w:t xml:space="preserve">The operating model should have clear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Enterprise Architecture</w:t>
            </w:r>
          </w:p>
        </w:tc>
        <w:tc>
          <w:tcPr/>
          <w:p>
            <w:pPr>
              <w:pStyle w:val="Compact"/>
            </w:pPr>
            <w:r>
              <w:t xml:space="preserve">Architecture standards and roadmap</w:t>
            </w:r>
          </w:p>
        </w:tc>
      </w:tr>
      <w:tr>
        <w:tc>
          <w:tcPr/>
          <w:p>
            <w:pPr>
              <w:pStyle w:val="Compact"/>
            </w:pPr>
            <w:r>
              <w:t xml:space="preserve">Data Platform Team</w:t>
            </w:r>
          </w:p>
        </w:tc>
        <w:tc>
          <w:tcPr/>
          <w:p>
            <w:pPr>
              <w:pStyle w:val="Compact"/>
            </w:pPr>
            <w:r>
              <w:t xml:space="preserve">Workspace/platform management</w:t>
            </w:r>
          </w:p>
        </w:tc>
      </w:tr>
      <w:tr>
        <w:tc>
          <w:tcPr/>
          <w:p>
            <w:pPr>
              <w:pStyle w:val="Compact"/>
            </w:pPr>
            <w:r>
              <w:t xml:space="preserve">DCoE</w:t>
            </w:r>
          </w:p>
        </w:tc>
        <w:tc>
          <w:tcPr/>
          <w:p>
            <w:pPr>
              <w:pStyle w:val="Compact"/>
            </w:pPr>
            <w:r>
              <w:t xml:space="preserve">Self-service development and standards</w:t>
            </w:r>
          </w:p>
        </w:tc>
      </w:tr>
      <w:tr>
        <w:tc>
          <w:tcPr/>
          <w:p>
            <w:pPr>
              <w:pStyle w:val="Compact"/>
            </w:pPr>
            <w:r>
              <w:t xml:space="preserve">Data Governance</w:t>
            </w:r>
          </w:p>
        </w:tc>
        <w:tc>
          <w:tcPr/>
          <w:p>
            <w:pPr>
              <w:pStyle w:val="Compact"/>
            </w:pPr>
            <w:r>
              <w:t xml:space="preserve">Data classification and governance</w:t>
            </w:r>
          </w:p>
        </w:tc>
      </w:tr>
      <w:tr>
        <w:tc>
          <w:tcPr/>
          <w:p>
            <w:pPr>
              <w:pStyle w:val="Compact"/>
            </w:pPr>
            <w:r>
              <w:t xml:space="preserve">Security</w:t>
            </w:r>
          </w:p>
        </w:tc>
        <w:tc>
          <w:tcPr/>
          <w:p>
            <w:pPr>
              <w:pStyle w:val="Compact"/>
            </w:pPr>
            <w:r>
              <w:t xml:space="preserve">Identity and access</w:t>
            </w:r>
          </w:p>
        </w:tc>
      </w:tr>
      <w:tr>
        <w:tc>
          <w:tcPr/>
          <w:p>
            <w:pPr>
              <w:pStyle w:val="Compact"/>
            </w:pPr>
            <w:r>
              <w:t xml:space="preserve">Data Engineering</w:t>
            </w:r>
          </w:p>
        </w:tc>
        <w:tc>
          <w:tcPr/>
          <w:p>
            <w:pPr>
              <w:pStyle w:val="Compact"/>
            </w:pPr>
            <w:r>
              <w:t xml:space="preserve">Productionisation</w:t>
            </w:r>
          </w:p>
        </w:tc>
      </w:tr>
      <w:tr>
        <w:tc>
          <w:tcPr/>
          <w:p>
            <w:pPr>
              <w:pStyle w:val="Compact"/>
            </w:pPr>
            <w:r>
              <w:t xml:space="preserve">BI Team</w:t>
            </w:r>
          </w:p>
        </w:tc>
        <w:tc>
          <w:tcPr/>
          <w:p>
            <w:pPr>
              <w:pStyle w:val="Compact"/>
            </w:pPr>
            <w:r>
              <w:t xml:space="preserve">Semantic models/reporting</w:t>
            </w:r>
          </w:p>
        </w:tc>
      </w:tr>
      <w:tr>
        <w:tc>
          <w:tcPr/>
          <w:p>
            <w:pPr>
              <w:pStyle w:val="Compact"/>
            </w:pPr>
            <w:r>
              <w:t xml:space="preserve">Business Users</w:t>
            </w:r>
          </w:p>
        </w:tc>
        <w:tc>
          <w:tcPr/>
          <w:p>
            <w:pPr>
              <w:pStyle w:val="Compact"/>
            </w:pPr>
            <w:r>
              <w:t xml:space="preserve">Analytical requirements and validation</w:t>
            </w:r>
          </w:p>
        </w:tc>
      </w:tr>
      <w:tr>
        <w:tc>
          <w:tcPr/>
          <w:p>
            <w:pPr>
              <w:pStyle w:val="Compact"/>
            </w:pPr>
            <w:r>
              <w:t xml:space="preserve">FinOps</w:t>
            </w:r>
          </w:p>
        </w:tc>
        <w:tc>
          <w:tcPr/>
          <w:p>
            <w:pPr>
              <w:pStyle w:val="Compact"/>
            </w:pPr>
            <w:r>
              <w:t xml:space="preserve">Cost monitoring</w:t>
            </w:r>
          </w:p>
        </w:tc>
      </w:tr>
    </w:tbl>
    <w:p>
      <w:pPr>
        <w:pStyle w:val="BodyText"/>
      </w:pPr>
      <w:r>
        <w:t xml:space="preserve">DCoE should not become an uncontrolled shadow IT function.</w:t>
      </w:r>
    </w:p>
    <w:p>
      <w:r>
        <w:pict>
          <v:rect style="width:0;height:1.5pt" o:hralign="center" o:hrstd="t" o:hr="t"/>
        </w:pict>
      </w:r>
    </w:p>
    <w:bookmarkEnd w:id="90"/>
    <w:bookmarkStart w:id="96" w:name="governance-gates"/>
    <w:p>
      <w:pPr>
        <w:pStyle w:val="Heading1"/>
      </w:pPr>
      <w:r>
        <w:t xml:space="preserve">29. Governance Gates</w:t>
      </w:r>
    </w:p>
    <w:p>
      <w:pPr>
        <w:pStyle w:val="FirstParagraph"/>
      </w:pPr>
      <w:r>
        <w:t xml:space="preserve">A lightweight governance process is recommended.</w:t>
      </w:r>
    </w:p>
    <w:bookmarkStart w:id="91" w:name="gate-1-access"/>
    <w:p>
      <w:pPr>
        <w:pStyle w:val="Heading3"/>
      </w:pPr>
      <w:r>
        <w:t xml:space="preserve">Gate 1 – Access</w:t>
      </w:r>
    </w:p>
    <w:p>
      <w:pPr>
        <w:pStyle w:val="FirstParagraph"/>
      </w:pPr>
      <w:r>
        <w:t xml:space="preserve">Does the user require access?</w:t>
      </w:r>
    </w:p>
    <w:bookmarkEnd w:id="91"/>
    <w:bookmarkStart w:id="92" w:name="gate-2-data"/>
    <w:p>
      <w:pPr>
        <w:pStyle w:val="Heading3"/>
      </w:pPr>
      <w:r>
        <w:t xml:space="preserve">Gate 2 – Data</w:t>
      </w:r>
    </w:p>
    <w:p>
      <w:pPr>
        <w:pStyle w:val="FirstParagraph"/>
      </w:pPr>
      <w:r>
        <w:t xml:space="preserve">Is the requested data approved for self-service?</w:t>
      </w:r>
    </w:p>
    <w:bookmarkEnd w:id="92"/>
    <w:bookmarkStart w:id="93" w:name="gate-3-workload"/>
    <w:p>
      <w:pPr>
        <w:pStyle w:val="Heading3"/>
      </w:pPr>
      <w:r>
        <w:t xml:space="preserve">Gate 3 – Workload</w:t>
      </w:r>
    </w:p>
    <w:p>
      <w:pPr>
        <w:pStyle w:val="FirstParagraph"/>
      </w:pPr>
      <w:r>
        <w:t xml:space="preserve">Is Spark the appropriate compute engine?</w:t>
      </w:r>
    </w:p>
    <w:bookmarkEnd w:id="93"/>
    <w:bookmarkStart w:id="94" w:name="gate-4-productionisation"/>
    <w:p>
      <w:pPr>
        <w:pStyle w:val="Heading3"/>
      </w:pPr>
      <w:r>
        <w:t xml:space="preserve">Gate 4 – Productionisation</w:t>
      </w:r>
    </w:p>
    <w:p>
      <w:pPr>
        <w:pStyle w:val="FirstParagraph"/>
      </w:pPr>
      <w:r>
        <w:t xml:space="preserve">Should the analytical workload become an enterprise data product?</w:t>
      </w:r>
    </w:p>
    <w:bookmarkEnd w:id="94"/>
    <w:bookmarkStart w:id="95" w:name="gate-5-lifecycle"/>
    <w:p>
      <w:pPr>
        <w:pStyle w:val="Heading3"/>
      </w:pPr>
      <w:r>
        <w:t xml:space="preserve">Gate 5 – Lifecycle</w:t>
      </w:r>
    </w:p>
    <w:p>
      <w:pPr>
        <w:pStyle w:val="FirstParagraph"/>
      </w:pPr>
      <w:r>
        <w:t xml:space="preserve">Should the notebook/dataset be retained, archived or deleted?</w:t>
      </w:r>
    </w:p>
    <w:p>
      <w:r>
        <w:pict>
          <v:rect style="width:0;height:1.5pt" o:hralign="center" o:hrstd="t" o:hr="t"/>
        </w:pict>
      </w:r>
    </w:p>
    <w:bookmarkEnd w:id="95"/>
    <w:bookmarkEnd w:id="96"/>
    <w:bookmarkStart w:id="97" w:name="cost-management-1"/>
    <w:p>
      <w:pPr>
        <w:pStyle w:val="Heading1"/>
      </w:pPr>
      <w:r>
        <w:t xml:space="preserve">30. Cost Management</w:t>
      </w:r>
    </w:p>
    <w:p>
      <w:pPr>
        <w:pStyle w:val="FirstParagraph"/>
      </w:pPr>
      <w:r>
        <w:t xml:space="preserve">Cost monitoring should be implemented from the beginning.</w:t>
      </w:r>
    </w:p>
    <w:p>
      <w:pPr>
        <w:pStyle w:val="BodyText"/>
      </w:pPr>
      <w:r>
        <w:t xml:space="preserve">The platform should monitor:</w:t>
      </w:r>
    </w:p>
    <w:p>
      <w:pPr>
        <w:pStyle w:val="Compact"/>
        <w:numPr>
          <w:ilvl w:val="0"/>
          <w:numId w:val="1032"/>
        </w:numPr>
      </w:pPr>
      <w:r>
        <w:t xml:space="preserve">Spark pool consumption.</w:t>
      </w:r>
    </w:p>
    <w:p>
      <w:pPr>
        <w:pStyle w:val="Compact"/>
        <w:numPr>
          <w:ilvl w:val="0"/>
          <w:numId w:val="1032"/>
        </w:numPr>
      </w:pPr>
      <w:r>
        <w:t xml:space="preserve">Job duration.</w:t>
      </w:r>
    </w:p>
    <w:p>
      <w:pPr>
        <w:pStyle w:val="Compact"/>
        <w:numPr>
          <w:ilvl w:val="0"/>
          <w:numId w:val="1032"/>
        </w:numPr>
      </w:pPr>
      <w:r>
        <w:t xml:space="preserve">Number of Spark jobs.</w:t>
      </w:r>
    </w:p>
    <w:p>
      <w:pPr>
        <w:pStyle w:val="Compact"/>
        <w:numPr>
          <w:ilvl w:val="0"/>
          <w:numId w:val="1032"/>
        </w:numPr>
      </w:pPr>
      <w:r>
        <w:t xml:space="preserve">Failed jobs.</w:t>
      </w:r>
    </w:p>
    <w:p>
      <w:pPr>
        <w:pStyle w:val="Compact"/>
        <w:numPr>
          <w:ilvl w:val="0"/>
          <w:numId w:val="1032"/>
        </w:numPr>
      </w:pPr>
      <w:r>
        <w:t xml:space="preserve">Idle compute.</w:t>
      </w:r>
    </w:p>
    <w:p>
      <w:pPr>
        <w:pStyle w:val="Compact"/>
        <w:numPr>
          <w:ilvl w:val="0"/>
          <w:numId w:val="1032"/>
        </w:numPr>
      </w:pPr>
      <w:r>
        <w:t xml:space="preserve">Storage consumption.</w:t>
      </w:r>
    </w:p>
    <w:p>
      <w:pPr>
        <w:pStyle w:val="Compact"/>
        <w:numPr>
          <w:ilvl w:val="0"/>
          <w:numId w:val="1032"/>
        </w:numPr>
      </w:pPr>
      <w:r>
        <w:t xml:space="preserve">Dataset duplication.</w:t>
      </w:r>
    </w:p>
    <w:p>
      <w:pPr>
        <w:pStyle w:val="FirstParagraph"/>
      </w:pPr>
      <w:r>
        <w:t xml:space="preserve">Users should be encouraged to:</w:t>
      </w:r>
    </w:p>
    <w:p>
      <w:pPr>
        <w:pStyle w:val="Compact"/>
        <w:numPr>
          <w:ilvl w:val="0"/>
          <w:numId w:val="1033"/>
        </w:numPr>
      </w:pPr>
      <w:r>
        <w:t xml:space="preserve">Stop unnecessary sessions.</w:t>
      </w:r>
    </w:p>
    <w:p>
      <w:pPr>
        <w:pStyle w:val="Compact"/>
        <w:numPr>
          <w:ilvl w:val="0"/>
          <w:numId w:val="1033"/>
        </w:numPr>
      </w:pPr>
      <w:r>
        <w:t xml:space="preserve">Avoid inefficient Spark processing.</w:t>
      </w:r>
    </w:p>
    <w:p>
      <w:pPr>
        <w:pStyle w:val="Compact"/>
        <w:numPr>
          <w:ilvl w:val="0"/>
          <w:numId w:val="1033"/>
        </w:numPr>
      </w:pPr>
      <w:r>
        <w:t xml:space="preserve">Reuse datasets.</w:t>
      </w:r>
    </w:p>
    <w:p>
      <w:pPr>
        <w:pStyle w:val="Compact"/>
        <w:numPr>
          <w:ilvl w:val="0"/>
          <w:numId w:val="1033"/>
        </w:numPr>
      </w:pPr>
      <w:r>
        <w:t xml:space="preserve">Avoid unnecessary data duplication.</w:t>
      </w:r>
    </w:p>
    <w:p>
      <w:pPr>
        <w:pStyle w:val="Compact"/>
        <w:numPr>
          <w:ilvl w:val="0"/>
          <w:numId w:val="1033"/>
        </w:numPr>
      </w:pPr>
      <w:r>
        <w:t xml:space="preserve">Use appropriate file formats.</w:t>
      </w:r>
    </w:p>
    <w:p>
      <w:pPr>
        <w:pStyle w:val="Compact"/>
        <w:numPr>
          <w:ilvl w:val="0"/>
          <w:numId w:val="1033"/>
        </w:numPr>
      </w:pPr>
      <w:r>
        <w:t xml:space="preserve">Apply retention policies.</w:t>
      </w:r>
    </w:p>
    <w:p>
      <w:r>
        <w:pict>
          <v:rect style="width:0;height:1.5pt" o:hralign="center" o:hrstd="t" o:hr="t"/>
        </w:pict>
      </w:r>
    </w:p>
    <w:bookmarkEnd w:id="97"/>
    <w:bookmarkStart w:id="100" w:name="performance-management"/>
    <w:p>
      <w:pPr>
        <w:pStyle w:val="Heading1"/>
      </w:pPr>
      <w:r>
        <w:t xml:space="preserve">31. Performance Management</w:t>
      </w:r>
    </w:p>
    <w:p>
      <w:pPr>
        <w:pStyle w:val="FirstParagraph"/>
      </w:pPr>
      <w:r>
        <w:t xml:space="preserve">Performance standards should cover both Spark and SQL.</w:t>
      </w:r>
    </w:p>
    <w:bookmarkStart w:id="98" w:name="dedicated-sql-pool"/>
    <w:p>
      <w:pPr>
        <w:pStyle w:val="Heading3"/>
      </w:pPr>
      <w:r>
        <w:t xml:space="preserve">Dedicated SQL Pool</w:t>
      </w:r>
    </w:p>
    <w:p>
      <w:pPr>
        <w:pStyle w:val="FirstParagraph"/>
      </w:pPr>
      <w:r>
        <w:t xml:space="preserve">Monitor:</w:t>
      </w:r>
    </w:p>
    <w:p>
      <w:pPr>
        <w:pStyle w:val="Compact"/>
        <w:numPr>
          <w:ilvl w:val="0"/>
          <w:numId w:val="1034"/>
        </w:numPr>
      </w:pPr>
      <w:r>
        <w:t xml:space="preserve">Query duration.</w:t>
      </w:r>
    </w:p>
    <w:p>
      <w:pPr>
        <w:pStyle w:val="Compact"/>
        <w:numPr>
          <w:ilvl w:val="0"/>
          <w:numId w:val="1034"/>
        </w:numPr>
      </w:pPr>
      <w:r>
        <w:t xml:space="preserve">Queue time.</w:t>
      </w:r>
    </w:p>
    <w:p>
      <w:pPr>
        <w:pStyle w:val="Compact"/>
        <w:numPr>
          <w:ilvl w:val="0"/>
          <w:numId w:val="1034"/>
        </w:numPr>
      </w:pPr>
      <w:r>
        <w:t xml:space="preserve">Resource utilisation.</w:t>
      </w:r>
    </w:p>
    <w:p>
      <w:pPr>
        <w:pStyle w:val="Compact"/>
        <w:numPr>
          <w:ilvl w:val="0"/>
          <w:numId w:val="1034"/>
        </w:numPr>
      </w:pPr>
      <w:r>
        <w:t xml:space="preserve">Workload groups.</w:t>
      </w:r>
    </w:p>
    <w:p>
      <w:pPr>
        <w:pStyle w:val="Compact"/>
        <w:numPr>
          <w:ilvl w:val="0"/>
          <w:numId w:val="1034"/>
        </w:numPr>
      </w:pPr>
      <w:r>
        <w:t xml:space="preserve">Concurrency.</w:t>
      </w:r>
    </w:p>
    <w:p>
      <w:pPr>
        <w:pStyle w:val="Compact"/>
        <w:numPr>
          <w:ilvl w:val="0"/>
          <w:numId w:val="1034"/>
        </w:numPr>
      </w:pPr>
      <w:r>
        <w:t xml:space="preserve">ETL impact.</w:t>
      </w:r>
    </w:p>
    <w:bookmarkEnd w:id="98"/>
    <w:bookmarkStart w:id="99" w:name="spark"/>
    <w:p>
      <w:pPr>
        <w:pStyle w:val="Heading3"/>
      </w:pPr>
      <w:r>
        <w:t xml:space="preserve">Spark</w:t>
      </w:r>
    </w:p>
    <w:p>
      <w:pPr>
        <w:pStyle w:val="FirstParagraph"/>
      </w:pPr>
      <w:r>
        <w:t xml:space="preserve">Monitor:</w:t>
      </w:r>
    </w:p>
    <w:p>
      <w:pPr>
        <w:pStyle w:val="Compact"/>
        <w:numPr>
          <w:ilvl w:val="0"/>
          <w:numId w:val="1035"/>
        </w:numPr>
      </w:pPr>
      <w:r>
        <w:t xml:space="preserve">Job duration.</w:t>
      </w:r>
    </w:p>
    <w:p>
      <w:pPr>
        <w:pStyle w:val="Compact"/>
        <w:numPr>
          <w:ilvl w:val="0"/>
          <w:numId w:val="1035"/>
        </w:numPr>
      </w:pPr>
      <w:r>
        <w:t xml:space="preserve">Executor utilisation.</w:t>
      </w:r>
    </w:p>
    <w:p>
      <w:pPr>
        <w:pStyle w:val="Compact"/>
        <w:numPr>
          <w:ilvl w:val="0"/>
          <w:numId w:val="1035"/>
        </w:numPr>
      </w:pPr>
      <w:r>
        <w:t xml:space="preserve">Shuffle.</w:t>
      </w:r>
    </w:p>
    <w:p>
      <w:pPr>
        <w:pStyle w:val="Compact"/>
        <w:numPr>
          <w:ilvl w:val="0"/>
          <w:numId w:val="1035"/>
        </w:numPr>
      </w:pPr>
      <w:r>
        <w:t xml:space="preserve">Data skew.</w:t>
      </w:r>
    </w:p>
    <w:p>
      <w:pPr>
        <w:pStyle w:val="Compact"/>
        <w:numPr>
          <w:ilvl w:val="0"/>
          <w:numId w:val="1035"/>
        </w:numPr>
      </w:pPr>
      <w:r>
        <w:t xml:space="preserve">Partitioning.</w:t>
      </w:r>
    </w:p>
    <w:p>
      <w:pPr>
        <w:pStyle w:val="Compact"/>
        <w:numPr>
          <w:ilvl w:val="0"/>
          <w:numId w:val="1035"/>
        </w:numPr>
      </w:pPr>
      <w:r>
        <w:t xml:space="preserve">Memory pressure.</w:t>
      </w:r>
    </w:p>
    <w:p>
      <w:pPr>
        <w:pStyle w:val="Compact"/>
        <w:numPr>
          <w:ilvl w:val="0"/>
          <w:numId w:val="1035"/>
        </w:numPr>
      </w:pPr>
      <w:r>
        <w:t xml:space="preserve">Failed stages.</w:t>
      </w:r>
    </w:p>
    <w:p>
      <w:pPr>
        <w:pStyle w:val="FirstParagraph"/>
      </w:pPr>
      <w:r>
        <w:t xml:space="preserve">The objective is to manage the</w:t>
      </w:r>
      <w:r>
        <w:t xml:space="preserve"> </w:t>
      </w:r>
      <w:r>
        <w:rPr>
          <w:b/>
          <w:bCs/>
        </w:rPr>
        <w:t xml:space="preserve">overall analytical platform</w:t>
      </w:r>
      <w:r>
        <w:t xml:space="preserve">, rather than optimise each compute engine independently.</w:t>
      </w:r>
    </w:p>
    <w:p>
      <w:r>
        <w:pict>
          <v:rect style="width:0;height:1.5pt" o:hralign="center" o:hrstd="t" o:hr="t"/>
        </w:pict>
      </w:r>
    </w:p>
    <w:bookmarkEnd w:id="99"/>
    <w:bookmarkEnd w:id="100"/>
    <w:bookmarkStart w:id="109" w:name="key-architectural-principles"/>
    <w:p>
      <w:pPr>
        <w:pStyle w:val="Heading1"/>
      </w:pPr>
      <w:r>
        <w:t xml:space="preserve">32. Key Architectural Principles</w:t>
      </w:r>
    </w:p>
    <w:p>
      <w:pPr>
        <w:pStyle w:val="FirstParagraph"/>
      </w:pPr>
      <w:r>
        <w:t xml:space="preserve">The following principles should govern adoption.</w:t>
      </w:r>
    </w:p>
    <w:bookmarkStart w:id="101" w:name="principle-1-self-service-with-governance"/>
    <w:p>
      <w:pPr>
        <w:pStyle w:val="Heading3"/>
      </w:pPr>
      <w:r>
        <w:t xml:space="preserve">Principle 1 – Self-Service with Governance</w:t>
      </w:r>
    </w:p>
    <w:p>
      <w:pPr>
        <w:pStyle w:val="FirstParagraph"/>
      </w:pPr>
      <w:r>
        <w:t xml:space="preserve">Users should be empowered without bypassing enterprise governance.</w:t>
      </w:r>
    </w:p>
    <w:bookmarkEnd w:id="101"/>
    <w:bookmarkStart w:id="102" w:name="principle-2-right-workload-right-compute"/>
    <w:p>
      <w:pPr>
        <w:pStyle w:val="Heading3"/>
      </w:pPr>
      <w:r>
        <w:t xml:space="preserve">Principle 2 – Right Workload, Right Compute</w:t>
      </w:r>
    </w:p>
    <w:p>
      <w:pPr>
        <w:pStyle w:val="FirstParagraph"/>
      </w:pPr>
      <w:r>
        <w:t xml:space="preserve">Do not automatically execute every workload on Dedicated SQL Pool.</w:t>
      </w:r>
    </w:p>
    <w:bookmarkEnd w:id="102"/>
    <w:bookmarkStart w:id="103" w:name="X88acc20e1f83b54f3b119842fefe5ee418704cd"/>
    <w:p>
      <w:pPr>
        <w:pStyle w:val="Heading3"/>
      </w:pPr>
      <w:r>
        <w:t xml:space="preserve">Principle 3 – Enterprise Data Remains Centralised</w:t>
      </w:r>
    </w:p>
    <w:p>
      <w:pPr>
        <w:pStyle w:val="FirstParagraph"/>
      </w:pPr>
      <w:r>
        <w:t xml:space="preserve">Self-service should consume governed enterprise data rather than create uncontrolled copies.</w:t>
      </w:r>
    </w:p>
    <w:bookmarkEnd w:id="103"/>
    <w:bookmarkStart w:id="104" w:name="principle-4-dcoe-first"/>
    <w:p>
      <w:pPr>
        <w:pStyle w:val="Heading3"/>
      </w:pPr>
      <w:r>
        <w:t xml:space="preserve">Principle 4 – DCoE First</w:t>
      </w:r>
    </w:p>
    <w:p>
      <w:pPr>
        <w:pStyle w:val="FirstParagraph"/>
      </w:pPr>
      <w:r>
        <w:t xml:space="preserve">Prove the model with technically capable users before expanding.</w:t>
      </w:r>
    </w:p>
    <w:bookmarkEnd w:id="104"/>
    <w:bookmarkStart w:id="105" w:name="principle-5-reusable-patterns"/>
    <w:p>
      <w:pPr>
        <w:pStyle w:val="Heading3"/>
      </w:pPr>
      <w:r>
        <w:t xml:space="preserve">Principle 5 – Reusable Patterns</w:t>
      </w:r>
    </w:p>
    <w:p>
      <w:pPr>
        <w:pStyle w:val="FirstParagraph"/>
      </w:pPr>
      <w:r>
        <w:t xml:space="preserve">The pilot should create templates and standards for future departments.</w:t>
      </w:r>
    </w:p>
    <w:bookmarkEnd w:id="105"/>
    <w:bookmarkStart w:id="106" w:name="principle-6-fabric-ready"/>
    <w:p>
      <w:pPr>
        <w:pStyle w:val="Heading3"/>
      </w:pPr>
      <w:r>
        <w:t xml:space="preserve">Principle 6 – Fabric Ready</w:t>
      </w:r>
    </w:p>
    <w:p>
      <w:pPr>
        <w:pStyle w:val="FirstParagraph"/>
      </w:pPr>
      <w:r>
        <w:t xml:space="preserve">Avoid unnecessary platform-specific dependencies.</w:t>
      </w:r>
    </w:p>
    <w:bookmarkEnd w:id="106"/>
    <w:bookmarkStart w:id="107" w:name="principle-7-productionisation"/>
    <w:p>
      <w:pPr>
        <w:pStyle w:val="Heading3"/>
      </w:pPr>
      <w:r>
        <w:t xml:space="preserve">Principle 7 – Productionisation</w:t>
      </w:r>
    </w:p>
    <w:p>
      <w:pPr>
        <w:pStyle w:val="FirstParagraph"/>
      </w:pPr>
      <w:r>
        <w:t xml:space="preserve">Experimental analytics should be separated from production enterprise data products.</w:t>
      </w:r>
    </w:p>
    <w:bookmarkEnd w:id="107"/>
    <w:bookmarkStart w:id="108" w:name="principle-8-measurable-value"/>
    <w:p>
      <w:pPr>
        <w:pStyle w:val="Heading3"/>
      </w:pPr>
      <w:r>
        <w:t xml:space="preserve">Principle 8 – Measurable Value</w:t>
      </w:r>
    </w:p>
    <w:p>
      <w:pPr>
        <w:pStyle w:val="FirstParagraph"/>
      </w:pPr>
      <w:r>
        <w:t xml:space="preserve">Expansion should be based on measurable performance, adoption and cost benefits.</w:t>
      </w:r>
    </w:p>
    <w:p>
      <w:r>
        <w:pict>
          <v:rect style="width:0;height:1.5pt" o:hralign="center" o:hrstd="t" o:hr="t"/>
        </w:pict>
      </w:r>
    </w:p>
    <w:bookmarkEnd w:id="108"/>
    <w:bookmarkEnd w:id="109"/>
    <w:bookmarkStart w:id="110" w:name="risks-and-mitigations"/>
    <w:p>
      <w:pPr>
        <w:pStyle w:val="Heading1"/>
      </w:pPr>
      <w:r>
        <w:t xml:space="preserve">33.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Uncontrolled Spark usage</w:t>
            </w:r>
          </w:p>
        </w:tc>
        <w:tc>
          <w:tcPr/>
          <w:p>
            <w:pPr>
              <w:pStyle w:val="Compact"/>
            </w:pPr>
            <w:r>
              <w:t xml:space="preserve">High</w:t>
            </w:r>
          </w:p>
        </w:tc>
        <w:tc>
          <w:tcPr/>
          <w:p>
            <w:pPr>
              <w:pStyle w:val="Compact"/>
            </w:pPr>
            <w:r>
              <w:t xml:space="preserve">RBAC, quotas, monitoring</w:t>
            </w:r>
          </w:p>
        </w:tc>
      </w:tr>
      <w:tr>
        <w:tc>
          <w:tcPr/>
          <w:p>
            <w:pPr>
              <w:pStyle w:val="Compact"/>
            </w:pPr>
            <w:r>
              <w:t xml:space="preserve">Data duplication</w:t>
            </w:r>
          </w:p>
        </w:tc>
        <w:tc>
          <w:tcPr/>
          <w:p>
            <w:pPr>
              <w:pStyle w:val="Compact"/>
            </w:pPr>
            <w:r>
              <w:t xml:space="preserve">Medium</w:t>
            </w:r>
          </w:p>
        </w:tc>
        <w:tc>
          <w:tcPr/>
          <w:p>
            <w:pPr>
              <w:pStyle w:val="Compact"/>
            </w:pPr>
            <w:r>
              <w:t xml:space="preserve">Storage standards and lifecycle</w:t>
            </w:r>
          </w:p>
        </w:tc>
      </w:tr>
      <w:tr>
        <w:tc>
          <w:tcPr/>
          <w:p>
            <w:pPr>
              <w:pStyle w:val="Compact"/>
            </w:pPr>
            <w:r>
              <w:t xml:space="preserve">Poor notebook quality</w:t>
            </w:r>
          </w:p>
        </w:tc>
        <w:tc>
          <w:tcPr/>
          <w:p>
            <w:pPr>
              <w:pStyle w:val="Compact"/>
            </w:pPr>
            <w:r>
              <w:t xml:space="preserve">Medium</w:t>
            </w:r>
          </w:p>
        </w:tc>
        <w:tc>
          <w:tcPr/>
          <w:p>
            <w:pPr>
              <w:pStyle w:val="Compact"/>
            </w:pPr>
            <w:r>
              <w:t xml:space="preserve">Coding standards and reviews</w:t>
            </w:r>
          </w:p>
        </w:tc>
      </w:tr>
      <w:tr>
        <w:tc>
          <w:tcPr/>
          <w:p>
            <w:pPr>
              <w:pStyle w:val="Compact"/>
            </w:pPr>
            <w:r>
              <w:t xml:space="preserve">Sensitive data exposure</w:t>
            </w:r>
          </w:p>
        </w:tc>
        <w:tc>
          <w:tcPr/>
          <w:p>
            <w:pPr>
              <w:pStyle w:val="Compact"/>
            </w:pPr>
            <w:r>
              <w:t xml:space="preserve">High</w:t>
            </w:r>
          </w:p>
        </w:tc>
        <w:tc>
          <w:tcPr/>
          <w:p>
            <w:pPr>
              <w:pStyle w:val="Compact"/>
            </w:pPr>
            <w:r>
              <w:t xml:space="preserve">Data classification and access controls</w:t>
            </w:r>
          </w:p>
        </w:tc>
      </w:tr>
      <w:tr>
        <w:tc>
          <w:tcPr/>
          <w:p>
            <w:pPr>
              <w:pStyle w:val="Compact"/>
            </w:pPr>
            <w:r>
              <w:t xml:space="preserve">Dedicated SQL Pool remains overloaded</w:t>
            </w:r>
          </w:p>
        </w:tc>
        <w:tc>
          <w:tcPr/>
          <w:p>
            <w:pPr>
              <w:pStyle w:val="Compact"/>
            </w:pPr>
            <w:r>
              <w:t xml:space="preserve">High</w:t>
            </w:r>
          </w:p>
        </w:tc>
        <w:tc>
          <w:tcPr/>
          <w:p>
            <w:pPr>
              <w:pStyle w:val="Compact"/>
            </w:pPr>
            <w:r>
              <w:t xml:space="preserve">Workload assessment and migration</w:t>
            </w:r>
          </w:p>
        </w:tc>
      </w:tr>
      <w:tr>
        <w:tc>
          <w:tcPr/>
          <w:p>
            <w:pPr>
              <w:pStyle w:val="Compact"/>
            </w:pPr>
            <w:r>
              <w:t xml:space="preserve">Low user adoption</w:t>
            </w:r>
          </w:p>
        </w:tc>
        <w:tc>
          <w:tcPr/>
          <w:p>
            <w:pPr>
              <w:pStyle w:val="Compact"/>
            </w:pPr>
            <w:r>
              <w:t xml:space="preserve">Medium</w:t>
            </w:r>
          </w:p>
        </w:tc>
        <w:tc>
          <w:tcPr/>
          <w:p>
            <w:pPr>
              <w:pStyle w:val="Compact"/>
            </w:pPr>
            <w:r>
              <w:t xml:space="preserve">DCoE training and champions</w:t>
            </w:r>
          </w:p>
        </w:tc>
      </w:tr>
      <w:tr>
        <w:tc>
          <w:tcPr/>
          <w:p>
            <w:pPr>
              <w:pStyle w:val="Compact"/>
            </w:pPr>
            <w:r>
              <w:t xml:space="preserve">Skill gaps</w:t>
            </w:r>
          </w:p>
        </w:tc>
        <w:tc>
          <w:tcPr/>
          <w:p>
            <w:pPr>
              <w:pStyle w:val="Compact"/>
            </w:pPr>
            <w:r>
              <w:t xml:space="preserve">Medium</w:t>
            </w:r>
          </w:p>
        </w:tc>
        <w:tc>
          <w:tcPr/>
          <w:p>
            <w:pPr>
              <w:pStyle w:val="Compact"/>
            </w:pPr>
            <w:r>
              <w:t xml:space="preserve">PySpark enablement</w:t>
            </w:r>
          </w:p>
        </w:tc>
      </w:tr>
      <w:tr>
        <w:tc>
          <w:tcPr/>
          <w:p>
            <w:pPr>
              <w:pStyle w:val="Compact"/>
            </w:pPr>
            <w:r>
              <w:t xml:space="preserve">Future Fabric migration complexity</w:t>
            </w:r>
          </w:p>
        </w:tc>
        <w:tc>
          <w:tcPr/>
          <w:p>
            <w:pPr>
              <w:pStyle w:val="Compact"/>
            </w:pPr>
            <w:r>
              <w:t xml:space="preserve">Medium</w:t>
            </w:r>
          </w:p>
        </w:tc>
        <w:tc>
          <w:tcPr/>
          <w:p>
            <w:pPr>
              <w:pStyle w:val="Compact"/>
            </w:pPr>
            <w:r>
              <w:t xml:space="preserve">Portable code standards</w:t>
            </w:r>
          </w:p>
        </w:tc>
      </w:tr>
      <w:tr>
        <w:tc>
          <w:tcPr/>
          <w:p>
            <w:pPr>
              <w:pStyle w:val="Compact"/>
            </w:pPr>
            <w:r>
              <w:t xml:space="preserve">Shadow analytics</w:t>
            </w:r>
          </w:p>
        </w:tc>
        <w:tc>
          <w:tcPr/>
          <w:p>
            <w:pPr>
              <w:pStyle w:val="Compact"/>
            </w:pPr>
            <w:r>
              <w:t xml:space="preserve">High</w:t>
            </w:r>
          </w:p>
        </w:tc>
        <w:tc>
          <w:tcPr/>
          <w:p>
            <w:pPr>
              <w:pStyle w:val="Compact"/>
            </w:pPr>
            <w:r>
              <w:t xml:space="preserve">Governed workspace model</w:t>
            </w:r>
          </w:p>
        </w:tc>
      </w:tr>
      <w:tr>
        <w:tc>
          <w:tcPr/>
          <w:p>
            <w:pPr>
              <w:pStyle w:val="Compact"/>
            </w:pPr>
            <w:r>
              <w:t xml:space="preserve">Increased platform cost</w:t>
            </w:r>
          </w:p>
        </w:tc>
        <w:tc>
          <w:tcPr/>
          <w:p>
            <w:pPr>
              <w:pStyle w:val="Compact"/>
            </w:pPr>
            <w:r>
              <w:t xml:space="preserve">Medium</w:t>
            </w:r>
          </w:p>
        </w:tc>
        <w:tc>
          <w:tcPr/>
          <w:p>
            <w:pPr>
              <w:pStyle w:val="Compact"/>
            </w:pPr>
            <w:r>
              <w:t xml:space="preserve">FinOps and monitoring</w:t>
            </w:r>
          </w:p>
        </w:tc>
      </w:tr>
    </w:tbl>
    <w:p>
      <w:r>
        <w:pict>
          <v:rect style="width:0;height:1.5pt" o:hralign="center" o:hrstd="t" o:hr="t"/>
        </w:pict>
      </w:r>
    </w:p>
    <w:bookmarkEnd w:id="110"/>
    <w:bookmarkStart w:id="116" w:name="phased-adoption-roadmap"/>
    <w:p>
      <w:pPr>
        <w:pStyle w:val="Heading1"/>
      </w:pPr>
      <w:r>
        <w:t xml:space="preserve">34. Phased Adoption Roadmap</w:t>
      </w:r>
    </w:p>
    <w:bookmarkStart w:id="111" w:name="phase-0-assessment"/>
    <w:p>
      <w:pPr>
        <w:pStyle w:val="Heading2"/>
      </w:pPr>
      <w:r>
        <w:t xml:space="preserve">Phase 0 – Assessment</w:t>
      </w:r>
    </w:p>
    <w:p>
      <w:pPr>
        <w:pStyle w:val="FirstParagraph"/>
      </w:pPr>
      <w:r>
        <w:rPr>
          <w:b/>
          <w:bCs/>
        </w:rPr>
        <w:t xml:space="preserve">Duration: 4–6 weeks</w:t>
      </w:r>
    </w:p>
    <w:p>
      <w:pPr>
        <w:pStyle w:val="BodyText"/>
      </w:pPr>
      <w:r>
        <w:t xml:space="preserve">Activities:</w:t>
      </w:r>
    </w:p>
    <w:p>
      <w:pPr>
        <w:pStyle w:val="Compact"/>
        <w:numPr>
          <w:ilvl w:val="0"/>
          <w:numId w:val="1036"/>
        </w:numPr>
      </w:pPr>
      <w:r>
        <w:t xml:space="preserve">Identify current Dedicated SQL Pool performance issues.</w:t>
      </w:r>
    </w:p>
    <w:p>
      <w:pPr>
        <w:pStyle w:val="Compact"/>
        <w:numPr>
          <w:ilvl w:val="0"/>
          <w:numId w:val="1036"/>
        </w:numPr>
      </w:pPr>
      <w:r>
        <w:t xml:space="preserve">Analyse workload patterns.</w:t>
      </w:r>
    </w:p>
    <w:p>
      <w:pPr>
        <w:pStyle w:val="Compact"/>
        <w:numPr>
          <w:ilvl w:val="0"/>
          <w:numId w:val="1036"/>
        </w:numPr>
      </w:pPr>
      <w:r>
        <w:t xml:space="preserve">Identify candidate workloads.</w:t>
      </w:r>
    </w:p>
    <w:p>
      <w:pPr>
        <w:pStyle w:val="Compact"/>
        <w:numPr>
          <w:ilvl w:val="0"/>
          <w:numId w:val="1036"/>
        </w:numPr>
      </w:pPr>
      <w:r>
        <w:t xml:space="preserve">Identify DCoE users.</w:t>
      </w:r>
    </w:p>
    <w:p>
      <w:pPr>
        <w:pStyle w:val="Compact"/>
        <w:numPr>
          <w:ilvl w:val="0"/>
          <w:numId w:val="1036"/>
        </w:numPr>
      </w:pPr>
      <w:r>
        <w:t xml:space="preserve">Define security model.</w:t>
      </w:r>
    </w:p>
    <w:p>
      <w:pPr>
        <w:pStyle w:val="Compact"/>
        <w:numPr>
          <w:ilvl w:val="0"/>
          <w:numId w:val="1036"/>
        </w:numPr>
      </w:pPr>
      <w:r>
        <w:t xml:space="preserve">Define workspace architecture.</w:t>
      </w:r>
    </w:p>
    <w:p>
      <w:pPr>
        <w:pStyle w:val="Compact"/>
        <w:numPr>
          <w:ilvl w:val="0"/>
          <w:numId w:val="1036"/>
        </w:numPr>
      </w:pPr>
      <w:r>
        <w:t xml:space="preserve">Establish baseline KPIs.</w:t>
      </w:r>
    </w:p>
    <w:p>
      <w:r>
        <w:pict>
          <v:rect style="width:0;height:1.5pt" o:hralign="center" o:hrstd="t" o:hr="t"/>
        </w:pict>
      </w:r>
    </w:p>
    <w:bookmarkEnd w:id="111"/>
    <w:bookmarkStart w:id="112" w:name="phase-1-dcoe-pilot"/>
    <w:p>
      <w:pPr>
        <w:pStyle w:val="Heading2"/>
      </w:pPr>
      <w:r>
        <w:t xml:space="preserve">Phase 1 – DCoE Pilot</w:t>
      </w:r>
    </w:p>
    <w:p>
      <w:pPr>
        <w:pStyle w:val="FirstParagraph"/>
      </w:pPr>
      <w:r>
        <w:rPr>
          <w:b/>
          <w:bCs/>
        </w:rPr>
        <w:t xml:space="preserve">Duration: 8–12 weeks</w:t>
      </w:r>
    </w:p>
    <w:p>
      <w:pPr>
        <w:pStyle w:val="BodyText"/>
      </w:pPr>
      <w:r>
        <w:t xml:space="preserve">Activities:</w:t>
      </w:r>
    </w:p>
    <w:p>
      <w:pPr>
        <w:pStyle w:val="Compact"/>
        <w:numPr>
          <w:ilvl w:val="0"/>
          <w:numId w:val="1037"/>
        </w:numPr>
      </w:pPr>
      <w:r>
        <w:t xml:space="preserve">Create DCoE Synapse Workspace.</w:t>
      </w:r>
    </w:p>
    <w:p>
      <w:pPr>
        <w:pStyle w:val="Compact"/>
        <w:numPr>
          <w:ilvl w:val="0"/>
          <w:numId w:val="1037"/>
        </w:numPr>
      </w:pPr>
      <w:r>
        <w:t xml:space="preserve">Configure RBAC.</w:t>
      </w:r>
    </w:p>
    <w:p>
      <w:pPr>
        <w:pStyle w:val="Compact"/>
        <w:numPr>
          <w:ilvl w:val="0"/>
          <w:numId w:val="1037"/>
        </w:numPr>
      </w:pPr>
      <w:r>
        <w:t xml:space="preserve">Configure Spark.</w:t>
      </w:r>
    </w:p>
    <w:p>
      <w:pPr>
        <w:pStyle w:val="Compact"/>
        <w:numPr>
          <w:ilvl w:val="0"/>
          <w:numId w:val="1037"/>
        </w:numPr>
      </w:pPr>
      <w:r>
        <w:t xml:space="preserve">Connect approved data sources.</w:t>
      </w:r>
    </w:p>
    <w:p>
      <w:pPr>
        <w:pStyle w:val="Compact"/>
        <w:numPr>
          <w:ilvl w:val="0"/>
          <w:numId w:val="1037"/>
        </w:numPr>
      </w:pPr>
      <w:r>
        <w:t xml:space="preserve">Establish notebook standards.</w:t>
      </w:r>
    </w:p>
    <w:p>
      <w:pPr>
        <w:pStyle w:val="Compact"/>
        <w:numPr>
          <w:ilvl w:val="0"/>
          <w:numId w:val="1037"/>
        </w:numPr>
      </w:pPr>
      <w:r>
        <w:t xml:space="preserve">Establish Git.</w:t>
      </w:r>
    </w:p>
    <w:p>
      <w:pPr>
        <w:pStyle w:val="Compact"/>
        <w:numPr>
          <w:ilvl w:val="0"/>
          <w:numId w:val="1037"/>
        </w:numPr>
      </w:pPr>
      <w:r>
        <w:t xml:space="preserve">Implement monitoring.</w:t>
      </w:r>
    </w:p>
    <w:p>
      <w:pPr>
        <w:pStyle w:val="Compact"/>
        <w:numPr>
          <w:ilvl w:val="0"/>
          <w:numId w:val="1037"/>
        </w:numPr>
      </w:pPr>
      <w:r>
        <w:t xml:space="preserve">Implement cost controls.</w:t>
      </w:r>
    </w:p>
    <w:p>
      <w:pPr>
        <w:pStyle w:val="Compact"/>
        <w:numPr>
          <w:ilvl w:val="0"/>
          <w:numId w:val="1037"/>
        </w:numPr>
      </w:pPr>
      <w:r>
        <w:t xml:space="preserve">Develop 3–5 pilot use cases.</w:t>
      </w:r>
    </w:p>
    <w:p>
      <w:r>
        <w:pict>
          <v:rect style="width:0;height:1.5pt" o:hralign="center" o:hrstd="t" o:hr="t"/>
        </w:pict>
      </w:r>
    </w:p>
    <w:bookmarkEnd w:id="112"/>
    <w:bookmarkStart w:id="113" w:name="phase-2-optimisation"/>
    <w:p>
      <w:pPr>
        <w:pStyle w:val="Heading2"/>
      </w:pPr>
      <w:r>
        <w:t xml:space="preserve">Phase 2 – Optimisation</w:t>
      </w:r>
    </w:p>
    <w:p>
      <w:pPr>
        <w:pStyle w:val="FirstParagraph"/>
      </w:pPr>
      <w:r>
        <w:rPr>
          <w:b/>
          <w:bCs/>
        </w:rPr>
        <w:t xml:space="preserve">Duration: 4–8 weeks</w:t>
      </w:r>
    </w:p>
    <w:p>
      <w:pPr>
        <w:pStyle w:val="BodyText"/>
      </w:pPr>
      <w:r>
        <w:t xml:space="preserve">Activities:</w:t>
      </w:r>
    </w:p>
    <w:p>
      <w:pPr>
        <w:pStyle w:val="Compact"/>
        <w:numPr>
          <w:ilvl w:val="0"/>
          <w:numId w:val="1038"/>
        </w:numPr>
      </w:pPr>
      <w:r>
        <w:t xml:space="preserve">Measure Dedicated SQL Pool workload reduction.</w:t>
      </w:r>
    </w:p>
    <w:p>
      <w:pPr>
        <w:pStyle w:val="Compact"/>
        <w:numPr>
          <w:ilvl w:val="0"/>
          <w:numId w:val="1038"/>
        </w:numPr>
      </w:pPr>
      <w:r>
        <w:t xml:space="preserve">Optimise Spark workloads.</w:t>
      </w:r>
    </w:p>
    <w:p>
      <w:pPr>
        <w:pStyle w:val="Compact"/>
        <w:numPr>
          <w:ilvl w:val="0"/>
          <w:numId w:val="1038"/>
        </w:numPr>
      </w:pPr>
      <w:r>
        <w:t xml:space="preserve">Review cost.</w:t>
      </w:r>
    </w:p>
    <w:p>
      <w:pPr>
        <w:pStyle w:val="Compact"/>
        <w:numPr>
          <w:ilvl w:val="0"/>
          <w:numId w:val="1038"/>
        </w:numPr>
      </w:pPr>
      <w:r>
        <w:t xml:space="preserve">Refine security.</w:t>
      </w:r>
    </w:p>
    <w:p>
      <w:pPr>
        <w:pStyle w:val="Compact"/>
        <w:numPr>
          <w:ilvl w:val="0"/>
          <w:numId w:val="1038"/>
        </w:numPr>
      </w:pPr>
      <w:r>
        <w:t xml:space="preserve">Refine data-access patterns.</w:t>
      </w:r>
    </w:p>
    <w:p>
      <w:pPr>
        <w:pStyle w:val="Compact"/>
        <w:numPr>
          <w:ilvl w:val="0"/>
          <w:numId w:val="1038"/>
        </w:numPr>
      </w:pPr>
      <w:r>
        <w:t xml:space="preserve">Document lessons learned.</w:t>
      </w:r>
    </w:p>
    <w:p>
      <w:r>
        <w:pict>
          <v:rect style="width:0;height:1.5pt" o:hralign="center" o:hrstd="t" o:hr="t"/>
        </w:pict>
      </w:r>
    </w:p>
    <w:bookmarkEnd w:id="113"/>
    <w:bookmarkStart w:id="114" w:name="phase-3-controlled-expansion"/>
    <w:p>
      <w:pPr>
        <w:pStyle w:val="Heading2"/>
      </w:pPr>
      <w:r>
        <w:t xml:space="preserve">Phase 3 – Controlled Expansion</w:t>
      </w:r>
    </w:p>
    <w:p>
      <w:pPr>
        <w:pStyle w:val="FirstParagraph"/>
      </w:pPr>
      <w:r>
        <w:t xml:space="preserve">Potential next departments should be selected based on:</w:t>
      </w:r>
    </w:p>
    <w:p>
      <w:pPr>
        <w:pStyle w:val="Compact"/>
        <w:numPr>
          <w:ilvl w:val="0"/>
          <w:numId w:val="1039"/>
        </w:numPr>
      </w:pPr>
      <w:r>
        <w:t xml:space="preserve">Technical capability.</w:t>
      </w:r>
    </w:p>
    <w:p>
      <w:pPr>
        <w:pStyle w:val="Compact"/>
        <w:numPr>
          <w:ilvl w:val="0"/>
          <w:numId w:val="1039"/>
        </w:numPr>
      </w:pPr>
      <w:r>
        <w:t xml:space="preserve">Business value.</w:t>
      </w:r>
    </w:p>
    <w:p>
      <w:pPr>
        <w:pStyle w:val="Compact"/>
        <w:numPr>
          <w:ilvl w:val="0"/>
          <w:numId w:val="1039"/>
        </w:numPr>
      </w:pPr>
      <w:r>
        <w:t xml:space="preserve">Data maturity.</w:t>
      </w:r>
    </w:p>
    <w:p>
      <w:pPr>
        <w:pStyle w:val="Compact"/>
        <w:numPr>
          <w:ilvl w:val="0"/>
          <w:numId w:val="1039"/>
        </w:numPr>
      </w:pPr>
      <w:r>
        <w:t xml:space="preserve">Self-service demand.</w:t>
      </w:r>
    </w:p>
    <w:p>
      <w:pPr>
        <w:pStyle w:val="Compact"/>
        <w:numPr>
          <w:ilvl w:val="0"/>
          <w:numId w:val="1039"/>
        </w:numPr>
      </w:pPr>
      <w:r>
        <w:t xml:space="preserve">Existing PySpark/Python skills.</w:t>
      </w:r>
    </w:p>
    <w:p>
      <w:pPr>
        <w:pStyle w:val="Compact"/>
        <w:numPr>
          <w:ilvl w:val="0"/>
          <w:numId w:val="1039"/>
        </w:numPr>
      </w:pPr>
      <w:r>
        <w:t xml:space="preserve">Ability to comply with governance.</w:t>
      </w:r>
    </w:p>
    <w:p>
      <w:pPr>
        <w:pStyle w:val="FirstParagraph"/>
      </w:pPr>
      <w:r>
        <w:t xml:space="preserve">Expansion should be</w:t>
      </w:r>
      <w:r>
        <w:t xml:space="preserve"> </w:t>
      </w:r>
      <w:r>
        <w:rPr>
          <w:b/>
          <w:bCs/>
        </w:rPr>
        <w:t xml:space="preserve">by capability and use case</w:t>
      </w:r>
      <w:r>
        <w:t xml:space="preserve">, not simply by department count.</w:t>
      </w:r>
    </w:p>
    <w:p>
      <w:r>
        <w:pict>
          <v:rect style="width:0;height:1.5pt" o:hralign="center" o:hrstd="t" o:hr="t"/>
        </w:pict>
      </w:r>
    </w:p>
    <w:bookmarkEnd w:id="114"/>
    <w:bookmarkStart w:id="115" w:name="phase-4-fabric-readiness"/>
    <w:p>
      <w:pPr>
        <w:pStyle w:val="Heading2"/>
      </w:pPr>
      <w:r>
        <w:t xml:space="preserve">Phase 4 – Fabric Readiness</w:t>
      </w:r>
    </w:p>
    <w:p>
      <w:pPr>
        <w:pStyle w:val="FirstParagraph"/>
      </w:pPr>
      <w:r>
        <w:t xml:space="preserve">Activities:</w:t>
      </w:r>
    </w:p>
    <w:p>
      <w:pPr>
        <w:pStyle w:val="Compact"/>
        <w:numPr>
          <w:ilvl w:val="0"/>
          <w:numId w:val="1040"/>
        </w:numPr>
      </w:pPr>
      <w:r>
        <w:t xml:space="preserve">Identify Fabric candidate workloads.</w:t>
      </w:r>
    </w:p>
    <w:p>
      <w:pPr>
        <w:pStyle w:val="Compact"/>
        <w:numPr>
          <w:ilvl w:val="0"/>
          <w:numId w:val="1040"/>
        </w:numPr>
      </w:pPr>
      <w:r>
        <w:t xml:space="preserve">Assess notebook portability.</w:t>
      </w:r>
    </w:p>
    <w:p>
      <w:pPr>
        <w:pStyle w:val="Compact"/>
        <w:numPr>
          <w:ilvl w:val="0"/>
          <w:numId w:val="1040"/>
        </w:numPr>
      </w:pPr>
      <w:r>
        <w:t xml:space="preserve">Identify Synapse-specific dependencies.</w:t>
      </w:r>
    </w:p>
    <w:p>
      <w:pPr>
        <w:pStyle w:val="Compact"/>
        <w:numPr>
          <w:ilvl w:val="0"/>
          <w:numId w:val="1040"/>
        </w:numPr>
      </w:pPr>
      <w:r>
        <w:t xml:space="preserve">Pilot selected notebooks in Fabric.</w:t>
      </w:r>
    </w:p>
    <w:p>
      <w:pPr>
        <w:pStyle w:val="Compact"/>
        <w:numPr>
          <w:ilvl w:val="0"/>
          <w:numId w:val="1040"/>
        </w:numPr>
      </w:pPr>
      <w:r>
        <w:t xml:space="preserve">Compare performance and cost.</w:t>
      </w:r>
    </w:p>
    <w:p>
      <w:pPr>
        <w:pStyle w:val="Compact"/>
        <w:numPr>
          <w:ilvl w:val="0"/>
          <w:numId w:val="1040"/>
        </w:numPr>
      </w:pPr>
      <w:r>
        <w:t xml:space="preserve">Establish Fabric migration patterns.</w:t>
      </w:r>
    </w:p>
    <w:p>
      <w:r>
        <w:pict>
          <v:rect style="width:0;height:1.5pt" o:hralign="center" o:hrstd="t" o:hr="t"/>
        </w:pict>
      </w:r>
    </w:p>
    <w:bookmarkEnd w:id="115"/>
    <w:bookmarkEnd w:id="116"/>
    <w:bookmarkStart w:id="117" w:name="decision-framework-for-moving-a-workload"/>
    <w:p>
      <w:pPr>
        <w:pStyle w:val="Heading1"/>
      </w:pPr>
      <w:r>
        <w:t xml:space="preserve">35. Decision Framework for Moving a Workload</w:t>
      </w:r>
    </w:p>
    <w:p>
      <w:pPr>
        <w:pStyle w:val="FirstParagraph"/>
      </w:pPr>
      <w:r>
        <w:t xml:space="preserve">A simple decision tree should be introduced:</w:t>
      </w:r>
    </w:p>
    <w:p>
      <w:pPr>
        <w:pStyle w:val="SourceCode"/>
      </w:pPr>
      <w:r>
        <w:rPr>
          <w:rStyle w:val="VerbatimChar"/>
        </w:rPr>
        <w:t xml:space="preserve">             New Analytical Requirement</w:t>
      </w:r>
      <w:r>
        <w:br/>
      </w:r>
      <w:r>
        <w:rPr>
          <w:rStyle w:val="VerbatimChar"/>
        </w:rPr>
        <w:t xml:space="preserve">                       |</w:t>
      </w:r>
      <w:r>
        <w:br/>
      </w:r>
      <w:r>
        <w:rPr>
          <w:rStyle w:val="VerbatimChar"/>
        </w:rPr>
        <w:t xml:space="preserve">                       v</w:t>
      </w:r>
      <w:r>
        <w:br/>
      </w:r>
      <w:r>
        <w:rPr>
          <w:rStyle w:val="VerbatimChar"/>
        </w:rPr>
        <w:t xml:space="preserve">             Is it enterprise reporting?</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Dedicated SQL     Is Spark suitable?</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Synapse Spark   SQL</w:t>
      </w:r>
      <w:r>
        <w:br/>
      </w:r>
      <w:r>
        <w:rPr>
          <w:rStyle w:val="VerbatimChar"/>
        </w:rPr>
        <w:t xml:space="preserve">                             |</w:t>
      </w:r>
      <w:r>
        <w:br/>
      </w:r>
      <w:r>
        <w:rPr>
          <w:rStyle w:val="VerbatimChar"/>
        </w:rPr>
        <w:t xml:space="preserve">                             v</w:t>
      </w:r>
      <w:r>
        <w:br/>
      </w:r>
      <w:r>
        <w:rPr>
          <w:rStyle w:val="VerbatimChar"/>
        </w:rPr>
        <w:t xml:space="preserve">                     Is it production?</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Production     Self-Service</w:t>
      </w:r>
      <w:r>
        <w:br/>
      </w:r>
      <w:r>
        <w:rPr>
          <w:rStyle w:val="VerbatimChar"/>
        </w:rPr>
        <w:t xml:space="preserve">                 process       analytical use</w:t>
      </w:r>
    </w:p>
    <w:p>
      <w:pPr>
        <w:pStyle w:val="FirstParagraph"/>
      </w:pPr>
      <w:r>
        <w:t xml:space="preserve">This prevents users from treating Synapse Spark as the solution for every problem.</w:t>
      </w:r>
    </w:p>
    <w:p>
      <w:r>
        <w:pict>
          <v:rect style="width:0;height:1.5pt" o:hralign="center" o:hrstd="t" o:hr="t"/>
        </w:pict>
      </w:r>
    </w:p>
    <w:bookmarkEnd w:id="117"/>
    <w:bookmarkStart w:id="118" w:name="recommendation"/>
    <w:p>
      <w:pPr>
        <w:pStyle w:val="Heading1"/>
      </w:pPr>
      <w:r>
        <w:t xml:space="preserve">36. Recommendation</w:t>
      </w:r>
    </w:p>
    <w:p>
      <w:pPr>
        <w:pStyle w:val="FirstParagraph"/>
      </w:pPr>
      <w:r>
        <w:t xml:space="preserve">ABC Insurance should proceed with a</w:t>
      </w:r>
      <w:r>
        <w:t xml:space="preserve"> </w:t>
      </w:r>
      <w:r>
        <w:rPr>
          <w:b/>
          <w:bCs/>
        </w:rPr>
        <w:t xml:space="preserve">phased adoption of Azure Synapse Workspaces for governed self-service analytics</w:t>
      </w:r>
      <w:r>
        <w:t xml:space="preserve">, beginning with the DCoE.</w:t>
      </w:r>
    </w:p>
    <w:p>
      <w:pPr>
        <w:pStyle w:val="BodyText"/>
      </w:pPr>
      <w:r>
        <w:t xml:space="preserve">The first objective should be to establish a controlled analytical environment rather than roll out Synapse Workspace organisation-wide.</w:t>
      </w:r>
    </w:p>
    <w:p>
      <w:pPr>
        <w:pStyle w:val="BodyText"/>
      </w:pPr>
      <w:r>
        <w:t xml:space="preserve">The DCoE pilot should specifically demonstrate that:</w:t>
      </w:r>
    </w:p>
    <w:p>
      <w:pPr>
        <w:pStyle w:val="Compact"/>
        <w:numPr>
          <w:ilvl w:val="0"/>
          <w:numId w:val="1041"/>
        </w:numPr>
      </w:pPr>
      <w:r>
        <w:t xml:space="preserve">Self-service analytics can be governed.</w:t>
      </w:r>
    </w:p>
    <w:p>
      <w:pPr>
        <w:pStyle w:val="Compact"/>
        <w:numPr>
          <w:ilvl w:val="0"/>
          <w:numId w:val="1041"/>
        </w:numPr>
      </w:pPr>
      <w:r>
        <w:t xml:space="preserve">PySpark can be effectively used by technical users.</w:t>
      </w:r>
    </w:p>
    <w:p>
      <w:pPr>
        <w:pStyle w:val="Compact"/>
        <w:numPr>
          <w:ilvl w:val="0"/>
          <w:numId w:val="1041"/>
        </w:numPr>
      </w:pPr>
      <w:r>
        <w:t xml:space="preserve">Suitable analytical workloads can be moved away from Dedicated SQL Pool.</w:t>
      </w:r>
    </w:p>
    <w:p>
      <w:pPr>
        <w:pStyle w:val="Compact"/>
        <w:numPr>
          <w:ilvl w:val="0"/>
          <w:numId w:val="1041"/>
        </w:numPr>
      </w:pPr>
      <w:r>
        <w:t xml:space="preserve">Dedicated SQL Pool performance can be improved by workload separation.</w:t>
      </w:r>
    </w:p>
    <w:p>
      <w:pPr>
        <w:pStyle w:val="Compact"/>
        <w:numPr>
          <w:ilvl w:val="0"/>
          <w:numId w:val="1041"/>
        </w:numPr>
      </w:pPr>
      <w:r>
        <w:t xml:space="preserve">Users can work independently without creating uncontrolled data silos.</w:t>
      </w:r>
    </w:p>
    <w:p>
      <w:pPr>
        <w:pStyle w:val="Compact"/>
        <w:numPr>
          <w:ilvl w:val="0"/>
          <w:numId w:val="1041"/>
        </w:numPr>
      </w:pPr>
      <w:r>
        <w:t xml:space="preserve">Common development and security standards can be established.</w:t>
      </w:r>
    </w:p>
    <w:p>
      <w:pPr>
        <w:pStyle w:val="Compact"/>
        <w:numPr>
          <w:ilvl w:val="0"/>
          <w:numId w:val="1041"/>
        </w:numPr>
      </w:pPr>
      <w:r>
        <w:t xml:space="preserve">Synapse notebooks can be developed using patterns that minimise future Fabric migration effort.</w:t>
      </w:r>
    </w:p>
    <w:p>
      <w:pPr>
        <w:pStyle w:val="Compact"/>
        <w:numPr>
          <w:ilvl w:val="0"/>
          <w:numId w:val="1041"/>
        </w:numPr>
      </w:pPr>
      <w:r>
        <w:t xml:space="preserve">The operating model can subsequently be scaled to other departments.</w:t>
      </w:r>
    </w:p>
    <w:p>
      <w:r>
        <w:pict>
          <v:rect style="width:0;height:1.5pt" o:hralign="center" o:hrstd="t" o:hr="t"/>
        </w:pict>
      </w:r>
    </w:p>
    <w:bookmarkEnd w:id="118"/>
    <w:bookmarkStart w:id="119" w:name="final-target-state"/>
    <w:p>
      <w:pPr>
        <w:pStyle w:val="Heading1"/>
      </w:pPr>
      <w:r>
        <w:t xml:space="preserve">37. Final Target State</w:t>
      </w:r>
    </w:p>
    <w:p>
      <w:pPr>
        <w:pStyle w:val="FirstParagraph"/>
      </w:pPr>
      <w:r>
        <w:t xml:space="preserve">The target state for ABC Insurance should not be viewed as:</w:t>
      </w:r>
    </w:p>
    <w:p>
      <w:pPr>
        <w:pStyle w:val="BodyText"/>
      </w:pPr>
      <w:r>
        <w:rPr>
          <w:b/>
          <w:bCs/>
        </w:rPr>
        <w:t xml:space="preserve">“Everyone gets a Synapse Workspace.”</w:t>
      </w:r>
    </w:p>
    <w:p>
      <w:pPr>
        <w:pStyle w:val="BodyText"/>
      </w:pPr>
      <w:r>
        <w:t xml:space="preserve">Instead, it should be:</w:t>
      </w:r>
    </w:p>
    <w:p>
      <w:pPr>
        <w:pStyle w:val="BodyText"/>
      </w:pPr>
      <w:r>
        <w:rPr>
          <w:b/>
          <w:bCs/>
        </w:rPr>
        <w:t xml:space="preserve">“ABC Insurance provides governed self-service analytics using the appropriate compute engine for each workload.”</w:t>
      </w:r>
    </w:p>
    <w:p>
      <w:pPr>
        <w:pStyle w:val="BodyText"/>
      </w:pPr>
      <w:r>
        <w:t xml:space="preserve">The resulting architecture should allow:</w:t>
      </w:r>
    </w:p>
    <w:p>
      <w:pPr>
        <w:pStyle w:val="SourceCode"/>
      </w:pPr>
      <w:r>
        <w:rPr>
          <w:rStyle w:val="VerbatimChar"/>
        </w:rPr>
        <w:t xml:space="preserve">                       ABC INSURANCE</w:t>
      </w:r>
      <w:r>
        <w:br/>
      </w:r>
      <w:r>
        <w:rPr>
          <w:rStyle w:val="VerbatimChar"/>
        </w:rPr>
        <w:t xml:space="preserve">                       DATA PLATFORM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Enterprise Data                         ADLS Gen2</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Dedicated SQL Pool      Synapse Spark                       Future Fabric</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Enterprise BI          DCoE Self-Service              Strategic Analytics</w:t>
      </w:r>
      <w:r>
        <w:br/>
      </w:r>
      <w:r>
        <w:rPr>
          <w:rStyle w:val="VerbatimChar"/>
        </w:rPr>
        <w:t xml:space="preserve">Reporting              Analytics / PySpark             Platform</w:t>
      </w:r>
    </w:p>
    <w:p>
      <w:pPr>
        <w:pStyle w:val="FirstParagraph"/>
      </w:pPr>
      <w:r>
        <w:t xml:space="preserve">This approach provides ABC Insurance with a pragmatic transition from a centralised SQL-centric analytical model toward a more flexible, governed and compute-separated analytical platform.</w:t>
      </w:r>
    </w:p>
    <w:p>
      <w:pPr>
        <w:pStyle w:val="BodyText"/>
      </w:pPr>
      <w:r>
        <w:t xml:space="preserve">The recommended principle is therefore:</w:t>
      </w:r>
    </w:p>
    <w:p>
      <w:pPr>
        <w:pStyle w:val="BlockText"/>
      </w:pPr>
      <w:r>
        <w:rPr>
          <w:b/>
          <w:bCs/>
        </w:rPr>
        <w:t xml:space="preserve">Start with DCoE, prove the value, establish governance, separate workloads from Dedicated SQL Pool, build Fabric-ready engineering practices, and then expand based on demonstrated business and technical value.</w:t>
      </w:r>
    </w:p>
    <w:p>
      <w:r>
        <w:pict>
          <v:rect style="width:0;height:1.5pt" o:hralign="center" o:hrstd="t" o:hr="t"/>
        </w:pict>
      </w:r>
    </w:p>
    <w:bookmarkEnd w:id="119"/>
    <w:bookmarkStart w:id="120" w:name="key-references"/>
    <w:p>
      <w:pPr>
        <w:pStyle w:val="Heading1"/>
      </w:pPr>
      <w:r>
        <w:t xml:space="preserve">38. Key References</w:t>
      </w:r>
    </w:p>
    <w:p>
      <w:pPr>
        <w:pStyle w:val="FirstParagraph"/>
      </w:pPr>
      <w:r>
        <w:t xml:space="preserve">Microsoft’s current documentation should be used as the technical baseline for the implementation and future migration planning:</w:t>
      </w:r>
    </w:p>
    <w:p>
      <w:pPr>
        <w:pStyle w:val="Compact"/>
        <w:numPr>
          <w:ilvl w:val="0"/>
          <w:numId w:val="1042"/>
        </w:numPr>
      </w:pPr>
      <w:r>
        <w:t xml:space="preserve">urlMicrosoft Learn – Overview of migrating Azure Synapse Spark to Fabricturn0search0</w:t>
      </w:r>
    </w:p>
    <w:p>
      <w:pPr>
        <w:pStyle w:val="Compact"/>
        <w:numPr>
          <w:ilvl w:val="0"/>
          <w:numId w:val="1042"/>
        </w:numPr>
      </w:pPr>
      <w:r>
        <w:t xml:space="preserve">urlMicrosoft Learn – Spark workload migration from Synapse to Fabricturn0search1</w:t>
      </w:r>
    </w:p>
    <w:p>
      <w:pPr>
        <w:pStyle w:val="Compact"/>
        <w:numPr>
          <w:ilvl w:val="0"/>
          <w:numId w:val="1042"/>
        </w:numPr>
      </w:pPr>
      <w:r>
        <w:t xml:space="preserve">urlMicrosoft Learn – Migrate Azure Synapse notebooks to Fabricturn0search2</w:t>
      </w:r>
    </w:p>
    <w:p>
      <w:pPr>
        <w:pStyle w:val="Compact"/>
        <w:numPr>
          <w:ilvl w:val="0"/>
          <w:numId w:val="1042"/>
        </w:numPr>
      </w:pPr>
      <w:r>
        <w:t xml:space="preserve">urlMicrosoft Learn – Synapse to Fabric Spark Migration Assistantturn0search10</w:t>
      </w:r>
    </w:p>
    <w:p>
      <w:pPr>
        <w:pStyle w:val="Compact"/>
        <w:numPr>
          <w:ilvl w:val="0"/>
          <w:numId w:val="1042"/>
        </w:numPr>
      </w:pPr>
      <w:r>
        <w:t xml:space="preserve">urlMicrosoft Learn – Dedicated SQL Pool workload isolationturn0search5</w:t>
      </w:r>
    </w:p>
    <w:p>
      <w:pPr>
        <w:pStyle w:val="Compact"/>
        <w:numPr>
          <w:ilvl w:val="0"/>
          <w:numId w:val="1042"/>
        </w:numPr>
      </w:pPr>
      <w:r>
        <w:t xml:space="preserve">urlMicrosoft Learn – Fabric migration overviewturn0search3</w:t>
      </w:r>
    </w:p>
    <w:p>
      <w:pPr>
        <w:pStyle w:val="FirstParagraph"/>
      </w:pPr>
      <w:r>
        <w:rPr>
          <w:b/>
          <w:bCs/>
        </w:rPr>
        <w:t xml:space="preserve">Architectural conclusion:</w:t>
      </w:r>
      <w:r>
        <w:t xml:space="preserve"> </w:t>
      </w:r>
      <w:r>
        <w:t xml:space="preserve">Azure Synapse Workspace adoption should be treated as a</w:t>
      </w:r>
      <w:r>
        <w:t xml:space="preserve"> </w:t>
      </w:r>
      <w:r>
        <w:rPr>
          <w:b/>
          <w:bCs/>
        </w:rPr>
        <w:t xml:space="preserve">controlled self-service and workload-separation programme</w:t>
      </w:r>
      <w:r>
        <w:t xml:space="preserve">, not simply as a new development tool. Starting with the technically capable DCoE gives ABC Insurance the lowest-risk route to prove the model, establish governance and create a practical bridge toward Microsoft Fabric.</w:t>
      </w:r>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