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595959"/>
          <w:spacing w:val="20"/>
          <w:sz w:val="22"/>
          <w:szCs w:val="22"/>
        </w:rPr>
        <w:t xml:space="preserve">ABC INSURANCE</w:t>
      </w:r>
    </w:p>
    <w:p>
      <w:pPr>
        <w:spacing w:after="0" w:before="240"/>
        <w:jc w:val="center"/>
      </w:pPr>
      <w:r>
        <w:rPr>
          <w:rFonts w:ascii="Calibri" w:cs="Calibri" w:eastAsia="Calibri" w:hAnsi="Calibri"/>
          <w:b/>
          <w:bCs/>
          <w:color w:val="1B2A4A"/>
          <w:sz w:val="52"/>
          <w:szCs w:val="52"/>
        </w:rPr>
        <w:t xml:space="preserve">Azure Synapse Analytics Workspaces</w:t>
      </w:r>
    </w:p>
    <w:p>
      <w:pPr>
        <w:spacing w:after="0" w:before="80"/>
        <w:jc w:val="center"/>
      </w:pPr>
      <w:r>
        <w:rPr>
          <w:rFonts w:ascii="Calibri" w:cs="Calibri" w:eastAsia="Calibri" w:hAnsi="Calibri"/>
          <w:color w:val="2E5C8A"/>
          <w:sz w:val="28"/>
          <w:szCs w:val="28"/>
        </w:rPr>
        <w:t xml:space="preserve">Enterprise Adoption &amp; Self-Service Analytics Strategy Paper</w:t>
      </w:r>
    </w:p>
    <w:p>
      <w:pPr>
        <w:pBdr>
          <w:top w:val="single" w:color="2E5C8A" w:sz="6" w:space="8"/>
        </w:pBdr>
        <w:spacing w:after="0" w:before="500"/>
        <w:jc w:val="center"/>
      </w:pPr>
      <w:r>
        <w:rPr>
          <w:sz w:val="4"/>
          <w:szCs w:val="4"/>
        </w:rPr>
        <w:t xml:space="preserve"> </w:t>
      </w:r>
    </w:p>
    <w:p>
      <w:pPr>
        <w:spacing w:after="0" w:before="900"/>
        <w:jc w:val="center"/>
      </w:pPr>
      <w:r>
        <w:rPr>
          <w:rFonts w:ascii="Calibri" w:cs="Calibri" w:eastAsia="Calibri" w:hAnsi="Calibri"/>
          <w:color w:val="595959"/>
          <w:sz w:val="20"/>
          <w:szCs w:val="20"/>
        </w:rPr>
        <w:t xml:space="preserve">Prepared for: Data &amp; Analytics Leadership, Enterprise Architecture Board</w:t>
      </w:r>
    </w:p>
    <w:p>
      <w:pPr>
        <w:spacing w:after="0" w:before="100"/>
        <w:jc w:val="center"/>
      </w:pPr>
      <w:r>
        <w:rPr>
          <w:rFonts w:ascii="Calibri" w:cs="Calibri" w:eastAsia="Calibri" w:hAnsi="Calibri"/>
          <w:color w:val="595959"/>
          <w:sz w:val="20"/>
          <w:szCs w:val="20"/>
        </w:rPr>
        <w:t xml:space="preserve">Prepared by: Technical Architecture Team</w:t>
      </w:r>
    </w:p>
    <w:p>
      <w:pPr>
        <w:spacing w:after="0" w:before="100"/>
        <w:jc w:val="center"/>
      </w:pPr>
      <w:r>
        <w:rPr>
          <w:rFonts w:ascii="Calibri" w:cs="Calibri" w:eastAsia="Calibri" w:hAnsi="Calibri"/>
          <w:color w:val="595959"/>
          <w:sz w:val="20"/>
          <w:szCs w:val="20"/>
        </w:rPr>
        <w:t xml:space="preserve">Status: Draft for Review  |  Version 1.0  |  August 2026</w:t>
      </w:r>
    </w:p>
    <w:p>
      <w:r>
        <w:br w:type="page"/>
      </w:r>
    </w:p>
    <w:p>
      <w:pPr>
        <w:pStyle w:val="Heading1"/>
        <w:pBdr>
          <w:bottom w:val="single" w:color="2E5C8A" w:sz="6" w:space="4"/>
        </w:pBdr>
        <w:spacing w:after="160" w:before="360"/>
      </w:pPr>
      <w:r>
        <w:rPr>
          <w:rFonts w:ascii="Calibri" w:cs="Calibri" w:eastAsia="Calibri" w:hAnsi="Calibri"/>
          <w:b/>
          <w:bCs/>
          <w:color w:val="1B2A4A"/>
          <w:sz w:val="30"/>
          <w:szCs w:val="30"/>
        </w:rPr>
        <w:t xml:space="preserve">Document Control</w:t>
      </w:r>
    </w:p>
    <w:p>
      <w:pPr>
        <w:pStyle w:val="Heading3"/>
        <w:spacing w:after="100" w:before="200"/>
      </w:pPr>
      <w:r>
        <w:rPr>
          <w:rFonts w:ascii="Calibri" w:cs="Calibri" w:eastAsia="Calibri" w:hAnsi="Calibri"/>
          <w:b/>
          <w:bCs/>
          <w:color w:val="1B2A4A"/>
          <w:sz w:val="22"/>
          <w:szCs w:val="22"/>
        </w:rPr>
        <w:t xml:space="preserve">Version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150"/>
        <w:gridCol w:w="3000"/>
      </w:tblGrid>
      <w:tr>
        <w:trPr>
          <w:tblHeader/>
        </w:trPr>
        <w:tc>
          <w:tcPr>
            <w:tcW w:type="dxa" w:w="14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Version</w:t>
            </w:r>
          </w:p>
        </w:tc>
        <w:tc>
          <w:tcPr>
            <w:tcW w:type="dxa" w:w="18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Date</w:t>
            </w:r>
          </w:p>
        </w:tc>
        <w:tc>
          <w:tcPr>
            <w:tcW w:type="dxa" w:w="315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Author</w:t>
            </w:r>
          </w:p>
        </w:tc>
        <w:tc>
          <w:tcPr>
            <w:tcW w:type="dxa" w:w="30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Summary of Changes</w:t>
            </w:r>
          </w:p>
        </w:tc>
      </w:tr>
      <w:tr>
        <w:tc>
          <w:tcPr>
            <w:tcW w:type="dxa" w:w="14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0.1</w:t>
            </w:r>
          </w:p>
        </w:tc>
        <w:tc>
          <w:tcPr>
            <w:tcW w:type="dxa" w:w="18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2026-07-28</w:t>
            </w:r>
          </w:p>
        </w:tc>
        <w:tc>
          <w:tcPr>
            <w:tcW w:type="dxa" w:w="31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Technical Architecture Team</w:t>
            </w:r>
          </w:p>
        </w:tc>
        <w:tc>
          <w:tcPr>
            <w:tcW w:type="dxa" w:w="30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Initial draft outline</w:t>
            </w:r>
          </w:p>
        </w:tc>
      </w:tr>
      <w:tr>
        <w:tc>
          <w:tcPr>
            <w:tcW w:type="dxa" w:w="14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0.5</w:t>
            </w:r>
          </w:p>
        </w:tc>
        <w:tc>
          <w:tcPr>
            <w:tcW w:type="dxa" w:w="18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2026-08-05</w:t>
            </w:r>
          </w:p>
        </w:tc>
        <w:tc>
          <w:tcPr>
            <w:tcW w:type="dxa" w:w="31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Technical Architecture Team</w:t>
            </w:r>
          </w:p>
        </w:tc>
        <w:tc>
          <w:tcPr>
            <w:tcW w:type="dxa" w:w="30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Added performance analysis and Fabric migration path</w:t>
            </w:r>
          </w:p>
        </w:tc>
      </w:tr>
      <w:tr>
        <w:tc>
          <w:tcPr>
            <w:tcW w:type="dxa" w:w="14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1.0</w:t>
            </w:r>
          </w:p>
        </w:tc>
        <w:tc>
          <w:tcPr>
            <w:tcW w:type="dxa" w:w="18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2026-08-13</w:t>
            </w:r>
          </w:p>
        </w:tc>
        <w:tc>
          <w:tcPr>
            <w:tcW w:type="dxa" w:w="31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Technical Architecture Team</w:t>
            </w:r>
          </w:p>
        </w:tc>
        <w:tc>
          <w:tcPr>
            <w:tcW w:type="dxa" w:w="30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First version circulated for stakeholder review</w:t>
            </w:r>
          </w:p>
        </w:tc>
      </w:tr>
    </w:tbl>
    <w:p>
      <w:pPr>
        <w:spacing w:after="120"/>
      </w:pPr>
    </w:p>
    <w:p>
      <w:pPr>
        <w:pStyle w:val="Heading3"/>
        <w:spacing w:after="100" w:before="200"/>
      </w:pPr>
      <w:r>
        <w:rPr>
          <w:rFonts w:ascii="Calibri" w:cs="Calibri" w:eastAsia="Calibri" w:hAnsi="Calibri"/>
          <w:b/>
          <w:bCs/>
          <w:color w:val="1B2A4A"/>
          <w:sz w:val="22"/>
          <w:szCs w:val="22"/>
        </w:rPr>
        <w:t xml:space="preserve">Distribution List</w:t>
      </w:r>
    </w:p>
    <w:p>
      <w:pPr>
        <w:pStyle w:val="ListParagraph"/>
        <w:numPr>
          <w:ilvl w:val="0"/>
          <w:numId w:val="2"/>
        </w:numPr>
        <w:spacing w:after="90" w:line="276"/>
      </w:pPr>
      <w:r>
        <w:rPr>
          <w:rFonts w:ascii="Calibri" w:cs="Calibri" w:eastAsia="Calibri" w:hAnsi="Calibri"/>
          <w:color w:val="222222"/>
          <w:sz w:val="21"/>
          <w:szCs w:val="21"/>
        </w:rPr>
        <w:t xml:space="preserve">Chief Data &amp; Analytics Officer</w:t>
      </w:r>
    </w:p>
    <w:p>
      <w:pPr>
        <w:pStyle w:val="ListParagraph"/>
        <w:numPr>
          <w:ilvl w:val="0"/>
          <w:numId w:val="2"/>
        </w:numPr>
        <w:spacing w:after="90" w:line="276"/>
      </w:pPr>
      <w:r>
        <w:rPr>
          <w:rFonts w:ascii="Calibri" w:cs="Calibri" w:eastAsia="Calibri" w:hAnsi="Calibri"/>
          <w:color w:val="222222"/>
          <w:sz w:val="21"/>
          <w:szCs w:val="21"/>
        </w:rPr>
        <w:t xml:space="preserve">Head of Enterprise Architecture</w:t>
      </w:r>
    </w:p>
    <w:p>
      <w:pPr>
        <w:pStyle w:val="ListParagraph"/>
        <w:numPr>
          <w:ilvl w:val="0"/>
          <w:numId w:val="2"/>
        </w:numPr>
        <w:spacing w:after="90" w:line="276"/>
      </w:pPr>
      <w:r>
        <w:rPr>
          <w:rFonts w:ascii="Calibri" w:cs="Calibri" w:eastAsia="Calibri" w:hAnsi="Calibri"/>
          <w:color w:val="222222"/>
          <w:sz w:val="21"/>
          <w:szCs w:val="21"/>
        </w:rPr>
        <w:t xml:space="preserve">Data Centre of Excellence (DCoE) Lead</w:t>
      </w:r>
    </w:p>
    <w:p>
      <w:pPr>
        <w:pStyle w:val="ListParagraph"/>
        <w:numPr>
          <w:ilvl w:val="0"/>
          <w:numId w:val="2"/>
        </w:numPr>
        <w:spacing w:after="90" w:line="276"/>
      </w:pPr>
      <w:r>
        <w:rPr>
          <w:rFonts w:ascii="Calibri" w:cs="Calibri" w:eastAsia="Calibri" w:hAnsi="Calibri"/>
          <w:color w:val="222222"/>
          <w:sz w:val="21"/>
          <w:szCs w:val="21"/>
        </w:rPr>
        <w:t xml:space="preserve">Infrastructure &amp; Cloud Platform Team</w:t>
      </w:r>
    </w:p>
    <w:p>
      <w:pPr>
        <w:pStyle w:val="ListParagraph"/>
        <w:numPr>
          <w:ilvl w:val="0"/>
          <w:numId w:val="2"/>
        </w:numPr>
        <w:spacing w:after="90" w:line="276"/>
      </w:pPr>
      <w:r>
        <w:rPr>
          <w:rFonts w:ascii="Calibri" w:cs="Calibri" w:eastAsia="Calibri" w:hAnsi="Calibri"/>
          <w:color w:val="222222"/>
          <w:sz w:val="21"/>
          <w:szCs w:val="21"/>
        </w:rPr>
        <w:t xml:space="preserve">Information Security &amp; Risk</w:t>
      </w:r>
    </w:p>
    <w:p>
      <w:pPr>
        <w:pStyle w:val="ListParagraph"/>
        <w:numPr>
          <w:ilvl w:val="0"/>
          <w:numId w:val="2"/>
        </w:numPr>
        <w:spacing w:after="90" w:line="276"/>
      </w:pPr>
      <w:r>
        <w:rPr>
          <w:rFonts w:ascii="Calibri" w:cs="Calibri" w:eastAsia="Calibri" w:hAnsi="Calibri"/>
          <w:color w:val="222222"/>
          <w:sz w:val="21"/>
          <w:szCs w:val="21"/>
        </w:rPr>
        <w:t xml:space="preserve">Business Intelligence / Reporting Leads (Underwriting, Claims, Finance, Actuarial)</w:t>
      </w:r>
    </w:p>
    <w:p>
      <w:r>
        <w:br w:type="page"/>
      </w:r>
    </w:p>
    <w:p>
      <w:pPr>
        <w:pStyle w:val="Heading1"/>
        <w:pBdr>
          <w:bottom w:val="single" w:color="2E5C8A" w:sz="6" w:space="4"/>
        </w:pBdr>
        <w:spacing w:after="160" w:before="360"/>
      </w:pPr>
      <w:r>
        <w:rPr>
          <w:rFonts w:ascii="Calibri" w:cs="Calibri" w:eastAsia="Calibri" w:hAnsi="Calibri"/>
          <w:b/>
          <w:bCs/>
          <w:color w:val="1B2A4A"/>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C8A" w:sz="6" w:space="4"/>
        </w:pBdr>
        <w:spacing w:after="160" w:before="360"/>
      </w:pPr>
      <w:r>
        <w:rPr>
          <w:rFonts w:ascii="Calibri" w:cs="Calibri" w:eastAsia="Calibri" w:hAnsi="Calibri"/>
          <w:b/>
          <w:bCs/>
          <w:color w:val="1B2A4A"/>
          <w:sz w:val="30"/>
          <w:szCs w:val="30"/>
        </w:rPr>
        <w:t xml:space="preserve">1. Executive Summary</w:t>
      </w:r>
    </w:p>
    <w:p>
      <w:pPr>
        <w:spacing w:after="160" w:line="276"/>
      </w:pPr>
      <w:r>
        <w:rPr>
          <w:rFonts w:ascii="Calibri" w:cs="Calibri" w:eastAsia="Calibri" w:hAnsi="Calibri"/>
          <w:color w:val="222222"/>
          <w:sz w:val="21"/>
          <w:szCs w:val="21"/>
        </w:rPr>
        <w:t xml:space="preserve">ABC Insurance's analytics estate has grown organically around a single Azure Synapse dedicated SQL pool that serves reporting, ad-hoc query, and downstream feed workloads for multiple business units. As query concurrency and data volumes have increased, this shared, fixed-capacity resource has become a recurring source of performance degradation, contention, and business frustration, and it does not give business users a safe way to explore data themselves.</w:t>
      </w:r>
    </w:p>
    <w:p>
      <w:pPr>
        <w:spacing w:after="160" w:line="276"/>
      </w:pPr>
      <w:r>
        <w:rPr>
          <w:rFonts w:ascii="Calibri" w:cs="Calibri" w:eastAsia="Calibri" w:hAnsi="Calibri"/>
          <w:color w:val="222222"/>
          <w:sz w:val="21"/>
          <w:szCs w:val="21"/>
        </w:rPr>
        <w:t xml:space="preserve">This paper proposes the adoption of Azure Synapse Analytics workspaces as the platform for self-service analytics at ABC Insurance, with three linked architectural moves:</w:t>
      </w:r>
    </w:p>
    <w:p>
      <w:pPr>
        <w:pStyle w:val="ListParagraph"/>
        <w:numPr>
          <w:ilvl w:val="0"/>
          <w:numId w:val="3"/>
        </w:numPr>
        <w:spacing w:after="90" w:line="276"/>
      </w:pPr>
      <w:r>
        <w:rPr>
          <w:rFonts w:ascii="Calibri" w:cs="Calibri" w:eastAsia="Calibri" w:hAnsi="Calibri"/>
          <w:color w:val="222222"/>
          <w:sz w:val="21"/>
          <w:szCs w:val="21"/>
        </w:rPr>
        <w:t xml:space="preserve">Rebalance compute — move general-purpose query and transformation workloads off the shared dedicated SQL pool and onto right-sized, elastic Synapse compute (serverless SQL pools and Spark pools), reserving dedicated SQL pool capacity for the workloads that genuinely need it.</w:t>
      </w:r>
    </w:p>
    <w:p>
      <w:pPr>
        <w:pStyle w:val="ListParagraph"/>
        <w:numPr>
          <w:ilvl w:val="0"/>
          <w:numId w:val="3"/>
        </w:numPr>
        <w:spacing w:after="90" w:line="276"/>
      </w:pPr>
      <w:r>
        <w:rPr>
          <w:rFonts w:ascii="Calibri" w:cs="Calibri" w:eastAsia="Calibri" w:hAnsi="Calibri"/>
          <w:color w:val="222222"/>
          <w:sz w:val="21"/>
          <w:szCs w:val="21"/>
        </w:rPr>
        <w:t xml:space="preserve">Enable self-service — give business and analytics teams governed, workspace-based access to explore data, build notebooks, and produce reports without opening tickets against a central, contended resource.</w:t>
      </w:r>
    </w:p>
    <w:p>
      <w:pPr>
        <w:pStyle w:val="ListParagraph"/>
        <w:numPr>
          <w:ilvl w:val="0"/>
          <w:numId w:val="3"/>
        </w:numPr>
        <w:spacing w:after="90" w:line="276"/>
      </w:pPr>
      <w:r>
        <w:rPr>
          <w:rFonts w:ascii="Calibri" w:cs="Calibri" w:eastAsia="Calibri" w:hAnsi="Calibri"/>
          <w:color w:val="222222"/>
          <w:sz w:val="21"/>
          <w:szCs w:val="21"/>
        </w:rPr>
        <w:t xml:space="preserve">Plan forward to Microsoft Fabric — adopt Synapse notebook and Spark patterns in a way that migrates cleanly to Microsoft Fabric, which Microsoft now positions as the strategic successor to Synapse dedicated SQL pools and Synapse Spark.</w:t>
      </w:r>
    </w:p>
    <w:p>
      <w:pPr>
        <w:spacing w:after="160" w:line="276"/>
      </w:pPr>
      <w:r>
        <w:rPr>
          <w:rFonts w:ascii="Calibri" w:cs="Calibri" w:eastAsia="Calibri" w:hAnsi="Calibri"/>
          <w:color w:val="222222"/>
          <w:sz w:val="21"/>
          <w:szCs w:val="21"/>
        </w:rPr>
        <w:t xml:space="preserve">Rather than a big-bang rollout, we recommend piloting with the Data Centre of Excellence (DCoE) — the team with existing PySpark, notebook, and data engineering skills — over a 90-day period, then using the lessons learned to build a supportable operating model before extending access to other departments (Underwriting, Claims, Finance, Actuarial, and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C8A" w:sz="4"/>
              <w:left w:val="single" w:color="2E5C8A" w:sz="24"/>
              <w:bottom w:val="single" w:color="2E5C8A" w:sz="4"/>
              <w:right w:val="single" w:color="2E5C8A" w:sz="4"/>
            </w:tcBorders>
            <w:shd w:fill="F2F2F2" w:color="auto" w:val="clear"/>
            <w:tcMar>
              <w:top w:type="dxa" w:w="140"/>
              <w:left w:type="dxa" w:w="200"/>
              <w:bottom w:type="dxa" w:w="140"/>
              <w:right w:type="dxa" w:w="200"/>
            </w:tcMar>
          </w:tcPr>
          <w:p>
            <w:pPr>
              <w:spacing w:after="60"/>
            </w:pPr>
            <w:r>
              <w:rPr>
                <w:rFonts w:ascii="Calibri" w:cs="Calibri" w:eastAsia="Calibri" w:hAnsi="Calibri"/>
                <w:b/>
                <w:bCs/>
                <w:color w:val="2E5C8A"/>
                <w:sz w:val="21"/>
                <w:szCs w:val="21"/>
              </w:rPr>
              <w:t xml:space="preserve">Recommendation</w:t>
            </w:r>
          </w:p>
          <w:p>
            <w:pPr>
              <w:spacing w:after="0" w:line="264"/>
            </w:pPr>
            <w:r>
              <w:rPr>
                <w:rFonts w:ascii="Calibri" w:cs="Calibri" w:eastAsia="Calibri" w:hAnsi="Calibri"/>
                <w:color w:val="333333"/>
                <w:sz w:val="20"/>
                <w:szCs w:val="20"/>
              </w:rPr>
              <w:t xml:space="preserve">Approve a DCoE-first pilot of Azure Synapse workspaces, funded compute rebalancing away from the dedicated SQL pool, and a parallel technical evaluation of Microsoft Fabric as the target state for notebooks and warehousing workloads.</w:t>
            </w:r>
          </w:p>
        </w:tc>
      </w:tr>
    </w:tbl>
    <w:p>
      <w:pPr>
        <w:spacing w:after="120"/>
      </w:pPr>
    </w:p>
    <w:p>
      <w:pPr>
        <w:pStyle w:val="Heading1"/>
        <w:pBdr>
          <w:bottom w:val="single" w:color="2E5C8A" w:sz="6" w:space="4"/>
        </w:pBdr>
        <w:spacing w:after="160" w:before="360"/>
      </w:pPr>
      <w:r>
        <w:rPr>
          <w:rFonts w:ascii="Calibri" w:cs="Calibri" w:eastAsia="Calibri" w:hAnsi="Calibri"/>
          <w:b/>
          <w:bCs/>
          <w:color w:val="1B2A4A"/>
          <w:sz w:val="30"/>
          <w:szCs w:val="30"/>
        </w:rPr>
        <w:t xml:space="preserve">2. Background</w:t>
      </w:r>
    </w:p>
    <w:p>
      <w:pPr>
        <w:spacing w:after="160" w:line="276"/>
      </w:pPr>
      <w:r>
        <w:rPr>
          <w:rFonts w:ascii="Calibri" w:cs="Calibri" w:eastAsia="Calibri" w:hAnsi="Calibri"/>
          <w:color w:val="222222"/>
          <w:sz w:val="21"/>
          <w:szCs w:val="21"/>
        </w:rPr>
        <w:t xml:space="preserve">ABC Insurance operates a central data platform built on Azure Synapse Analytics, originally scoped to support enterprise reporting and a small number of curated data marts. Over the past two to three years, demand has broadened significantly:</w:t>
      </w:r>
    </w:p>
    <w:p>
      <w:pPr>
        <w:pStyle w:val="ListParagraph"/>
        <w:numPr>
          <w:ilvl w:val="0"/>
          <w:numId w:val="2"/>
        </w:numPr>
        <w:spacing w:after="90" w:line="276"/>
      </w:pPr>
      <w:r>
        <w:rPr>
          <w:rFonts w:ascii="Calibri" w:cs="Calibri" w:eastAsia="Calibri" w:hAnsi="Calibri"/>
          <w:color w:val="222222"/>
          <w:sz w:val="21"/>
          <w:szCs w:val="21"/>
        </w:rPr>
        <w:t xml:space="preserve">Underwriting and Pricing teams increasingly want direct query access to policy and claims data for pricing model development and portfolio analysis.</w:t>
      </w:r>
    </w:p>
    <w:p>
      <w:pPr>
        <w:pStyle w:val="ListParagraph"/>
        <w:numPr>
          <w:ilvl w:val="0"/>
          <w:numId w:val="2"/>
        </w:numPr>
        <w:spacing w:after="90" w:line="276"/>
      </w:pPr>
      <w:r>
        <w:rPr>
          <w:rFonts w:ascii="Calibri" w:cs="Calibri" w:eastAsia="Calibri" w:hAnsi="Calibri"/>
          <w:color w:val="222222"/>
          <w:sz w:val="21"/>
          <w:szCs w:val="21"/>
        </w:rPr>
        <w:t xml:space="preserve">Claims and Finance require faster turnaround on ad-hoc investigative queries, particularly during month-end and renewal cycles.</w:t>
      </w:r>
    </w:p>
    <w:p>
      <w:pPr>
        <w:pStyle w:val="ListParagraph"/>
        <w:numPr>
          <w:ilvl w:val="0"/>
          <w:numId w:val="2"/>
        </w:numPr>
        <w:spacing w:after="90" w:line="276"/>
      </w:pPr>
      <w:r>
        <w:rPr>
          <w:rFonts w:ascii="Calibri" w:cs="Calibri" w:eastAsia="Calibri" w:hAnsi="Calibri"/>
          <w:color w:val="222222"/>
          <w:sz w:val="21"/>
          <w:szCs w:val="21"/>
        </w:rPr>
        <w:t xml:space="preserve">The DCoE has been building PySpark-based data engineering pipelines and predictive models, but has largely had to build this capability outside the core Synapse estate due to contention on the dedicated SQL pool.</w:t>
      </w:r>
    </w:p>
    <w:p>
      <w:pPr>
        <w:pStyle w:val="ListParagraph"/>
        <w:numPr>
          <w:ilvl w:val="0"/>
          <w:numId w:val="2"/>
        </w:numPr>
        <w:spacing w:after="90" w:line="276"/>
      </w:pPr>
      <w:r>
        <w:rPr>
          <w:rFonts w:ascii="Calibri" w:cs="Calibri" w:eastAsia="Calibri" w:hAnsi="Calibri"/>
          <w:color w:val="222222"/>
          <w:sz w:val="21"/>
          <w:szCs w:val="21"/>
        </w:rPr>
        <w:t xml:space="preserve">Compliance and Actuarial reporting cycles create predictable spikes in concurrent query load that regularly coincide with, and are blamed for, platform slowdowns.</w:t>
      </w:r>
    </w:p>
    <w:p>
      <w:pPr>
        <w:spacing w:after="160" w:line="276"/>
      </w:pPr>
      <w:r>
        <w:rPr>
          <w:rFonts w:ascii="Calibri" w:cs="Calibri" w:eastAsia="Calibri" w:hAnsi="Calibri"/>
          <w:color w:val="222222"/>
          <w:sz w:val="21"/>
          <w:szCs w:val="21"/>
        </w:rPr>
        <w:t xml:space="preserve">All of this workload currently converges on one dedicated SQL pool (formerly known as SQL DW). Because dedicated SQL pool compute is provisioned as a fixed pool of Data Warehousing Units (DWUs/cDWUs) shared across every consumer, growth in any one area degrades the experience for everyone else. This has manifested as slow or timed-out dashboards, queued queries during business-critical periods, and a general reluctance among business teams to self-serve, which pushes more requests back onto a small central reporting team.</w:t>
      </w:r>
    </w:p>
    <w:p>
      <w:pPr>
        <w:spacing w:after="160" w:line="276"/>
      </w:pPr>
      <w:r>
        <w:rPr>
          <w:rFonts w:ascii="Calibri" w:cs="Calibri" w:eastAsia="Calibri" w:hAnsi="Calibri"/>
          <w:color w:val="222222"/>
          <w:sz w:val="21"/>
          <w:szCs w:val="21"/>
        </w:rPr>
        <w:t xml:space="preserve">At the same time, Microsoft has been consolidating its analytics roadmap around Microsoft Fabric, a SaaS analytics platform that unifies data engineering, data warehousing, data science, real-time intelligence, and Power BI on a common storage layer (OneLake). Microsoft's public guidance is that Fabric is the forward path for Synapse dedicated SQL pool and Synapse Spark customers, with purpose-built migration assistants for notebooks, Spark artifacts, pipelines, and dedicated SQL pool warehouses. This means any investment ABC Insurance makes in Synapse workspaces today should be made with an explicit eye to what migrates cleanly to Fabric tomorrow.</w:t>
      </w:r>
    </w:p>
    <w:p>
      <w:pPr>
        <w:spacing w:after="120"/>
      </w:pPr>
    </w:p>
    <w:p>
      <w:pPr>
        <w:pStyle w:val="Heading1"/>
        <w:pBdr>
          <w:bottom w:val="single" w:color="2E5C8A" w:sz="6" w:space="4"/>
        </w:pBdr>
        <w:spacing w:after="160" w:before="360"/>
      </w:pPr>
      <w:r>
        <w:rPr>
          <w:rFonts w:ascii="Calibri" w:cs="Calibri" w:eastAsia="Calibri" w:hAnsi="Calibri"/>
          <w:b/>
          <w:bCs/>
          <w:color w:val="1B2A4A"/>
          <w:sz w:val="30"/>
          <w:szCs w:val="30"/>
        </w:rPr>
        <w:t xml:space="preserve">3. Overview of Azure Synapse Analytics Workspaces</w:t>
      </w:r>
    </w:p>
    <w:p>
      <w:pPr>
        <w:spacing w:after="160" w:line="276"/>
      </w:pPr>
      <w:r>
        <w:rPr>
          <w:rFonts w:ascii="Calibri" w:cs="Calibri" w:eastAsia="Calibri" w:hAnsi="Calibri"/>
          <w:color w:val="222222"/>
          <w:sz w:val="21"/>
          <w:szCs w:val="21"/>
        </w:rPr>
        <w:t xml:space="preserve">An Azure Synapse workspace is the unifying management and development surface for Azure Synapse Analytics. Instead of a single dedicated SQL pool as the only door into the data, a workspace gives each team a governed environment containing:</w:t>
      </w:r>
    </w:p>
    <w:p>
      <w:pPr>
        <w:pStyle w:val="ListParagraph"/>
        <w:numPr>
          <w:ilvl w:val="0"/>
          <w:numId w:val="2"/>
        </w:numPr>
        <w:spacing w:after="90" w:line="276"/>
      </w:pPr>
      <w:r>
        <w:rPr>
          <w:rFonts w:ascii="Calibri" w:cs="Calibri" w:eastAsia="Calibri" w:hAnsi="Calibri"/>
          <w:color w:val="222222"/>
          <w:sz w:val="21"/>
          <w:szCs w:val="21"/>
        </w:rPr>
        <w:t xml:space="preserve">Serverless SQL pools — pay-per-query, on-demand SQL compute for ad-hoc exploration directly over files in the data lake, with no infrastructure to provision or manage.</w:t>
      </w:r>
    </w:p>
    <w:p>
      <w:pPr>
        <w:pStyle w:val="ListParagraph"/>
        <w:numPr>
          <w:ilvl w:val="0"/>
          <w:numId w:val="2"/>
        </w:numPr>
        <w:spacing w:after="90" w:line="276"/>
      </w:pPr>
      <w:r>
        <w:rPr>
          <w:rFonts w:ascii="Calibri" w:cs="Calibri" w:eastAsia="Calibri" w:hAnsi="Calibri"/>
          <w:color w:val="222222"/>
          <w:sz w:val="21"/>
          <w:szCs w:val="21"/>
        </w:rPr>
        <w:t xml:space="preserve">Dedicated SQL pools — provisioned, MPP data-warehouse compute for high-concurrency, performance-critical enterprise reporting on curated, modelled data.</w:t>
      </w:r>
    </w:p>
    <w:p>
      <w:pPr>
        <w:pStyle w:val="ListParagraph"/>
        <w:numPr>
          <w:ilvl w:val="0"/>
          <w:numId w:val="2"/>
        </w:numPr>
        <w:spacing w:after="90" w:line="276"/>
      </w:pPr>
      <w:r>
        <w:rPr>
          <w:rFonts w:ascii="Calibri" w:cs="Calibri" w:eastAsia="Calibri" w:hAnsi="Calibri"/>
          <w:color w:val="222222"/>
          <w:sz w:val="21"/>
          <w:szCs w:val="21"/>
        </w:rPr>
        <w:t xml:space="preserve">Apache Spark pools — auto-scaling, auto-pausing Spark clusters for PySpark, Scala, and Spark SQL data engineering, feature engineering, and data science workloads.</w:t>
      </w:r>
    </w:p>
    <w:p>
      <w:pPr>
        <w:pStyle w:val="ListParagraph"/>
        <w:numPr>
          <w:ilvl w:val="0"/>
          <w:numId w:val="2"/>
        </w:numPr>
        <w:spacing w:after="90" w:line="276"/>
      </w:pPr>
      <w:r>
        <w:rPr>
          <w:rFonts w:ascii="Calibri" w:cs="Calibri" w:eastAsia="Calibri" w:hAnsi="Calibri"/>
          <w:color w:val="222222"/>
          <w:sz w:val="21"/>
          <w:szCs w:val="21"/>
        </w:rPr>
        <w:t xml:space="preserve">Synapse Pipelines — orchestration and data movement (built on Azure Data Factory technology) for scheduled and event-driven ETL/ELT.</w:t>
      </w:r>
    </w:p>
    <w:p>
      <w:pPr>
        <w:pStyle w:val="ListParagraph"/>
        <w:numPr>
          <w:ilvl w:val="0"/>
          <w:numId w:val="2"/>
        </w:numPr>
        <w:spacing w:after="90" w:line="276"/>
      </w:pPr>
      <w:r>
        <w:rPr>
          <w:rFonts w:ascii="Calibri" w:cs="Calibri" w:eastAsia="Calibri" w:hAnsi="Calibri"/>
          <w:color w:val="222222"/>
          <w:sz w:val="21"/>
          <w:szCs w:val="21"/>
        </w:rPr>
        <w:t xml:space="preserve">Synapse Studio — a single web-based authoring and monitoring experience covering SQL scripts, notebooks, pipelines, and Spark job definitions.</w:t>
      </w:r>
    </w:p>
    <w:p>
      <w:pPr>
        <w:pStyle w:val="ListParagraph"/>
        <w:numPr>
          <w:ilvl w:val="0"/>
          <w:numId w:val="2"/>
        </w:numPr>
        <w:spacing w:after="90" w:line="276"/>
      </w:pPr>
      <w:r>
        <w:rPr>
          <w:rFonts w:ascii="Calibri" w:cs="Calibri" w:eastAsia="Calibri" w:hAnsi="Calibri"/>
          <w:color w:val="222222"/>
          <w:sz w:val="21"/>
          <w:szCs w:val="21"/>
        </w:rPr>
        <w:t xml:space="preserve">Integrated security and governance — workspace-level Azure AD (Entra ID) authentication, row-level and column-level security, dynamic data masking, and integration with Microsoft Purview for data cataloguing and lineage.</w:t>
      </w:r>
    </w:p>
    <w:p>
      <w:pPr>
        <w:spacing w:after="160" w:line="276"/>
      </w:pPr>
      <w:r>
        <w:rPr>
          <w:rFonts w:ascii="Calibri" w:cs="Calibri" w:eastAsia="Calibri" w:hAnsi="Calibri"/>
          <w:color w:val="222222"/>
          <w:sz w:val="21"/>
          <w:szCs w:val="21"/>
        </w:rPr>
        <w:t xml:space="preserve">Critically for this proposal, workspaces are provisioned per team or domain rather than shared as one monolithic pool. Each workspace can be scoped to a linked storage account and given its own Spark pools and serverless endpoints, so that one team's workload cannot starve another's — while still allowing central IT to apply consistent governance, networking, and cost controls across all workspaces via Azure Policy and a shared Purview catalog.</w:t>
      </w:r>
    </w:p>
    <w:p>
      <w:pPr>
        <w:spacing w:after="120"/>
      </w:pPr>
    </w:p>
    <w:p>
      <w:pPr>
        <w:pStyle w:val="Heading1"/>
        <w:pBdr>
          <w:bottom w:val="single" w:color="2E5C8A" w:sz="6" w:space="4"/>
        </w:pBdr>
        <w:spacing w:after="160" w:before="360"/>
      </w:pPr>
      <w:r>
        <w:rPr>
          <w:rFonts w:ascii="Calibri" w:cs="Calibri" w:eastAsia="Calibri" w:hAnsi="Calibri"/>
          <w:b/>
          <w:bCs/>
          <w:color w:val="1B2A4A"/>
          <w:sz w:val="30"/>
          <w:szCs w:val="30"/>
        </w:rPr>
        <w:t xml:space="preserve">4. Synapse Workspace Use Cases at ABC Insurance</w:t>
      </w:r>
    </w:p>
    <w:p>
      <w:pPr>
        <w:spacing w:after="160" w:line="276"/>
      </w:pPr>
      <w:r>
        <w:rPr>
          <w:rFonts w:ascii="Calibri" w:cs="Calibri" w:eastAsia="Calibri" w:hAnsi="Calibri"/>
          <w:color w:val="222222"/>
          <w:sz w:val="21"/>
          <w:szCs w:val="21"/>
        </w:rPr>
        <w:t xml:space="preserve">The table below maps common ABC Insurance analytics needs to the Synapse workspace capability best suited to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650"/>
        <w:gridCol w:w="2000"/>
      </w:tblGrid>
      <w:tr>
        <w:trPr>
          <w:tblHeader/>
        </w:trPr>
        <w:tc>
          <w:tcPr>
            <w:tcW w:type="dxa" w:w="26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Use Case</w:t>
            </w:r>
          </w:p>
        </w:tc>
        <w:tc>
          <w:tcPr>
            <w:tcW w:type="dxa" w:w="21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Primary Users</w:t>
            </w:r>
          </w:p>
        </w:tc>
        <w:tc>
          <w:tcPr>
            <w:tcW w:type="dxa" w:w="265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Synapse Capability</w:t>
            </w:r>
          </w:p>
        </w:tc>
        <w:tc>
          <w:tcPr>
            <w:tcW w:type="dxa" w:w="20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Typical Compute</w:t>
            </w:r>
          </w:p>
        </w:tc>
      </w:tr>
      <w:tr>
        <w:tc>
          <w:tcPr>
            <w:tcW w:type="dxa" w:w="26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Ad-hoc exploration of claims/policy data in the lake</w:t>
            </w:r>
          </w:p>
        </w:tc>
        <w:tc>
          <w:tcPr>
            <w:tcW w:type="dxa" w:w="21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Business analysts, DCoE</w:t>
            </w:r>
          </w:p>
        </w:tc>
        <w:tc>
          <w:tcPr>
            <w:tcW w:type="dxa" w:w="26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Serverless SQL pool over lake files</w:t>
            </w:r>
          </w:p>
        </w:tc>
        <w:tc>
          <w:tcPr>
            <w:tcW w:type="dxa" w:w="20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Serverless SQL (pay-per-query)</w:t>
            </w:r>
          </w:p>
        </w:tc>
      </w:tr>
      <w:tr>
        <w:tc>
          <w:tcPr>
            <w:tcW w:type="dxa" w:w="26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PySpark data engineering &amp; feature pipelines</w:t>
            </w:r>
          </w:p>
        </w:tc>
        <w:tc>
          <w:tcPr>
            <w:tcW w:type="dxa" w:w="21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DCoE data engineers/scientists</w:t>
            </w:r>
          </w:p>
        </w:tc>
        <w:tc>
          <w:tcPr>
            <w:tcW w:type="dxa" w:w="26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Notebooks, Spark job definitions</w:t>
            </w:r>
          </w:p>
        </w:tc>
        <w:tc>
          <w:tcPr>
            <w:tcW w:type="dxa" w:w="20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Spark pools (auto-scale, auto-pause)</w:t>
            </w:r>
          </w:p>
        </w:tc>
      </w:tr>
      <w:tr>
        <w:tc>
          <w:tcPr>
            <w:tcW w:type="dxa" w:w="26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Predictive/pricing model development</w:t>
            </w:r>
          </w:p>
        </w:tc>
        <w:tc>
          <w:tcPr>
            <w:tcW w:type="dxa" w:w="21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Actuarial &amp; Pricing, DCoE</w:t>
            </w:r>
          </w:p>
        </w:tc>
        <w:tc>
          <w:tcPr>
            <w:tcW w:type="dxa" w:w="26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Notebooks + MLflow-style experimentation</w:t>
            </w:r>
          </w:p>
        </w:tc>
        <w:tc>
          <w:tcPr>
            <w:tcW w:type="dxa" w:w="20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Spark pools</w:t>
            </w:r>
          </w:p>
        </w:tc>
      </w:tr>
      <w:tr>
        <w:tc>
          <w:tcPr>
            <w:tcW w:type="dxa" w:w="26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Curated enterprise reporting &amp; regulatory submissions</w:t>
            </w:r>
          </w:p>
        </w:tc>
        <w:tc>
          <w:tcPr>
            <w:tcW w:type="dxa" w:w="21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Finance, Compliance</w:t>
            </w:r>
          </w:p>
        </w:tc>
        <w:tc>
          <w:tcPr>
            <w:tcW w:type="dxa" w:w="26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Modelled star-schema marts</w:t>
            </w:r>
          </w:p>
        </w:tc>
        <w:tc>
          <w:tcPr>
            <w:tcW w:type="dxa" w:w="20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Dedicated SQL pool (right-sized)</w:t>
            </w:r>
          </w:p>
        </w:tc>
      </w:tr>
      <w:tr>
        <w:tc>
          <w:tcPr>
            <w:tcW w:type="dxa" w:w="26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Departmental dashboards (Power BI)</w:t>
            </w:r>
          </w:p>
        </w:tc>
        <w:tc>
          <w:tcPr>
            <w:tcW w:type="dxa" w:w="21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Underwriting, Claims, Distribution</w:t>
            </w:r>
          </w:p>
        </w:tc>
        <w:tc>
          <w:tcPr>
            <w:tcW w:type="dxa" w:w="26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Serverless SQL / Lake database via Power BI DirectQuery</w:t>
            </w:r>
          </w:p>
        </w:tc>
        <w:tc>
          <w:tcPr>
            <w:tcW w:type="dxa" w:w="20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Serverless SQL</w:t>
            </w:r>
          </w:p>
        </w:tc>
      </w:tr>
      <w:tr>
        <w:tc>
          <w:tcPr>
            <w:tcW w:type="dxa" w:w="26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Batch ETL/ELT orchestration</w:t>
            </w:r>
          </w:p>
        </w:tc>
        <w:tc>
          <w:tcPr>
            <w:tcW w:type="dxa" w:w="21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DCoE, central data platform team</w:t>
            </w:r>
          </w:p>
        </w:tc>
        <w:tc>
          <w:tcPr>
            <w:tcW w:type="dxa" w:w="26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Synapse Pipelines</w:t>
            </w:r>
          </w:p>
        </w:tc>
        <w:tc>
          <w:tcPr>
            <w:tcW w:type="dxa" w:w="20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Integration Runtime (no dedicated SQL pool needed)</w:t>
            </w:r>
          </w:p>
        </w:tc>
      </w:tr>
      <w:tr>
        <w:tc>
          <w:tcPr>
            <w:tcW w:type="dxa" w:w="26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Data cataloguing, lineage, sensitive-data discovery</w:t>
            </w:r>
          </w:p>
        </w:tc>
        <w:tc>
          <w:tcPr>
            <w:tcW w:type="dxa" w:w="21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Data Governance, InfoSec</w:t>
            </w:r>
          </w:p>
        </w:tc>
        <w:tc>
          <w:tcPr>
            <w:tcW w:type="dxa" w:w="26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Microsoft Purview integration</w:t>
            </w:r>
          </w:p>
        </w:tc>
        <w:tc>
          <w:tcPr>
            <w:tcW w:type="dxa" w:w="20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N/A (metadata)</w:t>
            </w:r>
          </w:p>
        </w:tc>
      </w:tr>
    </w:tbl>
    <w:p>
      <w:pPr>
        <w:spacing w:after="120"/>
      </w:pPr>
    </w:p>
    <w:p>
      <w:pPr>
        <w:pStyle w:val="Heading1"/>
        <w:pBdr>
          <w:bottom w:val="single" w:color="2E5C8A" w:sz="6" w:space="4"/>
        </w:pBdr>
        <w:spacing w:after="160" w:before="360"/>
      </w:pPr>
      <w:r>
        <w:rPr>
          <w:rFonts w:ascii="Calibri" w:cs="Calibri" w:eastAsia="Calibri" w:hAnsi="Calibri"/>
          <w:b/>
          <w:bCs/>
          <w:color w:val="1B2A4A"/>
          <w:sz w:val="30"/>
          <w:szCs w:val="30"/>
        </w:rPr>
        <w:t xml:space="preserve">5. Pros and Cons of Synapse Workspace Adoption</w:t>
      </w:r>
    </w:p>
    <w:p>
      <w:pPr>
        <w:pStyle w:val="Heading2"/>
        <w:spacing w:after="120" w:before="280"/>
      </w:pPr>
      <w:r>
        <w:rPr>
          <w:rFonts w:ascii="Calibri" w:cs="Calibri" w:eastAsia="Calibri" w:hAnsi="Calibri"/>
          <w:b/>
          <w:bCs/>
          <w:color w:val="2E5C8A"/>
          <w:sz w:val="24"/>
          <w:szCs w:val="24"/>
        </w:rPr>
        <w:t xml:space="preserve">5.1 Benefits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Benefit</w:t>
            </w:r>
          </w:p>
        </w:tc>
        <w:tc>
          <w:tcPr>
            <w:tcW w:type="dxa" w:w="685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Impact for ABC Insurance</w:t>
            </w:r>
          </w:p>
        </w:tc>
      </w:tr>
      <w:tr>
        <w:tc>
          <w:tcPr>
            <w:tcW w:type="dxa" w:w="25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Workload isolation</w:t>
            </w:r>
          </w:p>
        </w:tc>
        <w:tc>
          <w:tcPr>
            <w:tcW w:type="dxa" w:w="68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Each department/workspace gets its own Spark and serverless compute, so a heavy DCoE Spark job no longer competes with Finance's month-end dashboard queries.</w:t>
            </w:r>
          </w:p>
        </w:tc>
      </w:tr>
      <w:tr>
        <w:tc>
          <w:tcPr>
            <w:tcW w:type="dxa" w:w="25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Elastic, consumption-based compute</w:t>
            </w:r>
          </w:p>
        </w:tc>
        <w:tc>
          <w:tcPr>
            <w:tcW w:type="dxa" w:w="68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Serverless SQL and Spark auto-pause mean ABC Insurance pays for compute only when queries actually run, rather than for a dedicated pool sized for peak concurrency.</w:t>
            </w:r>
          </w:p>
        </w:tc>
      </w:tr>
      <w:tr>
        <w:tc>
          <w:tcPr>
            <w:tcW w:type="dxa" w:w="25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Faster self-service</w:t>
            </w:r>
          </w:p>
        </w:tc>
        <w:tc>
          <w:tcPr>
            <w:tcW w:type="dxa" w:w="68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Business and DCoE users can query the lake directly instead of waiting on a central team to build and maintain extract pipelines.</w:t>
            </w:r>
          </w:p>
        </w:tc>
      </w:tr>
      <w:tr>
        <w:tc>
          <w:tcPr>
            <w:tcW w:type="dxa" w:w="25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Unified development experience</w:t>
            </w:r>
          </w:p>
        </w:tc>
        <w:tc>
          <w:tcPr>
            <w:tcW w:type="dxa" w:w="68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Synapse Studio brings SQL, Spark notebooks, and pipelines into one authoring surface with shared Git integration for version control and CI/CD.</w:t>
            </w:r>
          </w:p>
        </w:tc>
      </w:tr>
      <w:tr>
        <w:tc>
          <w:tcPr>
            <w:tcW w:type="dxa" w:w="25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Built-in governance</w:t>
            </w:r>
          </w:p>
        </w:tc>
        <w:tc>
          <w:tcPr>
            <w:tcW w:type="dxa" w:w="68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Entra ID, row/column-level security, dynamic data masking, and Purview lineage give InfoSec and Compliance visibility without blocking access.</w:t>
            </w:r>
          </w:p>
        </w:tc>
      </w:tr>
      <w:tr>
        <w:tc>
          <w:tcPr>
            <w:tcW w:type="dxa" w:w="25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Forward-compatible skills</w:t>
            </w:r>
          </w:p>
        </w:tc>
        <w:tc>
          <w:tcPr>
            <w:tcW w:type="dxa" w:w="68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PySpark and notebook skills built in Synapse transfer almost directly to Microsoft Fabric, protecting the DCoE's skills investment.</w:t>
            </w:r>
          </w:p>
        </w:tc>
      </w:tr>
    </w:tbl>
    <w:p>
      <w:pPr>
        <w:spacing w:after="120"/>
      </w:pPr>
    </w:p>
    <w:p>
      <w:pPr>
        <w:pStyle w:val="Heading2"/>
        <w:spacing w:after="120" w:before="280"/>
      </w:pPr>
      <w:r>
        <w:rPr>
          <w:rFonts w:ascii="Calibri" w:cs="Calibri" w:eastAsia="Calibri" w:hAnsi="Calibri"/>
          <w:b/>
          <w:bCs/>
          <w:color w:val="2E5C8A"/>
          <w:sz w:val="24"/>
          <w:szCs w:val="24"/>
        </w:rPr>
        <w:t xml:space="preserve">5.2 Risks and Constraints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Consideration</w:t>
            </w:r>
          </w:p>
        </w:tc>
        <w:tc>
          <w:tcPr>
            <w:tcW w:type="dxa" w:w="695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Detail</w:t>
            </w:r>
          </w:p>
        </w:tc>
      </w:tr>
      <w:tr>
        <w:tc>
          <w:tcPr>
            <w:tcW w:type="dxa" w:w="24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Cost visibility</w:t>
            </w:r>
          </w:p>
        </w:tc>
        <w:tc>
          <w:tcPr>
            <w:tcW w:type="dxa" w:w="69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Consumption-based serverless SQL and Spark can be harder to budget and forecast than a fixed dedicated SQL pool unless usage is actively monitored and capped.</w:t>
            </w:r>
          </w:p>
        </w:tc>
      </w:tr>
      <w:tr>
        <w:tc>
          <w:tcPr>
            <w:tcW w:type="dxa" w:w="24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Sprawl risk</w:t>
            </w:r>
          </w:p>
        </w:tc>
        <w:tc>
          <w:tcPr>
            <w:tcW w:type="dxa" w:w="69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Provisioning a workspace per department without central standards can lead to duplicated datasets, inconsistent security models, and shadow-IT-style analytics.</w:t>
            </w:r>
          </w:p>
        </w:tc>
      </w:tr>
      <w:tr>
        <w:tc>
          <w:tcPr>
            <w:tcW w:type="dxa" w:w="24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Skills gap outside DCoE</w:t>
            </w:r>
          </w:p>
        </w:tc>
        <w:tc>
          <w:tcPr>
            <w:tcW w:type="dxa" w:w="69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PySpark and notebook-based analysis assume a technical skill level that most business departments do not yet have, limiting immediate self-service value for non-technical teams.</w:t>
            </w:r>
          </w:p>
        </w:tc>
      </w:tr>
      <w:tr>
        <w:tc>
          <w:tcPr>
            <w:tcW w:type="dxa" w:w="24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Platform transition overhead</w:t>
            </w:r>
          </w:p>
        </w:tc>
        <w:tc>
          <w:tcPr>
            <w:tcW w:type="dxa" w:w="69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Microsoft's roadmap is moving investment toward Microsoft Fabric; some Synapse capabilities (e.g. dedicated SQL pool) are not the long-term target architecture, so new patterns should be chosen with migration in mind.</w:t>
            </w:r>
          </w:p>
        </w:tc>
      </w:tr>
      <w:tr>
        <w:tc>
          <w:tcPr>
            <w:tcW w:type="dxa" w:w="24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Concurrent operating model</w:t>
            </w:r>
          </w:p>
        </w:tc>
        <w:tc>
          <w:tcPr>
            <w:tcW w:type="dxa" w:w="69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Running Synapse workspaces alongside the existing dedicated SQL pool during transition adds a period of dual support and dual monitoring for the platform team.</w:t>
            </w:r>
          </w:p>
        </w:tc>
      </w:tr>
    </w:tbl>
    <w:p>
      <w:pPr>
        <w:spacing w:after="120"/>
      </w:pPr>
    </w:p>
    <w:p>
      <w:pPr>
        <w:pStyle w:val="Heading1"/>
        <w:pBdr>
          <w:bottom w:val="single" w:color="2E5C8A" w:sz="6" w:space="4"/>
        </w:pBdr>
        <w:spacing w:after="160" w:before="360"/>
      </w:pPr>
      <w:r>
        <w:rPr>
          <w:rFonts w:ascii="Calibri" w:cs="Calibri" w:eastAsia="Calibri" w:hAnsi="Calibri"/>
          <w:b/>
          <w:bCs/>
          <w:color w:val="1B2A4A"/>
          <w:sz w:val="30"/>
          <w:szCs w:val="30"/>
        </w:rPr>
        <w:t xml:space="preserve">6. Moving Compute Away From the Dedicated SQL Pool</w:t>
      </w:r>
    </w:p>
    <w:p>
      <w:pPr>
        <w:pStyle w:val="Heading2"/>
        <w:spacing w:after="120" w:before="280"/>
      </w:pPr>
      <w:r>
        <w:rPr>
          <w:rFonts w:ascii="Calibri" w:cs="Calibri" w:eastAsia="Calibri" w:hAnsi="Calibri"/>
          <w:b/>
          <w:bCs/>
          <w:color w:val="2E5C8A"/>
          <w:sz w:val="24"/>
          <w:szCs w:val="24"/>
        </w:rPr>
        <w:t xml:space="preserve">6.1 Current Pain Points</w:t>
      </w:r>
    </w:p>
    <w:p>
      <w:pPr>
        <w:spacing w:after="160" w:line="276"/>
      </w:pPr>
      <w:r>
        <w:rPr>
          <w:rFonts w:ascii="Calibri" w:cs="Calibri" w:eastAsia="Calibri" w:hAnsi="Calibri"/>
          <w:color w:val="222222"/>
          <w:sz w:val="21"/>
          <w:szCs w:val="21"/>
        </w:rPr>
        <w:t xml:space="preserve">The existing dedicated SQL pool is shared across reporting, ad-hoc query, and batch load workloads. Because it is provisioned as a single fixed-size resource, all workloads draw from the same concurrency slots and memory grants. In practice this produces:</w:t>
      </w:r>
    </w:p>
    <w:p>
      <w:pPr>
        <w:pStyle w:val="ListParagraph"/>
        <w:numPr>
          <w:ilvl w:val="0"/>
          <w:numId w:val="2"/>
        </w:numPr>
        <w:spacing w:after="90" w:line="276"/>
      </w:pPr>
      <w:r>
        <w:rPr>
          <w:rFonts w:ascii="Calibri" w:cs="Calibri" w:eastAsia="Calibri" w:hAnsi="Calibri"/>
          <w:color w:val="222222"/>
          <w:sz w:val="21"/>
          <w:szCs w:val="21"/>
        </w:rPr>
        <w:t xml:space="preserve">Query queuing during peak reporting windows (month-end, renewal season, regulatory submission dates).</w:t>
      </w:r>
    </w:p>
    <w:p>
      <w:pPr>
        <w:pStyle w:val="ListParagraph"/>
        <w:numPr>
          <w:ilvl w:val="0"/>
          <w:numId w:val="2"/>
        </w:numPr>
        <w:spacing w:after="90" w:line="276"/>
      </w:pPr>
      <w:r>
        <w:rPr>
          <w:rFonts w:ascii="Calibri" w:cs="Calibri" w:eastAsia="Calibri" w:hAnsi="Calibri"/>
          <w:color w:val="222222"/>
          <w:sz w:val="21"/>
          <w:szCs w:val="21"/>
        </w:rPr>
        <w:t xml:space="preserve">Long-running ad-hoc analyst queries starving smaller, time-sensitive dashboard queries of concurrency slots.</w:t>
      </w:r>
    </w:p>
    <w:p>
      <w:pPr>
        <w:pStyle w:val="ListParagraph"/>
        <w:numPr>
          <w:ilvl w:val="0"/>
          <w:numId w:val="2"/>
        </w:numPr>
        <w:spacing w:after="90" w:line="276"/>
      </w:pPr>
      <w:r>
        <w:rPr>
          <w:rFonts w:ascii="Calibri" w:cs="Calibri" w:eastAsia="Calibri" w:hAnsi="Calibri"/>
          <w:color w:val="222222"/>
          <w:sz w:val="21"/>
          <w:szCs w:val="21"/>
        </w:rPr>
        <w:t xml:space="preserve">Resource classes tuned for batch loads conflicting with the needs of interactive, exploratory queries.</w:t>
      </w:r>
    </w:p>
    <w:p>
      <w:pPr>
        <w:pStyle w:val="ListParagraph"/>
        <w:numPr>
          <w:ilvl w:val="0"/>
          <w:numId w:val="2"/>
        </w:numPr>
        <w:spacing w:after="90" w:line="276"/>
      </w:pPr>
      <w:r>
        <w:rPr>
          <w:rFonts w:ascii="Calibri" w:cs="Calibri" w:eastAsia="Calibri" w:hAnsi="Calibri"/>
          <w:color w:val="222222"/>
          <w:sz w:val="21"/>
          <w:szCs w:val="21"/>
        </w:rPr>
        <w:t xml:space="preserve">Cost inefficiency — the pool is sized for peak load, so it is over-provisioned (and paid for) most of the time.</w:t>
      </w:r>
    </w:p>
    <w:p>
      <w:pPr>
        <w:pStyle w:val="Heading2"/>
        <w:spacing w:after="120" w:before="280"/>
      </w:pPr>
      <w:r>
        <w:rPr>
          <w:rFonts w:ascii="Calibri" w:cs="Calibri" w:eastAsia="Calibri" w:hAnsi="Calibri"/>
          <w:b/>
          <w:bCs/>
          <w:color w:val="2E5C8A"/>
          <w:sz w:val="24"/>
          <w:szCs w:val="24"/>
        </w:rPr>
        <w:t xml:space="preserve">6.2 Target Compute Model</w:t>
      </w:r>
    </w:p>
    <w:p>
      <w:pPr>
        <w:spacing w:after="160" w:line="276"/>
      </w:pPr>
      <w:r>
        <w:rPr>
          <w:rFonts w:ascii="Calibri" w:cs="Calibri" w:eastAsia="Calibri" w:hAnsi="Calibri"/>
          <w:color w:val="222222"/>
          <w:sz w:val="21"/>
          <w:szCs w:val="21"/>
        </w:rPr>
        <w:t xml:space="preserve">We recommend re-partitioning workload by access pattern rather than continuing to route everything through one dedicated SQL pool: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3850"/>
      </w:tblGrid>
      <w:tr>
        <w:trPr>
          <w:tblHeader/>
        </w:trPr>
        <w:tc>
          <w:tcPr>
            <w:tcW w:type="dxa" w:w="29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Workload Type</w:t>
            </w:r>
          </w:p>
        </w:tc>
        <w:tc>
          <w:tcPr>
            <w:tcW w:type="dxa" w:w="26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Move To</w:t>
            </w:r>
          </w:p>
        </w:tc>
        <w:tc>
          <w:tcPr>
            <w:tcW w:type="dxa" w:w="385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Rationale</w:t>
            </w:r>
          </w:p>
        </w:tc>
      </w:tr>
      <w:tr>
        <w:tc>
          <w:tcPr>
            <w:tcW w:type="dxa" w:w="29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Ad-hoc exploration over raw/curated lake files</w:t>
            </w:r>
          </w:p>
        </w:tc>
        <w:tc>
          <w:tcPr>
            <w:tcW w:type="dxa" w:w="26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Serverless SQL pool</w:t>
            </w:r>
          </w:p>
        </w:tc>
        <w:tc>
          <w:tcPr>
            <w:tcW w:type="dxa" w:w="38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No provisioning, pay only per query, scales automatically, isolates exploratory load from the warehouse.</w:t>
            </w:r>
          </w:p>
        </w:tc>
      </w:tr>
      <w:tr>
        <w:tc>
          <w:tcPr>
            <w:tcW w:type="dxa" w:w="29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PySpark transformation, feature engineering, data science</w:t>
            </w:r>
          </w:p>
        </w:tc>
        <w:tc>
          <w:tcPr>
            <w:tcW w:type="dxa" w:w="26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Spark pools (per-workspace)</w:t>
            </w:r>
          </w:p>
        </w:tc>
        <w:tc>
          <w:tcPr>
            <w:tcW w:type="dxa" w:w="38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Purpose-built distributed compute; auto-scale and auto-pause avoid idle cost; isolates DCoE workload entirely.</w:t>
            </w:r>
          </w:p>
        </w:tc>
      </w:tr>
      <w:tr>
        <w:tc>
          <w:tcPr>
            <w:tcW w:type="dxa" w:w="29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Scheduled ETL/ELT orchestration</w:t>
            </w:r>
          </w:p>
        </w:tc>
        <w:tc>
          <w:tcPr>
            <w:tcW w:type="dxa" w:w="26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Synapse Pipelines / Integration Runtime</w:t>
            </w:r>
          </w:p>
        </w:tc>
        <w:tc>
          <w:tcPr>
            <w:tcW w:type="dxa" w:w="38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Removes batch load contention from the SQL pool's concurrency slots.</w:t>
            </w:r>
          </w:p>
        </w:tc>
      </w:tr>
      <w:tr>
        <w:tc>
          <w:tcPr>
            <w:tcW w:type="dxa" w:w="29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Curated, governed enterprise reporting requiring sub-second, high-concurrency SQL performance</w:t>
            </w:r>
          </w:p>
        </w:tc>
        <w:tc>
          <w:tcPr>
            <w:tcW w:type="dxa" w:w="26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Right-sized dedicated SQL pool (retained, reduced footprint)</w:t>
            </w:r>
          </w:p>
        </w:tc>
        <w:tc>
          <w:tcPr>
            <w:tcW w:type="dxa" w:w="38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Keeps MPP performance where it is genuinely required, at a smaller, cheaper service level once other load is removed.</w:t>
            </w:r>
          </w:p>
        </w:tc>
      </w:tr>
    </w:tbl>
    <w:p>
      <w:pPr>
        <w:spacing w:after="120"/>
      </w:pPr>
    </w:p>
    <w:p>
      <w:pPr>
        <w:pStyle w:val="Heading2"/>
        <w:spacing w:after="120" w:before="280"/>
      </w:pPr>
      <w:r>
        <w:rPr>
          <w:rFonts w:ascii="Calibri" w:cs="Calibri" w:eastAsia="Calibri" w:hAnsi="Calibri"/>
          <w:b/>
          <w:bCs/>
          <w:color w:val="2E5C8A"/>
          <w:sz w:val="24"/>
          <w:szCs w:val="24"/>
        </w:rPr>
        <w:t xml:space="preserve">6.3 Expected Outcomes</w:t>
      </w:r>
    </w:p>
    <w:p>
      <w:pPr>
        <w:pStyle w:val="ListParagraph"/>
        <w:numPr>
          <w:ilvl w:val="0"/>
          <w:numId w:val="2"/>
        </w:numPr>
        <w:spacing w:after="90" w:line="276"/>
      </w:pPr>
      <w:r>
        <w:rPr>
          <w:rFonts w:ascii="Calibri" w:cs="Calibri" w:eastAsia="Calibri" w:hAnsi="Calibri"/>
          <w:color w:val="222222"/>
          <w:sz w:val="21"/>
          <w:szCs w:val="21"/>
        </w:rPr>
        <w:t xml:space="preserve">Reduced query queuing and improved P95 query latency for remaining dedicated SQL pool reporting workloads.</w:t>
      </w:r>
    </w:p>
    <w:p>
      <w:pPr>
        <w:pStyle w:val="ListParagraph"/>
        <w:numPr>
          <w:ilvl w:val="0"/>
          <w:numId w:val="2"/>
        </w:numPr>
        <w:spacing w:after="90" w:line="276"/>
      </w:pPr>
      <w:r>
        <w:rPr>
          <w:rFonts w:ascii="Calibri" w:cs="Calibri" w:eastAsia="Calibri" w:hAnsi="Calibri"/>
          <w:color w:val="222222"/>
          <w:sz w:val="21"/>
          <w:szCs w:val="21"/>
        </w:rPr>
        <w:t xml:space="preserve">Ability to scale the dedicated SQL pool down (lower DWU tier) once ad-hoc and Spark workloads are removed, reducing run-rate cost.</w:t>
      </w:r>
    </w:p>
    <w:p>
      <w:pPr>
        <w:pStyle w:val="ListParagraph"/>
        <w:numPr>
          <w:ilvl w:val="0"/>
          <w:numId w:val="2"/>
        </w:numPr>
        <w:spacing w:after="90" w:line="276"/>
      </w:pPr>
      <w:r>
        <w:rPr>
          <w:rFonts w:ascii="Calibri" w:cs="Calibri" w:eastAsia="Calibri" w:hAnsi="Calibri"/>
          <w:color w:val="222222"/>
          <w:sz w:val="21"/>
          <w:szCs w:val="21"/>
        </w:rPr>
        <w:t xml:space="preserve">Independent scaling — the DCoE can scale Spark pools for a heavy model-training run without any impact on Finance's reporting SLAs.</w:t>
      </w:r>
    </w:p>
    <w:p>
      <w:pPr>
        <w:pStyle w:val="ListParagraph"/>
        <w:numPr>
          <w:ilvl w:val="0"/>
          <w:numId w:val="2"/>
        </w:numPr>
        <w:spacing w:after="90" w:line="276"/>
      </w:pPr>
      <w:r>
        <w:rPr>
          <w:rFonts w:ascii="Calibri" w:cs="Calibri" w:eastAsia="Calibri" w:hAnsi="Calibri"/>
          <w:color w:val="222222"/>
          <w:sz w:val="21"/>
          <w:szCs w:val="21"/>
        </w:rPr>
        <w:t xml:space="preserve">Clear cost attribution — serverless SQL and Spark usage can be tagged and charged back per workspace/department, improving cost accountability.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7791F" w:sz="4"/>
              <w:left w:val="single" w:color="B7791F" w:sz="24"/>
              <w:bottom w:val="single" w:color="B7791F" w:sz="4"/>
              <w:right w:val="single" w:color="B7791F" w:sz="4"/>
            </w:tcBorders>
            <w:shd w:fill="F2F2F2" w:color="auto" w:val="clear"/>
            <w:tcMar>
              <w:top w:type="dxa" w:w="140"/>
              <w:left w:type="dxa" w:w="200"/>
              <w:bottom w:type="dxa" w:w="140"/>
              <w:right w:type="dxa" w:w="200"/>
            </w:tcMar>
          </w:tcPr>
          <w:p>
            <w:pPr>
              <w:spacing w:after="60"/>
            </w:pPr>
            <w:r>
              <w:rPr>
                <w:rFonts w:ascii="Calibri" w:cs="Calibri" w:eastAsia="Calibri" w:hAnsi="Calibri"/>
                <w:b/>
                <w:bCs/>
                <w:color w:val="B7791F"/>
                <w:sz w:val="21"/>
                <w:szCs w:val="21"/>
              </w:rPr>
              <w:t xml:space="preserve">Architecture Principle</w:t>
            </w:r>
          </w:p>
          <w:p>
            <w:pPr>
              <w:spacing w:after="0" w:line="264"/>
            </w:pPr>
            <w:r>
              <w:rPr>
                <w:rFonts w:ascii="Calibri" w:cs="Calibri" w:eastAsia="Calibri" w:hAnsi="Calibri"/>
                <w:color w:val="333333"/>
                <w:sz w:val="20"/>
                <w:szCs w:val="20"/>
              </w:rPr>
              <w:t xml:space="preserve">No new ad-hoc or PySpark workload should be onboarded onto the dedicated SQL pool going forward. New workloads default to serverless SQL or Spark pools within a department workspace; the dedicated SQL pool is reserved for governed, modelled, high-concurrency enterprise reporting only.</w:t>
            </w:r>
          </w:p>
        </w:tc>
      </w:tr>
    </w:tbl>
    <w:p>
      <w:pPr>
        <w:spacing w:after="120"/>
      </w:pPr>
    </w:p>
    <w:p>
      <w:pPr>
        <w:pStyle w:val="Heading1"/>
        <w:pBdr>
          <w:bottom w:val="single" w:color="2E5C8A" w:sz="6" w:space="4"/>
        </w:pBdr>
        <w:spacing w:after="160" w:before="360"/>
      </w:pPr>
      <w:r>
        <w:rPr>
          <w:rFonts w:ascii="Calibri" w:cs="Calibri" w:eastAsia="Calibri" w:hAnsi="Calibri"/>
          <w:b/>
          <w:bCs/>
          <w:color w:val="1B2A4A"/>
          <w:sz w:val="30"/>
          <w:szCs w:val="30"/>
        </w:rPr>
        <w:t xml:space="preserve">7. Synapse Notebooks: Migration Path to Microsoft Fabric</w:t>
      </w:r>
    </w:p>
    <w:p>
      <w:pPr>
        <w:spacing w:after="160" w:line="276"/>
      </w:pPr>
      <w:r>
        <w:rPr>
          <w:rFonts w:ascii="Calibri" w:cs="Calibri" w:eastAsia="Calibri" w:hAnsi="Calibri"/>
          <w:color w:val="222222"/>
          <w:sz w:val="21"/>
          <w:szCs w:val="21"/>
        </w:rPr>
        <w:t xml:space="preserve">Microsoft has been clear that Microsoft Fabric — not further investment in Synapse dedicated SQL pool or Synapse Spark — is the strategic direction for enterprise analytics. To avoid building technical debt, ABC Insurance's Synapse notebook and Spark estate should be designed and governed from day one in a way that migrates cleanly to Fabric.</w:t>
      </w:r>
    </w:p>
    <w:p>
      <w:pPr>
        <w:pStyle w:val="Heading2"/>
        <w:spacing w:after="120" w:before="280"/>
      </w:pPr>
      <w:r>
        <w:rPr>
          <w:rFonts w:ascii="Calibri" w:cs="Calibri" w:eastAsia="Calibri" w:hAnsi="Calibri"/>
          <w:b/>
          <w:bCs/>
          <w:color w:val="2E5C8A"/>
          <w:sz w:val="24"/>
          <w:szCs w:val="24"/>
        </w:rPr>
        <w:t xml:space="preserve">7.1 Why This Matters Now</w:t>
      </w:r>
    </w:p>
    <w:p>
      <w:pPr>
        <w:spacing w:after="160" w:line="276"/>
      </w:pPr>
      <w:r>
        <w:rPr>
          <w:rFonts w:ascii="Calibri" w:cs="Calibri" w:eastAsia="Calibri" w:hAnsi="Calibri"/>
          <w:color w:val="222222"/>
          <w:sz w:val="21"/>
          <w:szCs w:val="21"/>
        </w:rPr>
        <w:t xml:space="preserve">Microsoft provides purpose-built tooling to move Synapse Spark artifacts into Fabric Data Engineering: a Synapse Spark to Fabric Data Engineering migration assistant that copies Spark pools, notebooks, Spark job definitions, and lake database mappings into Fabric without moving the underlying data, alongside a separate migration path for dedicated SQL pool warehouses into Fabric Data Warehouse. Building DCoE notebook practices on Synapse now, in a Fabric-aware way, means this migration is a planned, tooled exercise rather than a rewrite.</w:t>
      </w:r>
    </w:p>
    <w:p>
      <w:pPr>
        <w:pStyle w:val="Heading2"/>
        <w:spacing w:after="120" w:before="280"/>
      </w:pPr>
      <w:r>
        <w:rPr>
          <w:rFonts w:ascii="Calibri" w:cs="Calibri" w:eastAsia="Calibri" w:hAnsi="Calibri"/>
          <w:b/>
          <w:bCs/>
          <w:color w:val="2E5C8A"/>
          <w:sz w:val="24"/>
          <w:szCs w:val="24"/>
        </w:rPr>
        <w:t xml:space="preserve">7.2 Recommended Migration Approach</w:t>
      </w:r>
    </w:p>
    <w:p>
      <w:pPr>
        <w:pStyle w:val="ListParagraph"/>
        <w:numPr>
          <w:ilvl w:val="0"/>
          <w:numId w:val="4"/>
        </w:numPr>
        <w:spacing w:after="90" w:line="276"/>
      </w:pPr>
      <w:r>
        <w:rPr>
          <w:rFonts w:ascii="Calibri" w:cs="Calibri" w:eastAsia="Calibri" w:hAnsi="Calibri"/>
          <w:color w:val="222222"/>
          <w:sz w:val="21"/>
          <w:szCs w:val="21"/>
        </w:rPr>
        <w:t xml:space="preserve">Assess — use the Synapse-to-Fabric migration assessment (available from Synapse Studio's Integrate hub) to inventory notebooks, Spark job definitions, pipelines, and pool configurations, and flag compatibility gaps early.</w:t>
      </w:r>
    </w:p>
    <w:p>
      <w:pPr>
        <w:pStyle w:val="ListParagraph"/>
        <w:numPr>
          <w:ilvl w:val="0"/>
          <w:numId w:val="4"/>
        </w:numPr>
        <w:spacing w:after="90" w:line="276"/>
      </w:pPr>
      <w:r>
        <w:rPr>
          <w:rFonts w:ascii="Calibri" w:cs="Calibri" w:eastAsia="Calibri" w:hAnsi="Calibri"/>
          <w:color w:val="222222"/>
          <w:sz w:val="21"/>
          <w:szCs w:val="21"/>
        </w:rPr>
        <w:t xml:space="preserve">Standardise now — write new DCoE notebooks using Fabric-compatible patterns from the outset: avoid Synapse-specific mount points and linked-service patterns where a OneLake-style shortcut equivalent exists, and keep library/environment management explicit and documented rather than ad-hoc pool customisation.</w:t>
      </w:r>
    </w:p>
    <w:p>
      <w:pPr>
        <w:pStyle w:val="ListParagraph"/>
        <w:numPr>
          <w:ilvl w:val="0"/>
          <w:numId w:val="4"/>
        </w:numPr>
        <w:spacing w:after="90" w:line="276"/>
      </w:pPr>
      <w:r>
        <w:rPr>
          <w:rFonts w:ascii="Calibri" w:cs="Calibri" w:eastAsia="Calibri" w:hAnsi="Calibri"/>
          <w:color w:val="222222"/>
          <w:sz w:val="21"/>
          <w:szCs w:val="21"/>
        </w:rPr>
        <w:t xml:space="preserve">Pilot the migration assistant — run the Spark migration assistant against a small, non-critical set of DCoE notebooks to validate the process, capture the generated migration report, and identify items needing manual attention (custom libraries, referenced notebooks, mount points).</w:t>
      </w:r>
    </w:p>
    <w:p>
      <w:pPr>
        <w:pStyle w:val="ListParagraph"/>
        <w:numPr>
          <w:ilvl w:val="0"/>
          <w:numId w:val="4"/>
        </w:numPr>
        <w:spacing w:after="90" w:line="276"/>
      </w:pPr>
      <w:r>
        <w:rPr>
          <w:rFonts w:ascii="Calibri" w:cs="Calibri" w:eastAsia="Calibri" w:hAnsi="Calibri"/>
          <w:color w:val="222222"/>
          <w:sz w:val="21"/>
          <w:szCs w:val="21"/>
        </w:rPr>
        <w:t xml:space="preserve">Validate runtime behaviour — Fabric Spark runs on a different backend than Synapse Spark, so PySpark library versions, custom library installation, and folder-based notebook references need re-validation; do not assume drag-and-drop compatibility.</w:t>
      </w:r>
    </w:p>
    <w:p>
      <w:pPr>
        <w:pStyle w:val="ListParagraph"/>
        <w:numPr>
          <w:ilvl w:val="0"/>
          <w:numId w:val="4"/>
        </w:numPr>
        <w:spacing w:after="90" w:line="276"/>
      </w:pPr>
      <w:r>
        <w:rPr>
          <w:rFonts w:ascii="Calibri" w:cs="Calibri" w:eastAsia="Calibri" w:hAnsi="Calibri"/>
          <w:color w:val="222222"/>
          <w:sz w:val="21"/>
          <w:szCs w:val="21"/>
        </w:rPr>
        <w:t xml:space="preserve">Migrate dedicated SQL pool objects separately — schema (DDL), stored procedures (DML), and data for the retained dedicated SQL pool workload should be migrated to Fabric Data Warehouse using the dedicated Fabric Migration Assistant for Data Warehouse, on its own track from the Spark/notebook migration.</w:t>
      </w:r>
    </w:p>
    <w:p>
      <w:pPr>
        <w:pStyle w:val="ListParagraph"/>
        <w:numPr>
          <w:ilvl w:val="0"/>
          <w:numId w:val="4"/>
        </w:numPr>
        <w:spacing w:after="90" w:line="276"/>
      </w:pPr>
      <w:r>
        <w:rPr>
          <w:rFonts w:ascii="Calibri" w:cs="Calibri" w:eastAsia="Calibri" w:hAnsi="Calibri"/>
          <w:color w:val="222222"/>
          <w:sz w:val="21"/>
          <w:szCs w:val="21"/>
        </w:rPr>
        <w:t xml:space="preserve">Cut over pipelines last — once target notebooks and Spark job definitions exist in Fabric, migrate Synapse Pipelines that reference them using the pipeline migration experience, so activities map correctly instead of being left unmapped.</w:t>
      </w:r>
    </w:p>
    <w:p>
      <w:pPr>
        <w:pStyle w:val="Heading2"/>
        <w:spacing w:after="120" w:before="280"/>
      </w:pPr>
      <w:r>
        <w:rPr>
          <w:rFonts w:ascii="Calibri" w:cs="Calibri" w:eastAsia="Calibri" w:hAnsi="Calibri"/>
          <w:b/>
          <w:bCs/>
          <w:color w:val="2E5C8A"/>
          <w:sz w:val="24"/>
          <w:szCs w:val="24"/>
        </w:rPr>
        <w:t xml:space="preserve">7.3 Known Migration Gaps to Plan For</w:t>
      </w:r>
    </w:p>
    <w:p>
      <w:pPr>
        <w:pStyle w:val="ListParagraph"/>
        <w:numPr>
          <w:ilvl w:val="0"/>
          <w:numId w:val="2"/>
        </w:numPr>
        <w:spacing w:after="90" w:line="276"/>
      </w:pPr>
      <w:r>
        <w:rPr>
          <w:rFonts w:ascii="Calibri" w:cs="Calibri" w:eastAsia="Calibri" w:hAnsi="Calibri"/>
          <w:color w:val="222222"/>
          <w:sz w:val="21"/>
          <w:szCs w:val="21"/>
        </w:rPr>
        <w:t xml:space="preserve">Synapse Mapping Data Flows are not supported in Fabric and must be rebuilt as Dataflows Gen2 — ABC Insurance should avoid new investment in Mapping Data Flows.</w:t>
      </w:r>
    </w:p>
    <w:p>
      <w:pPr>
        <w:pStyle w:val="ListParagraph"/>
        <w:numPr>
          <w:ilvl w:val="0"/>
          <w:numId w:val="2"/>
        </w:numPr>
        <w:spacing w:after="90" w:line="276"/>
      </w:pPr>
      <w:r>
        <w:rPr>
          <w:rFonts w:ascii="Calibri" w:cs="Calibri" w:eastAsia="Calibri" w:hAnsi="Calibri"/>
          <w:color w:val="222222"/>
          <w:sz w:val="21"/>
          <w:szCs w:val="21"/>
        </w:rPr>
        <w:t xml:space="preserve">T-SQL relying on dedicated-SQL-pool-specific syntax (distribution hints such as HASH/ROUND_ROBIN/REPLICATE, PolyBase, certain CTAS patterns) will need rewriting for Fabric Data Warehouse or the SQL analytics endpoint.</w:t>
      </w:r>
    </w:p>
    <w:p>
      <w:pPr>
        <w:pStyle w:val="ListParagraph"/>
        <w:numPr>
          <w:ilvl w:val="0"/>
          <w:numId w:val="2"/>
        </w:numPr>
        <w:spacing w:after="90" w:line="276"/>
      </w:pPr>
      <w:r>
        <w:rPr>
          <w:rFonts w:ascii="Calibri" w:cs="Calibri" w:eastAsia="Calibri" w:hAnsi="Calibri"/>
          <w:color w:val="222222"/>
          <w:sz w:val="21"/>
          <w:szCs w:val="21"/>
        </w:rPr>
        <w:t xml:space="preserve">Fabric currently has no direct folder concept for notebooks in the way Synapse does, so cross-folder notebook references will need to be restructured.</w:t>
      </w:r>
    </w:p>
    <w:p>
      <w:pPr>
        <w:pStyle w:val="ListParagraph"/>
        <w:numPr>
          <w:ilvl w:val="0"/>
          <w:numId w:val="2"/>
        </w:numPr>
        <w:spacing w:after="90" w:line="276"/>
      </w:pPr>
      <w:r>
        <w:rPr>
          <w:rFonts w:ascii="Calibri" w:cs="Calibri" w:eastAsia="Calibri" w:hAnsi="Calibri"/>
          <w:color w:val="222222"/>
          <w:sz w:val="21"/>
          <w:szCs w:val="21"/>
        </w:rPr>
        <w:t xml:space="preserve">Notebook migration is frequently the most time-consuming part of a Synapse-to-Fabric project in practice — library version drift and custom installations should be budgeted for explicitly rather than treated as a lift-and-shift.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D32" w:sz="4"/>
              <w:left w:val="single" w:color="2E7D32" w:sz="24"/>
              <w:bottom w:val="single" w:color="2E7D32" w:sz="4"/>
              <w:right w:val="single" w:color="2E7D32" w:sz="4"/>
            </w:tcBorders>
            <w:shd w:fill="F2F2F2" w:color="auto" w:val="clear"/>
            <w:tcMar>
              <w:top w:type="dxa" w:w="140"/>
              <w:left w:type="dxa" w:w="200"/>
              <w:bottom w:type="dxa" w:w="140"/>
              <w:right w:type="dxa" w:w="200"/>
            </w:tcMar>
          </w:tcPr>
          <w:p>
            <w:pPr>
              <w:spacing w:after="60"/>
            </w:pPr>
            <w:r>
              <w:rPr>
                <w:rFonts w:ascii="Calibri" w:cs="Calibri" w:eastAsia="Calibri" w:hAnsi="Calibri"/>
                <w:b/>
                <w:bCs/>
                <w:color w:val="2E7D32"/>
                <w:sz w:val="21"/>
                <w:szCs w:val="21"/>
              </w:rPr>
              <w:t xml:space="preserve">Planning Implication</w:t>
            </w:r>
          </w:p>
          <w:p>
            <w:pPr>
              <w:spacing w:after="0" w:line="264"/>
            </w:pPr>
            <w:r>
              <w:rPr>
                <w:rFonts w:ascii="Calibri" w:cs="Calibri" w:eastAsia="Calibri" w:hAnsi="Calibri"/>
                <w:color w:val="333333"/>
                <w:sz w:val="20"/>
                <w:szCs w:val="20"/>
              </w:rPr>
              <w:t xml:space="preserve">Treat the DCoE pilot workspace as the proving ground for Fabric-ready notebook standards, not just a Synapse adoption exercise. Conventions agreed with the DCoE (library management, no Mapping Data Flows, no folder-nested notebook references) should be written into the platform's engineering standards before any other department onboards.</w:t>
            </w:r>
          </w:p>
        </w:tc>
      </w:tr>
    </w:tbl>
    <w:p>
      <w:pPr>
        <w:spacing w:after="120"/>
      </w:pPr>
    </w:p>
    <w:p>
      <w:pPr>
        <w:pStyle w:val="Heading1"/>
        <w:pBdr>
          <w:bottom w:val="single" w:color="2E5C8A" w:sz="6" w:space="4"/>
        </w:pBdr>
        <w:spacing w:after="160" w:before="360"/>
      </w:pPr>
      <w:r>
        <w:rPr>
          <w:rFonts w:ascii="Calibri" w:cs="Calibri" w:eastAsia="Calibri" w:hAnsi="Calibri"/>
          <w:b/>
          <w:bCs/>
          <w:color w:val="1B2A4A"/>
          <w:sz w:val="30"/>
          <w:szCs w:val="30"/>
        </w:rPr>
        <w:t xml:space="preserve">8. Phased Adoption Strategy: Start with the DCoE</w:t>
      </w:r>
    </w:p>
    <w:p>
      <w:pPr>
        <w:spacing w:after="160" w:line="276"/>
      </w:pPr>
      <w:r>
        <w:rPr>
          <w:rFonts w:ascii="Calibri" w:cs="Calibri" w:eastAsia="Calibri" w:hAnsi="Calibri"/>
          <w:color w:val="222222"/>
          <w:sz w:val="21"/>
          <w:szCs w:val="21"/>
        </w:rPr>
        <w:t xml:space="preserve">Rather than rolling Synapse workspaces out to all departments simultaneously, we recommend a phased, skills-led adoption path, starting with the Data Centre of Excellence.</w:t>
      </w:r>
    </w:p>
    <w:p>
      <w:pPr>
        <w:pStyle w:val="Heading2"/>
        <w:spacing w:after="120" w:before="280"/>
      </w:pPr>
      <w:r>
        <w:rPr>
          <w:rFonts w:ascii="Calibri" w:cs="Calibri" w:eastAsia="Calibri" w:hAnsi="Calibri"/>
          <w:b/>
          <w:bCs/>
          <w:color w:val="2E5C8A"/>
          <w:sz w:val="24"/>
          <w:szCs w:val="24"/>
        </w:rPr>
        <w:t xml:space="preserve">8.1 Why DCoE First</w:t>
      </w:r>
    </w:p>
    <w:p>
      <w:pPr>
        <w:pStyle w:val="ListParagraph"/>
        <w:numPr>
          <w:ilvl w:val="0"/>
          <w:numId w:val="2"/>
        </w:numPr>
        <w:spacing w:after="90" w:line="276"/>
      </w:pPr>
      <w:r>
        <w:rPr>
          <w:rFonts w:ascii="Calibri" w:cs="Calibri" w:eastAsia="Calibri" w:hAnsi="Calibri"/>
          <w:color w:val="222222"/>
          <w:sz w:val="21"/>
          <w:szCs w:val="21"/>
        </w:rPr>
        <w:t xml:space="preserve">The DCoE already has PySpark, Python, and notebook-based development skills, so it can adopt Spark pools and Synapse notebooks productively without a steep learning curve.</w:t>
      </w:r>
    </w:p>
    <w:p>
      <w:pPr>
        <w:pStyle w:val="ListParagraph"/>
        <w:numPr>
          <w:ilvl w:val="0"/>
          <w:numId w:val="2"/>
        </w:numPr>
        <w:spacing w:after="90" w:line="276"/>
      </w:pPr>
      <w:r>
        <w:rPr>
          <w:rFonts w:ascii="Calibri" w:cs="Calibri" w:eastAsia="Calibri" w:hAnsi="Calibri"/>
          <w:color w:val="222222"/>
          <w:sz w:val="21"/>
          <w:szCs w:val="21"/>
        </w:rPr>
        <w:t xml:space="preserve">DCoE workloads (model development, feature engineering) are among the heaviest and most variable consumers of compute today, so isolating them delivers the fastest, most visible relief to the dedicated SQL pool.</w:t>
      </w:r>
    </w:p>
    <w:p>
      <w:pPr>
        <w:pStyle w:val="ListParagraph"/>
        <w:numPr>
          <w:ilvl w:val="0"/>
          <w:numId w:val="2"/>
        </w:numPr>
        <w:spacing w:after="90" w:line="276"/>
      </w:pPr>
      <w:r>
        <w:rPr>
          <w:rFonts w:ascii="Calibri" w:cs="Calibri" w:eastAsia="Calibri" w:hAnsi="Calibri"/>
          <w:color w:val="222222"/>
          <w:sz w:val="21"/>
          <w:szCs w:val="21"/>
        </w:rPr>
        <w:t xml:space="preserve">A technically strong pilot group can stress-test governance, cost controls, CI/CD (Git integration), and monitoring before these are exposed to less technical business users.</w:t>
      </w:r>
    </w:p>
    <w:p>
      <w:pPr>
        <w:pStyle w:val="ListParagraph"/>
        <w:numPr>
          <w:ilvl w:val="0"/>
          <w:numId w:val="2"/>
        </w:numPr>
        <w:spacing w:after="90" w:line="276"/>
      </w:pPr>
      <w:r>
        <w:rPr>
          <w:rFonts w:ascii="Calibri" w:cs="Calibri" w:eastAsia="Calibri" w:hAnsi="Calibri"/>
          <w:color w:val="222222"/>
          <w:sz w:val="21"/>
          <w:szCs w:val="21"/>
        </w:rPr>
        <w:t xml:space="preserve">Conventions and guardrails proven with the DCoE become the reference pattern — and the Fabric-ready notebook standards — for every subsequent department onboarding.</w:t>
      </w:r>
    </w:p>
    <w:p>
      <w:pPr>
        <w:pStyle w:val="Heading2"/>
        <w:spacing w:after="120" w:before="280"/>
      </w:pPr>
      <w:r>
        <w:rPr>
          <w:rFonts w:ascii="Calibri" w:cs="Calibri" w:eastAsia="Calibri" w:hAnsi="Calibri"/>
          <w:b/>
          <w:bCs/>
          <w:color w:val="2E5C8A"/>
          <w:sz w:val="24"/>
          <w:szCs w:val="24"/>
        </w:rPr>
        <w:t xml:space="preserve">8.2 Phased Rollout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2100"/>
        <w:gridCol w:w="3950"/>
      </w:tblGrid>
      <w:tr>
        <w:trPr>
          <w:tblHeader/>
        </w:trPr>
        <w:tc>
          <w:tcPr>
            <w:tcW w:type="dxa" w:w="20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Phase</w:t>
            </w:r>
          </w:p>
        </w:tc>
        <w:tc>
          <w:tcPr>
            <w:tcW w:type="dxa" w:w="13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Duration</w:t>
            </w:r>
          </w:p>
        </w:tc>
        <w:tc>
          <w:tcPr>
            <w:tcW w:type="dxa" w:w="21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Scope</w:t>
            </w:r>
          </w:p>
        </w:tc>
        <w:tc>
          <w:tcPr>
            <w:tcW w:type="dxa" w:w="395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Key Activities</w:t>
            </w:r>
          </w:p>
        </w:tc>
      </w:tr>
      <w:tr>
        <w:tc>
          <w:tcPr>
            <w:tcW w:type="dxa" w:w="20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Phase 1 — DCoE Pilot</w:t>
            </w:r>
          </w:p>
        </w:tc>
        <w:tc>
          <w:tcPr>
            <w:tcW w:type="dxa" w:w="13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Weeks 1–6</w:t>
            </w:r>
          </w:p>
        </w:tc>
        <w:tc>
          <w:tcPr>
            <w:tcW w:type="dxa" w:w="21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DCoE only</w:t>
            </w:r>
          </w:p>
        </w:tc>
        <w:tc>
          <w:tcPr>
            <w:tcW w:type="dxa" w:w="3950"/>
            <w:shd w:fill="FFFFFF" w:color="auto" w:val="clear"/>
            <w:tcMar>
              <w:top w:type="dxa" w:w="80"/>
              <w:left w:type="dxa" w:w="110"/>
              <w:bottom w:type="dxa" w:w="80"/>
              <w:right w:type="dxa" w:w="110"/>
            </w:tcMar>
            <w:vAlign w:val="center"/>
          </w:tcPr>
          <w:p>
            <w:pPr>
              <w:spacing w:after="40"/>
            </w:pPr>
            <w:r>
              <w:rPr>
                <w:rFonts w:ascii="Calibri" w:cs="Calibri" w:eastAsia="Calibri" w:hAnsi="Calibri"/>
                <w:color w:val="222222"/>
                <w:sz w:val="19"/>
                <w:szCs w:val="19"/>
              </w:rPr>
              <w:t xml:space="preserve">Provision dedicated DCoE Synapse workspace</w:t>
            </w:r>
          </w:p>
          <w:p>
            <w:pPr>
              <w:spacing w:after="40"/>
            </w:pPr>
            <w:r>
              <w:rPr>
                <w:rFonts w:ascii="Calibri" w:cs="Calibri" w:eastAsia="Calibri" w:hAnsi="Calibri"/>
                <w:color w:val="222222"/>
                <w:sz w:val="19"/>
                <w:szCs w:val="19"/>
              </w:rPr>
              <w:t xml:space="preserve">Migrate priority PySpark pipelines off shared pool</w:t>
            </w:r>
          </w:p>
          <w:p>
            <w:pPr>
              <w:spacing w:after="40"/>
            </w:pPr>
            <w:r>
              <w:rPr>
                <w:rFonts w:ascii="Calibri" w:cs="Calibri" w:eastAsia="Calibri" w:hAnsi="Calibri"/>
                <w:color w:val="222222"/>
                <w:sz w:val="19"/>
                <w:szCs w:val="19"/>
              </w:rPr>
              <w:t xml:space="preserve">Establish Git-based CI/CD, cost tagging, monitoring</w:t>
            </w:r>
          </w:p>
          <w:p>
            <w:pPr>
              <w:spacing w:after="40"/>
            </w:pPr>
            <w:r>
              <w:rPr>
                <w:rFonts w:ascii="Calibri" w:cs="Calibri" w:eastAsia="Calibri" w:hAnsi="Calibri"/>
                <w:color w:val="222222"/>
                <w:sz w:val="19"/>
                <w:szCs w:val="19"/>
              </w:rPr>
              <w:t xml:space="preserve">Define Fabric-ready notebook standards</w:t>
            </w:r>
          </w:p>
        </w:tc>
      </w:tr>
      <w:tr>
        <w:tc>
          <w:tcPr>
            <w:tcW w:type="dxa" w:w="20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Phase 2 — DCoE Stabilisation</w:t>
            </w:r>
          </w:p>
        </w:tc>
        <w:tc>
          <w:tcPr>
            <w:tcW w:type="dxa" w:w="13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Weeks 7–12</w:t>
            </w:r>
          </w:p>
        </w:tc>
        <w:tc>
          <w:tcPr>
            <w:tcW w:type="dxa" w:w="21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DCoE only</w:t>
            </w:r>
          </w:p>
        </w:tc>
        <w:tc>
          <w:tcPr>
            <w:tcW w:type="dxa" w:w="3950"/>
            <w:shd w:fill="F2F2F2" w:color="auto" w:val="clear"/>
            <w:tcMar>
              <w:top w:type="dxa" w:w="80"/>
              <w:left w:type="dxa" w:w="110"/>
              <w:bottom w:type="dxa" w:w="80"/>
              <w:right w:type="dxa" w:w="110"/>
            </w:tcMar>
            <w:vAlign w:val="center"/>
          </w:tcPr>
          <w:p>
            <w:pPr>
              <w:spacing w:after="40"/>
            </w:pPr>
            <w:r>
              <w:rPr>
                <w:rFonts w:ascii="Calibri" w:cs="Calibri" w:eastAsia="Calibri" w:hAnsi="Calibri"/>
                <w:color w:val="222222"/>
                <w:sz w:val="19"/>
                <w:szCs w:val="19"/>
              </w:rPr>
              <w:t xml:space="preserve">Run assessment &amp; pilot of Fabric Spark migration assistant on a subset of notebooks</w:t>
            </w:r>
          </w:p>
          <w:p>
            <w:pPr>
              <w:spacing w:after="40"/>
            </w:pPr>
            <w:r>
              <w:rPr>
                <w:rFonts w:ascii="Calibri" w:cs="Calibri" w:eastAsia="Calibri" w:hAnsi="Calibri"/>
                <w:color w:val="222222"/>
                <w:sz w:val="19"/>
                <w:szCs w:val="19"/>
              </w:rPr>
              <w:t xml:space="preserve">Right-size dedicated SQL pool now that ad-hoc/Spark load is removed</w:t>
            </w:r>
          </w:p>
          <w:p>
            <w:pPr>
              <w:spacing w:after="40"/>
            </w:pPr>
            <w:r>
              <w:rPr>
                <w:rFonts w:ascii="Calibri" w:cs="Calibri" w:eastAsia="Calibri" w:hAnsi="Calibri"/>
                <w:color w:val="222222"/>
                <w:sz w:val="19"/>
                <w:szCs w:val="19"/>
              </w:rPr>
              <w:t xml:space="preserve">Document lessons learned and support model</w:t>
            </w:r>
          </w:p>
        </w:tc>
      </w:tr>
      <w:tr>
        <w:tc>
          <w:tcPr>
            <w:tcW w:type="dxa" w:w="20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Phase 3 — Early Adopter Departments</w:t>
            </w:r>
          </w:p>
        </w:tc>
        <w:tc>
          <w:tcPr>
            <w:tcW w:type="dxa" w:w="13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Months 4–6</w:t>
            </w:r>
          </w:p>
        </w:tc>
        <w:tc>
          <w:tcPr>
            <w:tcW w:type="dxa" w:w="21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Actuarial/Pricing, BI/Reporting team</w:t>
            </w:r>
          </w:p>
        </w:tc>
        <w:tc>
          <w:tcPr>
            <w:tcW w:type="dxa" w:w="3950"/>
            <w:shd w:fill="FFFFFF" w:color="auto" w:val="clear"/>
            <w:tcMar>
              <w:top w:type="dxa" w:w="80"/>
              <w:left w:type="dxa" w:w="110"/>
              <w:bottom w:type="dxa" w:w="80"/>
              <w:right w:type="dxa" w:w="110"/>
            </w:tcMar>
            <w:vAlign w:val="center"/>
          </w:tcPr>
          <w:p>
            <w:pPr>
              <w:spacing w:after="40"/>
            </w:pPr>
            <w:r>
              <w:rPr>
                <w:rFonts w:ascii="Calibri" w:cs="Calibri" w:eastAsia="Calibri" w:hAnsi="Calibri"/>
                <w:color w:val="222222"/>
                <w:sz w:val="19"/>
                <w:szCs w:val="19"/>
              </w:rPr>
              <w:t xml:space="preserve">Onboard 1–2 technically capable departments using DCoE-proven patterns</w:t>
            </w:r>
          </w:p>
          <w:p>
            <w:pPr>
              <w:spacing w:after="40"/>
            </w:pPr>
            <w:r>
              <w:rPr>
                <w:rFonts w:ascii="Calibri" w:cs="Calibri" w:eastAsia="Calibri" w:hAnsi="Calibri"/>
                <w:color w:val="222222"/>
                <w:sz w:val="19"/>
                <w:szCs w:val="19"/>
              </w:rPr>
              <w:t xml:space="preserve">Introduce governed serverless SQL access for lighter-touch self-service</w:t>
            </w:r>
          </w:p>
          <w:p>
            <w:pPr>
              <w:spacing w:after="40"/>
            </w:pPr>
            <w:r>
              <w:rPr>
                <w:rFonts w:ascii="Calibri" w:cs="Calibri" w:eastAsia="Calibri" w:hAnsi="Calibri"/>
                <w:color w:val="222222"/>
                <w:sz w:val="19"/>
                <w:szCs w:val="19"/>
              </w:rPr>
              <w:t xml:space="preserve">Extend Purview cataloguing and access request workflow</w:t>
            </w:r>
          </w:p>
        </w:tc>
      </w:tr>
      <w:tr>
        <w:tc>
          <w:tcPr>
            <w:tcW w:type="dxa" w:w="20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Phase 4 — General Availability</w:t>
            </w:r>
          </w:p>
        </w:tc>
        <w:tc>
          <w:tcPr>
            <w:tcW w:type="dxa" w:w="13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Months 7–12</w:t>
            </w:r>
          </w:p>
        </w:tc>
        <w:tc>
          <w:tcPr>
            <w:tcW w:type="dxa" w:w="21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Underwriting, Claims, Finance, Distribution</w:t>
            </w:r>
          </w:p>
        </w:tc>
        <w:tc>
          <w:tcPr>
            <w:tcW w:type="dxa" w:w="3950"/>
            <w:shd w:fill="F2F2F2" w:color="auto" w:val="clear"/>
            <w:tcMar>
              <w:top w:type="dxa" w:w="80"/>
              <w:left w:type="dxa" w:w="110"/>
              <w:bottom w:type="dxa" w:w="80"/>
              <w:right w:type="dxa" w:w="110"/>
            </w:tcMar>
            <w:vAlign w:val="center"/>
          </w:tcPr>
          <w:p>
            <w:pPr>
              <w:spacing w:after="40"/>
            </w:pPr>
            <w:r>
              <w:rPr>
                <w:rFonts w:ascii="Calibri" w:cs="Calibri" w:eastAsia="Calibri" w:hAnsi="Calibri"/>
                <w:color w:val="222222"/>
                <w:sz w:val="19"/>
                <w:szCs w:val="19"/>
              </w:rPr>
              <w:t xml:space="preserve">Roll out self-service access via curated serverless SQL / Power BI, with guardrails</w:t>
            </w:r>
          </w:p>
          <w:p>
            <w:pPr>
              <w:spacing w:after="40"/>
            </w:pPr>
            <w:r>
              <w:rPr>
                <w:rFonts w:ascii="Calibri" w:cs="Calibri" w:eastAsia="Calibri" w:hAnsi="Calibri"/>
                <w:color w:val="222222"/>
                <w:sz w:val="19"/>
                <w:szCs w:val="19"/>
              </w:rPr>
              <w:t xml:space="preserve">Formal training and enablement programme</w:t>
            </w:r>
          </w:p>
          <w:p>
            <w:pPr>
              <w:spacing w:after="40"/>
            </w:pPr>
            <w:r>
              <w:rPr>
                <w:rFonts w:ascii="Calibri" w:cs="Calibri" w:eastAsia="Calibri" w:hAnsi="Calibri"/>
                <w:color w:val="222222"/>
                <w:sz w:val="19"/>
                <w:szCs w:val="19"/>
              </w:rPr>
              <w:t xml:space="preserve">Fabric migration decision point based on Phase 1–2 findings</w:t>
            </w:r>
          </w:p>
        </w:tc>
      </w:tr>
    </w:tbl>
    <w:p>
      <w:pPr>
        <w:spacing w:after="120"/>
      </w:pPr>
    </w:p>
    <w:p>
      <w:pPr>
        <w:pStyle w:val="Heading2"/>
        <w:spacing w:after="120" w:before="280"/>
      </w:pPr>
      <w:r>
        <w:rPr>
          <w:rFonts w:ascii="Calibri" w:cs="Calibri" w:eastAsia="Calibri" w:hAnsi="Calibri"/>
          <w:b/>
          <w:bCs/>
          <w:color w:val="2E5C8A"/>
          <w:sz w:val="24"/>
          <w:szCs w:val="24"/>
        </w:rPr>
        <w:t xml:space="preserve">8.3 Exit Criteria for Phase 1 (Before Wider Rollout)</w:t>
      </w:r>
    </w:p>
    <w:p>
      <w:pPr>
        <w:pStyle w:val="ListParagraph"/>
        <w:numPr>
          <w:ilvl w:val="0"/>
          <w:numId w:val="2"/>
        </w:numPr>
        <w:spacing w:after="90" w:line="276"/>
      </w:pPr>
      <w:r>
        <w:rPr>
          <w:rFonts w:ascii="Calibri" w:cs="Calibri" w:eastAsia="Calibri" w:hAnsi="Calibri"/>
          <w:color w:val="222222"/>
          <w:sz w:val="21"/>
          <w:szCs w:val="21"/>
        </w:rPr>
        <w:t xml:space="preserve">Dedicated SQL pool P95 query latency and queuing incidents measurably reduced versus baseline.</w:t>
      </w:r>
    </w:p>
    <w:p>
      <w:pPr>
        <w:pStyle w:val="ListParagraph"/>
        <w:numPr>
          <w:ilvl w:val="0"/>
          <w:numId w:val="2"/>
        </w:numPr>
        <w:spacing w:after="90" w:line="276"/>
      </w:pPr>
      <w:r>
        <w:rPr>
          <w:rFonts w:ascii="Calibri" w:cs="Calibri" w:eastAsia="Calibri" w:hAnsi="Calibri"/>
          <w:color w:val="222222"/>
          <w:sz w:val="21"/>
          <w:szCs w:val="21"/>
        </w:rPr>
        <w:t xml:space="preserve">DCoE Spark and serverless SQL costs tracked, tagged, and within agreed budget envelope.</w:t>
      </w:r>
    </w:p>
    <w:p>
      <w:pPr>
        <w:pStyle w:val="ListParagraph"/>
        <w:numPr>
          <w:ilvl w:val="0"/>
          <w:numId w:val="2"/>
        </w:numPr>
        <w:spacing w:after="90" w:line="276"/>
      </w:pPr>
      <w:r>
        <w:rPr>
          <w:rFonts w:ascii="Calibri" w:cs="Calibri" w:eastAsia="Calibri" w:hAnsi="Calibri"/>
          <w:color w:val="222222"/>
          <w:sz w:val="21"/>
          <w:szCs w:val="21"/>
        </w:rPr>
        <w:t xml:space="preserve">Documented, repeatable workspace provisioning process (landing zone, security groups, Purview registration).</w:t>
      </w:r>
    </w:p>
    <w:p>
      <w:pPr>
        <w:pStyle w:val="ListParagraph"/>
        <w:numPr>
          <w:ilvl w:val="0"/>
          <w:numId w:val="2"/>
        </w:numPr>
        <w:spacing w:after="90" w:line="276"/>
      </w:pPr>
      <w:r>
        <w:rPr>
          <w:rFonts w:ascii="Calibri" w:cs="Calibri" w:eastAsia="Calibri" w:hAnsi="Calibri"/>
          <w:color w:val="222222"/>
          <w:sz w:val="21"/>
          <w:szCs w:val="21"/>
        </w:rPr>
        <w:t xml:space="preserve">Fabric-ready notebook standards agreed and published.</w:t>
      </w:r>
    </w:p>
    <w:p>
      <w:pPr>
        <w:pStyle w:val="ListParagraph"/>
        <w:numPr>
          <w:ilvl w:val="0"/>
          <w:numId w:val="2"/>
        </w:numPr>
        <w:spacing w:after="90" w:line="276"/>
      </w:pPr>
      <w:r>
        <w:rPr>
          <w:rFonts w:ascii="Calibri" w:cs="Calibri" w:eastAsia="Calibri" w:hAnsi="Calibri"/>
          <w:color w:val="222222"/>
          <w:sz w:val="21"/>
          <w:szCs w:val="21"/>
        </w:rPr>
        <w:t xml:space="preserve">Support model (who fixes what, on-call, escalation path) tested and signed off by the platform team.</w:t>
      </w:r>
    </w:p>
    <w:p>
      <w:pPr>
        <w:spacing w:after="120"/>
      </w:pPr>
    </w:p>
    <w:p>
      <w:pPr>
        <w:pStyle w:val="Heading1"/>
        <w:pBdr>
          <w:bottom w:val="single" w:color="2E5C8A" w:sz="6" w:space="4"/>
        </w:pBdr>
        <w:spacing w:after="160" w:before="360"/>
      </w:pPr>
      <w:r>
        <w:rPr>
          <w:rFonts w:ascii="Calibri" w:cs="Calibri" w:eastAsia="Calibri" w:hAnsi="Calibri"/>
          <w:b/>
          <w:bCs/>
          <w:color w:val="1B2A4A"/>
          <w:sz w:val="30"/>
          <w:szCs w:val="30"/>
        </w:rPr>
        <w:t xml:space="preserve">9. Governance and Security Considerations</w:t>
      </w:r>
    </w:p>
    <w:p>
      <w:pPr>
        <w:pStyle w:val="ListParagraph"/>
        <w:numPr>
          <w:ilvl w:val="0"/>
          <w:numId w:val="2"/>
        </w:numPr>
        <w:spacing w:after="90" w:line="276"/>
      </w:pPr>
      <w:r>
        <w:rPr>
          <w:rFonts w:ascii="Calibri" w:cs="Calibri" w:eastAsia="Calibri" w:hAnsi="Calibri"/>
          <w:color w:val="222222"/>
          <w:sz w:val="21"/>
          <w:szCs w:val="21"/>
        </w:rPr>
        <w:t xml:space="preserve">Identity &amp; access — all workspace access via Entra ID with role-based access control (RBAC); no local SQL authentication for new workloads.</w:t>
      </w:r>
    </w:p>
    <w:p>
      <w:pPr>
        <w:pStyle w:val="ListParagraph"/>
        <w:numPr>
          <w:ilvl w:val="0"/>
          <w:numId w:val="2"/>
        </w:numPr>
        <w:spacing w:after="90" w:line="276"/>
      </w:pPr>
      <w:r>
        <w:rPr>
          <w:rFonts w:ascii="Calibri" w:cs="Calibri" w:eastAsia="Calibri" w:hAnsi="Calibri"/>
          <w:color w:val="222222"/>
          <w:sz w:val="21"/>
          <w:szCs w:val="21"/>
        </w:rPr>
        <w:t xml:space="preserve">Data protection — row-level security and dynamic data masking applied to any workspace exposing policyholder or claimant personal data, in line with ABC Insurance's data classification policy.</w:t>
      </w:r>
    </w:p>
    <w:p>
      <w:pPr>
        <w:pStyle w:val="ListParagraph"/>
        <w:numPr>
          <w:ilvl w:val="0"/>
          <w:numId w:val="2"/>
        </w:numPr>
        <w:spacing w:after="90" w:line="276"/>
      </w:pPr>
      <w:r>
        <w:rPr>
          <w:rFonts w:ascii="Calibri" w:cs="Calibri" w:eastAsia="Calibri" w:hAnsi="Calibri"/>
          <w:color w:val="222222"/>
          <w:sz w:val="21"/>
          <w:szCs w:val="21"/>
        </w:rPr>
        <w:t xml:space="preserve">Cataloguing &amp; lineage — every workspace registered with the central Microsoft Purview instance so InfoSec and Data Governance retain visibility of what data is accessible from where.</w:t>
      </w:r>
    </w:p>
    <w:p>
      <w:pPr>
        <w:pStyle w:val="ListParagraph"/>
        <w:numPr>
          <w:ilvl w:val="0"/>
          <w:numId w:val="2"/>
        </w:numPr>
        <w:spacing w:after="90" w:line="276"/>
      </w:pPr>
      <w:r>
        <w:rPr>
          <w:rFonts w:ascii="Calibri" w:cs="Calibri" w:eastAsia="Calibri" w:hAnsi="Calibri"/>
          <w:color w:val="222222"/>
          <w:sz w:val="21"/>
          <w:szCs w:val="21"/>
        </w:rPr>
        <w:t xml:space="preserve">Network controls — private endpoints and managed virtual network for all workspaces handling regulated data; no public serverless SQL endpoints for production data.</w:t>
      </w:r>
    </w:p>
    <w:p>
      <w:pPr>
        <w:pStyle w:val="ListParagraph"/>
        <w:numPr>
          <w:ilvl w:val="0"/>
          <w:numId w:val="2"/>
        </w:numPr>
        <w:spacing w:after="90" w:line="276"/>
      </w:pPr>
      <w:r>
        <w:rPr>
          <w:rFonts w:ascii="Calibri" w:cs="Calibri" w:eastAsia="Calibri" w:hAnsi="Calibri"/>
          <w:color w:val="222222"/>
          <w:sz w:val="21"/>
          <w:szCs w:val="21"/>
        </w:rPr>
        <w:t xml:space="preserve">Cost governance — Azure budgets and alerts per workspace, with monthly cost review as part of the platform team's operating rhythm.</w:t>
      </w:r>
    </w:p>
    <w:p>
      <w:pPr>
        <w:pStyle w:val="ListParagraph"/>
        <w:numPr>
          <w:ilvl w:val="0"/>
          <w:numId w:val="2"/>
        </w:numPr>
        <w:spacing w:after="90" w:line="276"/>
      </w:pPr>
      <w:r>
        <w:rPr>
          <w:rFonts w:ascii="Calibri" w:cs="Calibri" w:eastAsia="Calibri" w:hAnsi="Calibri"/>
          <w:color w:val="222222"/>
          <w:sz w:val="21"/>
          <w:szCs w:val="21"/>
        </w:rPr>
        <w:t xml:space="preserve">Change control — workspace artefacts (notebooks, pipelines, SQL scripts) managed under Git version control with pull-request review before promotion to production.</w:t>
      </w:r>
    </w:p>
    <w:p>
      <w:pPr>
        <w:spacing w:after="120"/>
      </w:pPr>
    </w:p>
    <w:p>
      <w:pPr>
        <w:pStyle w:val="Heading1"/>
        <w:pBdr>
          <w:bottom w:val="single" w:color="2E5C8A" w:sz="6" w:space="4"/>
        </w:pBdr>
        <w:spacing w:after="160" w:before="360"/>
      </w:pPr>
      <w:r>
        <w:rPr>
          <w:rFonts w:ascii="Calibri" w:cs="Calibri" w:eastAsia="Calibri" w:hAnsi="Calibri"/>
          <w:b/>
          <w:bCs/>
          <w:color w:val="1B2A4A"/>
          <w:sz w:val="30"/>
          <w:szCs w:val="30"/>
        </w:rPr>
        <w:t xml:space="preserve">10. Risks and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1400"/>
        <w:gridCol w:w="4900"/>
      </w:tblGrid>
      <w:tr>
        <w:trPr>
          <w:tblHeader/>
        </w:trPr>
        <w:tc>
          <w:tcPr>
            <w:tcW w:type="dxa" w:w="305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Risk</w:t>
            </w:r>
          </w:p>
        </w:tc>
        <w:tc>
          <w:tcPr>
            <w:tcW w:type="dxa" w:w="14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Likelihood</w:t>
            </w:r>
          </w:p>
        </w:tc>
        <w:tc>
          <w:tcPr>
            <w:tcW w:type="dxa" w:w="49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Mitigation</w:t>
            </w:r>
          </w:p>
        </w:tc>
      </w:tr>
      <w:tr>
        <w:tc>
          <w:tcPr>
            <w:tcW w:type="dxa" w:w="30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Workspace/dataset sprawl as more departments onboard</w:t>
            </w:r>
          </w:p>
        </w:tc>
        <w:tc>
          <w:tcPr>
            <w:tcW w:type="dxa" w:w="14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Medium</w:t>
            </w:r>
          </w:p>
        </w:tc>
        <w:tc>
          <w:tcPr>
            <w:tcW w:type="dxa" w:w="49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Central landing-zone template, mandatory Purview registration, naming and tagging standards enforced via Azure Policy.</w:t>
            </w:r>
          </w:p>
        </w:tc>
      </w:tr>
      <w:tr>
        <w:tc>
          <w:tcPr>
            <w:tcW w:type="dxa" w:w="30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Uncontrolled serverless/Spark cost growth</w:t>
            </w:r>
          </w:p>
        </w:tc>
        <w:tc>
          <w:tcPr>
            <w:tcW w:type="dxa" w:w="14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Medium</w:t>
            </w:r>
          </w:p>
        </w:tc>
        <w:tc>
          <w:tcPr>
            <w:tcW w:type="dxa" w:w="49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Budgets and alerts per workspace; monthly cost review; auto-pause enforced on all Spark pools.</w:t>
            </w:r>
          </w:p>
        </w:tc>
      </w:tr>
      <w:tr>
        <w:tc>
          <w:tcPr>
            <w:tcW w:type="dxa" w:w="30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Business departments lack skills for effective self-service</w:t>
            </w:r>
          </w:p>
        </w:tc>
        <w:tc>
          <w:tcPr>
            <w:tcW w:type="dxa" w:w="14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High (for later phases)</w:t>
            </w:r>
          </w:p>
        </w:tc>
        <w:tc>
          <w:tcPr>
            <w:tcW w:type="dxa" w:w="49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Phase 3–4 rollout paired with training; curated semantic layer / Power BI datasets rather than raw SQL/PySpark for non-technical users.</w:t>
            </w:r>
          </w:p>
        </w:tc>
      </w:tr>
      <w:tr>
        <w:tc>
          <w:tcPr>
            <w:tcW w:type="dxa" w:w="30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Fabric roadmap changes reduce value of interim Synapse investment</w:t>
            </w:r>
          </w:p>
        </w:tc>
        <w:tc>
          <w:tcPr>
            <w:tcW w:type="dxa" w:w="14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Low–Medium</w:t>
            </w:r>
          </w:p>
        </w:tc>
        <w:tc>
          <w:tcPr>
            <w:tcW w:type="dxa" w:w="49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Standardise on Fabric-ready patterns now; treat Phase 1–2 as the technical proving ground for the eventual Fabric migration business case.</w:t>
            </w:r>
          </w:p>
        </w:tc>
      </w:tr>
      <w:tr>
        <w:tc>
          <w:tcPr>
            <w:tcW w:type="dxa" w:w="30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Dual-running dedicated SQL pool and new workspaces increases support burden during transition</w:t>
            </w:r>
          </w:p>
        </w:tc>
        <w:tc>
          <w:tcPr>
            <w:tcW w:type="dxa" w:w="14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Medium</w:t>
            </w:r>
          </w:p>
        </w:tc>
        <w:tc>
          <w:tcPr>
            <w:tcW w:type="dxa" w:w="49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Time-boxed transition period with clear ownership; decommission/rightsizing milestones tied to Phase 1 exit criteria.</w:t>
            </w:r>
          </w:p>
        </w:tc>
      </w:tr>
    </w:tbl>
    <w:p>
      <w:pPr>
        <w:spacing w:after="120"/>
      </w:pPr>
    </w:p>
    <w:p>
      <w:pPr>
        <w:pStyle w:val="Heading1"/>
        <w:pBdr>
          <w:bottom w:val="single" w:color="2E5C8A" w:sz="6" w:space="4"/>
        </w:pBdr>
        <w:spacing w:after="160" w:before="360"/>
      </w:pPr>
      <w:r>
        <w:rPr>
          <w:rFonts w:ascii="Calibri" w:cs="Calibri" w:eastAsia="Calibri" w:hAnsi="Calibri"/>
          <w:b/>
          <w:bCs/>
          <w:color w:val="1B2A4A"/>
          <w:sz w:val="30"/>
          <w:szCs w:val="30"/>
        </w:rPr>
        <w:t xml:space="preserve">11. Success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850"/>
        <w:gridCol w:w="2900"/>
      </w:tblGrid>
      <w:tr>
        <w:trPr>
          <w:tblHeader/>
        </w:trPr>
        <w:tc>
          <w:tcPr>
            <w:tcW w:type="dxa" w:w="36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Metric</w:t>
            </w:r>
          </w:p>
        </w:tc>
        <w:tc>
          <w:tcPr>
            <w:tcW w:type="dxa" w:w="285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Baseline</w:t>
            </w:r>
          </w:p>
        </w:tc>
        <w:tc>
          <w:tcPr>
            <w:tcW w:type="dxa" w:w="29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Target (End of Phase 2)</w:t>
            </w:r>
          </w:p>
        </w:tc>
      </w:tr>
      <w:tr>
        <w:tc>
          <w:tcPr>
            <w:tcW w:type="dxa" w:w="36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Dedicated SQL pool P95 query latency</w:t>
            </w:r>
          </w:p>
        </w:tc>
        <w:tc>
          <w:tcPr>
            <w:tcW w:type="dxa" w:w="28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To be measured</w:t>
            </w:r>
          </w:p>
        </w:tc>
        <w:tc>
          <w:tcPr>
            <w:tcW w:type="dxa" w:w="29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Reduction of 30%+</w:t>
            </w:r>
          </w:p>
        </w:tc>
      </w:tr>
      <w:tr>
        <w:tc>
          <w:tcPr>
            <w:tcW w:type="dxa" w:w="36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Query queuing incidents per month</w:t>
            </w:r>
          </w:p>
        </w:tc>
        <w:tc>
          <w:tcPr>
            <w:tcW w:type="dxa" w:w="28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To be measured</w:t>
            </w:r>
          </w:p>
        </w:tc>
        <w:tc>
          <w:tcPr>
            <w:tcW w:type="dxa" w:w="29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Reduction of 50%+</w:t>
            </w:r>
          </w:p>
        </w:tc>
      </w:tr>
      <w:tr>
        <w:tc>
          <w:tcPr>
            <w:tcW w:type="dxa" w:w="36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DCoE pipelines migrated off shared dedicated SQL pool</w:t>
            </w:r>
          </w:p>
        </w:tc>
        <w:tc>
          <w:tcPr>
            <w:tcW w:type="dxa" w:w="28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0</w:t>
            </w:r>
          </w:p>
        </w:tc>
        <w:tc>
          <w:tcPr>
            <w:tcW w:type="dxa" w:w="29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80%+ of priority pipelines</w:t>
            </w:r>
          </w:p>
        </w:tc>
      </w:tr>
      <w:tr>
        <w:tc>
          <w:tcPr>
            <w:tcW w:type="dxa" w:w="36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Monthly Synapse compute cost (serverless + Spark + dedicated)</w:t>
            </w:r>
          </w:p>
        </w:tc>
        <w:tc>
          <w:tcPr>
            <w:tcW w:type="dxa" w:w="28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Current dedicated pool run-rate</w:t>
            </w:r>
          </w:p>
        </w:tc>
        <w:tc>
          <w:tcPr>
            <w:tcW w:type="dxa" w:w="29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Neutral-to-lower total cost after right-sizing</w:t>
            </w:r>
          </w:p>
        </w:tc>
      </w:tr>
      <w:tr>
        <w:tc>
          <w:tcPr>
            <w:tcW w:type="dxa" w:w="36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Notebooks built to Fabric-ready standard</w:t>
            </w:r>
          </w:p>
        </w:tc>
        <w:tc>
          <w:tcPr>
            <w:tcW w:type="dxa" w:w="28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0%</w:t>
            </w:r>
          </w:p>
        </w:tc>
        <w:tc>
          <w:tcPr>
            <w:tcW w:type="dxa" w:w="29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100% of new DCoE notebooks</w:t>
            </w:r>
          </w:p>
        </w:tc>
      </w:tr>
    </w:tbl>
    <w:p>
      <w:pPr>
        <w:spacing w:after="120"/>
      </w:pPr>
    </w:p>
    <w:p>
      <w:pPr>
        <w:pStyle w:val="Heading1"/>
        <w:pBdr>
          <w:bottom w:val="single" w:color="2E5C8A" w:sz="6" w:space="4"/>
        </w:pBdr>
        <w:spacing w:after="160" w:before="360"/>
      </w:pPr>
      <w:r>
        <w:rPr>
          <w:rFonts w:ascii="Calibri" w:cs="Calibri" w:eastAsia="Calibri" w:hAnsi="Calibri"/>
          <w:b/>
          <w:bCs/>
          <w:color w:val="1B2A4A"/>
          <w:sz w:val="30"/>
          <w:szCs w:val="30"/>
        </w:rPr>
        <w:t xml:space="preserve">12. Recommendations and Next Steps</w:t>
      </w:r>
    </w:p>
    <w:p>
      <w:pPr>
        <w:pStyle w:val="ListParagraph"/>
        <w:numPr>
          <w:ilvl w:val="0"/>
          <w:numId w:val="5"/>
        </w:numPr>
        <w:spacing w:after="90" w:line="276"/>
      </w:pPr>
      <w:r>
        <w:rPr>
          <w:rFonts w:ascii="Calibri" w:cs="Calibri" w:eastAsia="Calibri" w:hAnsi="Calibri"/>
          <w:color w:val="222222"/>
          <w:sz w:val="21"/>
          <w:szCs w:val="21"/>
        </w:rPr>
        <w:t xml:space="preserve">Approve the DCoE-first pilot described in Section 8, with the exit criteria in Section 8.3 as the gate to wider rollout.</w:t>
      </w:r>
    </w:p>
    <w:p>
      <w:pPr>
        <w:pStyle w:val="ListParagraph"/>
        <w:numPr>
          <w:ilvl w:val="0"/>
          <w:numId w:val="5"/>
        </w:numPr>
        <w:spacing w:after="90" w:line="276"/>
      </w:pPr>
      <w:r>
        <w:rPr>
          <w:rFonts w:ascii="Calibri" w:cs="Calibri" w:eastAsia="Calibri" w:hAnsi="Calibri"/>
          <w:color w:val="222222"/>
          <w:sz w:val="21"/>
          <w:szCs w:val="21"/>
        </w:rPr>
        <w:t xml:space="preserve">Fund the compute rebalancing work in Section 6 as a distinct workstream, tracked against dedicated SQL pool performance metrics.</w:t>
      </w:r>
    </w:p>
    <w:p>
      <w:pPr>
        <w:pStyle w:val="ListParagraph"/>
        <w:numPr>
          <w:ilvl w:val="0"/>
          <w:numId w:val="5"/>
        </w:numPr>
        <w:spacing w:after="90" w:line="276"/>
      </w:pPr>
      <w:r>
        <w:rPr>
          <w:rFonts w:ascii="Calibri" w:cs="Calibri" w:eastAsia="Calibri" w:hAnsi="Calibri"/>
          <w:color w:val="222222"/>
          <w:sz w:val="21"/>
          <w:szCs w:val="21"/>
        </w:rPr>
        <w:t xml:space="preserve">Commission a short technical evaluation of Microsoft Fabric (Section 7) in parallel with the DCoE pilot, so a migration business case can be brought to the Enterprise Architecture Board within two quarters.</w:t>
      </w:r>
    </w:p>
    <w:p>
      <w:pPr>
        <w:pStyle w:val="ListParagraph"/>
        <w:numPr>
          <w:ilvl w:val="0"/>
          <w:numId w:val="5"/>
        </w:numPr>
        <w:spacing w:after="90" w:line="276"/>
      </w:pPr>
      <w:r>
        <w:rPr>
          <w:rFonts w:ascii="Calibri" w:cs="Calibri" w:eastAsia="Calibri" w:hAnsi="Calibri"/>
          <w:color w:val="222222"/>
          <w:sz w:val="21"/>
          <w:szCs w:val="21"/>
        </w:rPr>
        <w:t xml:space="preserve">Publish Fabric-ready notebook and workspace standards before any department beyond the DCoE is onboarded.</w:t>
      </w:r>
    </w:p>
    <w:p>
      <w:pPr>
        <w:pStyle w:val="ListParagraph"/>
        <w:numPr>
          <w:ilvl w:val="0"/>
          <w:numId w:val="5"/>
        </w:numPr>
        <w:spacing w:after="90" w:line="276"/>
      </w:pPr>
      <w:r>
        <w:rPr>
          <w:rFonts w:ascii="Calibri" w:cs="Calibri" w:eastAsia="Calibri" w:hAnsi="Calibri"/>
          <w:color w:val="222222"/>
          <w:sz w:val="21"/>
          <w:szCs w:val="21"/>
        </w:rPr>
        <w:t xml:space="preserve">Establish the governance and cost controls in Section 9 as a prerequisite for Phase 3, not an afterthought.</w:t>
      </w:r>
    </w:p>
    <w:p>
      <w:pPr>
        <w:spacing w:after="200"/>
      </w:pPr>
    </w:p>
    <w:p>
      <w:pPr>
        <w:spacing w:after="160" w:line="276"/>
      </w:pPr>
      <w:r>
        <w:rPr>
          <w:rFonts w:ascii="Calibri" w:cs="Calibri" w:eastAsia="Calibri" w:hAnsi="Calibri"/>
          <w:i/>
          <w:iCs/>
          <w:color w:val="444444"/>
          <w:sz w:val="21"/>
          <w:szCs w:val="21"/>
        </w:rPr>
        <w:t xml:space="preserve">This paper recommends the Enterprise Architecture Board approve Phase 1 (DCoE Pilot) to begin within the current quarter, with a formal readout at the end of Phase 2 to inform the Phase 3 rollout decision and the Microsoft Fabric migration business case.</w:t>
      </w:r>
    </w:p>
    <w:p>
      <w:r>
        <w:br w:type="page"/>
      </w:r>
    </w:p>
    <w:p>
      <w:pPr>
        <w:pStyle w:val="Heading1"/>
        <w:pBdr>
          <w:bottom w:val="single" w:color="2E5C8A" w:sz="6" w:space="4"/>
        </w:pBdr>
        <w:spacing w:after="160" w:before="360"/>
      </w:pPr>
      <w:r>
        <w:rPr>
          <w:rFonts w:ascii="Calibri" w:cs="Calibri" w:eastAsia="Calibri" w:hAnsi="Calibri"/>
          <w:b/>
          <w:bCs/>
          <w:color w:val="1B2A4A"/>
          <w:sz w:val="30"/>
          <w:szCs w:val="30"/>
        </w:rPr>
        <w:t xml:space="preserve">Appendix A: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Term</w:t>
            </w:r>
          </w:p>
        </w:tc>
        <w:tc>
          <w:tcPr>
            <w:tcW w:type="dxa" w:w="6950"/>
            <w:shd w:fill="1B2A4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Definition</w:t>
            </w:r>
          </w:p>
        </w:tc>
      </w:tr>
      <w:tr>
        <w:tc>
          <w:tcPr>
            <w:tcW w:type="dxa" w:w="24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DWU / cDWU</w:t>
            </w:r>
          </w:p>
        </w:tc>
        <w:tc>
          <w:tcPr>
            <w:tcW w:type="dxa" w:w="69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Data Warehousing Unit — the unit of provisioned compute for a Synapse dedicated SQL pool.</w:t>
            </w:r>
          </w:p>
        </w:tc>
      </w:tr>
      <w:tr>
        <w:tc>
          <w:tcPr>
            <w:tcW w:type="dxa" w:w="24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Serverless SQL pool</w:t>
            </w:r>
          </w:p>
        </w:tc>
        <w:tc>
          <w:tcPr>
            <w:tcW w:type="dxa" w:w="69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On-demand, pay-per-query SQL compute in Synapse that queries data directly in the data lake without provisioning infrastructure.</w:t>
            </w:r>
          </w:p>
        </w:tc>
      </w:tr>
      <w:tr>
        <w:tc>
          <w:tcPr>
            <w:tcW w:type="dxa" w:w="24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Spark pool</w:t>
            </w:r>
          </w:p>
        </w:tc>
        <w:tc>
          <w:tcPr>
            <w:tcW w:type="dxa" w:w="69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Auto-scaling, auto-pausing Apache Spark compute in Synapse used for PySpark/Scala data engineering and data science.</w:t>
            </w:r>
          </w:p>
        </w:tc>
      </w:tr>
      <w:tr>
        <w:tc>
          <w:tcPr>
            <w:tcW w:type="dxa" w:w="24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DCoE</w:t>
            </w:r>
          </w:p>
        </w:tc>
        <w:tc>
          <w:tcPr>
            <w:tcW w:type="dxa" w:w="69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Data Centre of Excellence — ABC Insurance's specialist data engineering and data science team.</w:t>
            </w:r>
          </w:p>
        </w:tc>
      </w:tr>
      <w:tr>
        <w:tc>
          <w:tcPr>
            <w:tcW w:type="dxa" w:w="24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OneLake</w:t>
            </w:r>
          </w:p>
        </w:tc>
        <w:tc>
          <w:tcPr>
            <w:tcW w:type="dxa" w:w="69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Microsoft Fabric's unified, tenant-wide data lake storage layer underpinning all Fabric workloads.</w:t>
            </w:r>
          </w:p>
        </w:tc>
      </w:tr>
      <w:tr>
        <w:tc>
          <w:tcPr>
            <w:tcW w:type="dxa" w:w="240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Microsoft Purview</w:t>
            </w:r>
          </w:p>
        </w:tc>
        <w:tc>
          <w:tcPr>
            <w:tcW w:type="dxa" w:w="6950"/>
            <w:shd w:fill="F2F2F2"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Microsoft's data governance service for cataloguing, classification, and lineage across the data estate.</w:t>
            </w:r>
          </w:p>
        </w:tc>
      </w:tr>
      <w:tr>
        <w:tc>
          <w:tcPr>
            <w:tcW w:type="dxa" w:w="240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Migration Assistant</w:t>
            </w:r>
          </w:p>
        </w:tc>
        <w:tc>
          <w:tcPr>
            <w:tcW w:type="dxa" w:w="6950"/>
            <w:shd w:fill="FFFFFF" w:color="auto" w:val="clear"/>
            <w:tcMar>
              <w:top w:type="dxa" w:w="80"/>
              <w:left w:type="dxa" w:w="110"/>
              <w:bottom w:type="dxa" w:w="80"/>
              <w:right w:type="dxa" w:w="110"/>
            </w:tcMar>
            <w:vAlign w:val="center"/>
          </w:tcPr>
          <w:p>
            <w:r>
              <w:rPr>
                <w:rFonts w:ascii="Calibri" w:cs="Calibri" w:eastAsia="Calibri" w:hAnsi="Calibri"/>
                <w:color w:val="222222"/>
                <w:sz w:val="19"/>
                <w:szCs w:val="19"/>
              </w:rPr>
              <w:t xml:space="preserve">Microsoft-provided tooling that automates moving Synapse Spark artefacts or dedicated SQL pool warehouses into Microsoft Fabric.</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808080"/>
        <w:sz w:val="16"/>
        <w:szCs w:val="16"/>
      </w:rPr>
      <w:t xml:space="preserve">ABC Insurance — Azure Synapse Workspaces Adoption Paper</w:t>
    </w:r>
    <w:r>
      <w:rPr>
        <w:rFonts w:ascii="Calibri" w:cs="Calibri" w:eastAsia="Calibri" w:hAnsi="Calibri"/>
        <w:color w:val="808080"/>
        <w:sz w:val="16"/>
        <w:szCs w:val="16"/>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2026-08-13T23:02:30.372Z</dcterms:created>
  <dcterms:modified xsi:type="dcterms:W3CDTF">2026-08-13T23:02:30.372Z</dcterms:modified>
</cp:coreProperties>
</file>

<file path=docProps/custom.xml><?xml version="1.0" encoding="utf-8"?>
<Properties xmlns="http://schemas.openxmlformats.org/officeDocument/2006/custom-properties" xmlns:vt="http://schemas.openxmlformats.org/officeDocument/2006/docPropsVTypes"/>
</file>