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D4FA1" w14:textId="77777777" w:rsidR="009D3DDB" w:rsidRPr="009D3DDB" w:rsidRDefault="009D3DDB" w:rsidP="009D3DDB">
      <w:pPr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9D3DDB">
        <w:rPr>
          <w:rFonts w:ascii="Arial" w:hAnsi="Arial" w:cs="Arial"/>
          <w:b/>
          <w:bCs/>
          <w:sz w:val="20"/>
          <w:szCs w:val="20"/>
        </w:rPr>
        <w:t>PID 4893 –</w:t>
      </w:r>
      <w:r>
        <w:rPr>
          <w:rFonts w:ascii="Arial" w:hAnsi="Arial" w:cs="Arial"/>
          <w:b/>
          <w:bCs/>
          <w:sz w:val="20"/>
          <w:szCs w:val="20"/>
        </w:rPr>
        <w:t xml:space="preserve"> Avipox</w:t>
      </w:r>
      <w:r w:rsidRPr="009D3DDB">
        <w:rPr>
          <w:rFonts w:ascii="Arial" w:hAnsi="Arial" w:cs="Arial"/>
          <w:b/>
          <w:bCs/>
          <w:sz w:val="20"/>
          <w:szCs w:val="20"/>
        </w:rPr>
        <w:t>virus Materials and Methods</w:t>
      </w:r>
    </w:p>
    <w:p w14:paraId="6884CF45" w14:textId="77777777" w:rsidR="009D3DDB" w:rsidRDefault="009D3DDB" w:rsidP="001F7DAE">
      <w:pPr>
        <w:spacing w:line="276" w:lineRule="auto"/>
        <w:jc w:val="left"/>
        <w:rPr>
          <w:rFonts w:ascii="Arial" w:hAnsi="Arial" w:cs="Arial"/>
          <w:b/>
          <w:bCs/>
          <w:i/>
          <w:sz w:val="20"/>
          <w:szCs w:val="20"/>
        </w:rPr>
      </w:pPr>
    </w:p>
    <w:p w14:paraId="4A10669A" w14:textId="77777777" w:rsidR="00F13C4A" w:rsidRPr="00974571" w:rsidRDefault="00F13C4A" w:rsidP="001F7DAE">
      <w:pPr>
        <w:spacing w:line="276" w:lineRule="auto"/>
        <w:jc w:val="left"/>
        <w:rPr>
          <w:rFonts w:ascii="Arial" w:hAnsi="Arial" w:cs="Arial"/>
          <w:b/>
          <w:bCs/>
          <w:i/>
          <w:sz w:val="20"/>
          <w:szCs w:val="20"/>
        </w:rPr>
      </w:pPr>
      <w:r w:rsidRPr="00974571">
        <w:rPr>
          <w:rFonts w:ascii="Arial" w:hAnsi="Arial" w:cs="Arial"/>
          <w:b/>
          <w:bCs/>
          <w:i/>
          <w:sz w:val="20"/>
          <w:szCs w:val="20"/>
        </w:rPr>
        <w:t>qPCR assay design and validation</w:t>
      </w:r>
    </w:p>
    <w:p w14:paraId="723D084B" w14:textId="74CA0B7A" w:rsidR="00F13C4A" w:rsidRPr="00974571" w:rsidRDefault="00C6125E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974571">
        <w:rPr>
          <w:rFonts w:ascii="Arial" w:hAnsi="Arial" w:cs="Arial"/>
          <w:bCs/>
          <w:sz w:val="20"/>
          <w:szCs w:val="20"/>
        </w:rPr>
        <w:t>A</w:t>
      </w:r>
      <w:r w:rsidR="00F13C4A" w:rsidRPr="00974571">
        <w:rPr>
          <w:rFonts w:ascii="Arial" w:hAnsi="Arial" w:cs="Arial"/>
          <w:bCs/>
          <w:sz w:val="20"/>
          <w:szCs w:val="20"/>
        </w:rPr>
        <w:t xml:space="preserve"> qPCR </w:t>
      </w:r>
      <w:r w:rsidRPr="00974571">
        <w:rPr>
          <w:rFonts w:ascii="Arial" w:hAnsi="Arial" w:cs="Arial"/>
          <w:bCs/>
          <w:sz w:val="20"/>
          <w:szCs w:val="20"/>
        </w:rPr>
        <w:t>assay was designed on the 4b core protein gene of avipoxvirus (AAPV)</w:t>
      </w:r>
      <w:r w:rsidR="00F13C4A" w:rsidRPr="00974571">
        <w:rPr>
          <w:rFonts w:ascii="Arial" w:hAnsi="Arial" w:cs="Arial"/>
          <w:bCs/>
          <w:sz w:val="20"/>
          <w:szCs w:val="20"/>
        </w:rPr>
        <w:t>.</w:t>
      </w:r>
      <w:r w:rsidR="00F13C4A" w:rsidRPr="00974571">
        <w:rPr>
          <w:rFonts w:ascii="Arial" w:hAnsi="Arial" w:cs="Arial"/>
          <w:sz w:val="20"/>
          <w:szCs w:val="20"/>
        </w:rPr>
        <w:t xml:space="preserve"> Two primers </w:t>
      </w:r>
      <w:r w:rsidR="00657741">
        <w:rPr>
          <w:rFonts w:ascii="Arial" w:hAnsi="Arial" w:cs="Arial"/>
          <w:sz w:val="20"/>
          <w:szCs w:val="20"/>
        </w:rPr>
        <w:t xml:space="preserve">(vAAPV-124f </w:t>
      </w:r>
      <w:r w:rsidRPr="00974571">
        <w:rPr>
          <w:rFonts w:ascii="Arial" w:hAnsi="Arial" w:cs="Arial"/>
          <w:sz w:val="20"/>
          <w:szCs w:val="20"/>
        </w:rPr>
        <w:t xml:space="preserve">ACGTCAACTCATGACTGGCAAT and vAAPV-246r TCTCATAACTCGAATAAGATCTTGTATCG) </w:t>
      </w:r>
      <w:r w:rsidR="00F13C4A" w:rsidRPr="00974571">
        <w:rPr>
          <w:rFonts w:ascii="Arial" w:hAnsi="Arial" w:cs="Arial"/>
          <w:sz w:val="20"/>
          <w:szCs w:val="20"/>
        </w:rPr>
        <w:t>and an internal hydrolysis probe (</w:t>
      </w:r>
      <w:r w:rsidRPr="00974571">
        <w:rPr>
          <w:rFonts w:ascii="Arial" w:hAnsi="Arial" w:cs="Arial"/>
          <w:sz w:val="20"/>
          <w:szCs w:val="20"/>
        </w:rPr>
        <w:t xml:space="preserve">vAAPV-159p-FAM-AGACGCAGACGCTATA-MGB, </w:t>
      </w:r>
      <w:r w:rsidR="00F13C4A" w:rsidRPr="00974571">
        <w:rPr>
          <w:rFonts w:ascii="Arial" w:hAnsi="Arial" w:cs="Arial"/>
          <w:sz w:val="20"/>
          <w:szCs w:val="20"/>
        </w:rPr>
        <w:t>5´ end, reporter dye FAM (6-carboxyfluorescein), 3´ end, quencher dye NFQMGB (Non-Fluorescent Quencher Minor Grove Binding)) were designed using Primer Express Software (Thermo F</w:t>
      </w:r>
      <w:r w:rsidRPr="00974571">
        <w:rPr>
          <w:rFonts w:ascii="Arial" w:hAnsi="Arial" w:cs="Arial"/>
          <w:sz w:val="20"/>
          <w:szCs w:val="20"/>
        </w:rPr>
        <w:t>isher Scientific, Carlsbad, CA</w:t>
      </w:r>
      <w:proofErr w:type="gramStart"/>
      <w:r w:rsidRPr="00974571">
        <w:rPr>
          <w:rFonts w:ascii="Arial" w:hAnsi="Arial" w:cs="Arial"/>
          <w:sz w:val="20"/>
          <w:szCs w:val="20"/>
        </w:rPr>
        <w:t>).</w:t>
      </w:r>
      <w:r w:rsidR="001145CD">
        <w:rPr>
          <w:rFonts w:ascii="Arial" w:hAnsi="Arial" w:cs="Arial"/>
          <w:sz w:val="20"/>
          <w:szCs w:val="20"/>
        </w:rPr>
        <w:t>The</w:t>
      </w:r>
      <w:proofErr w:type="gramEnd"/>
      <w:r w:rsidR="001145CD">
        <w:rPr>
          <w:rFonts w:ascii="Arial" w:hAnsi="Arial" w:cs="Arial"/>
          <w:sz w:val="20"/>
          <w:szCs w:val="20"/>
        </w:rPr>
        <w:t xml:space="preserve"> 123 base pair amplicon was entered into</w:t>
      </w:r>
      <w:r w:rsidR="00F13C4A" w:rsidRPr="00974571">
        <w:rPr>
          <w:rFonts w:ascii="Arial" w:hAnsi="Arial" w:cs="Arial"/>
          <w:sz w:val="20"/>
          <w:szCs w:val="20"/>
        </w:rPr>
        <w:t xml:space="preserve"> Basic Local Alignment Search Tool (BLAST, NCBI) </w:t>
      </w:r>
      <w:r w:rsidR="001145CD">
        <w:rPr>
          <w:rFonts w:ascii="Arial" w:hAnsi="Arial" w:cs="Arial"/>
          <w:sz w:val="20"/>
          <w:szCs w:val="20"/>
        </w:rPr>
        <w:t xml:space="preserve">to confirm </w:t>
      </w:r>
      <w:r w:rsidR="00F13C4A" w:rsidRPr="00974571">
        <w:rPr>
          <w:rFonts w:ascii="Arial" w:hAnsi="Arial" w:cs="Arial"/>
          <w:sz w:val="20"/>
          <w:szCs w:val="20"/>
        </w:rPr>
        <w:t xml:space="preserve"> unique detection</w:t>
      </w:r>
      <w:r w:rsidR="00F13C4A" w:rsidRPr="00974571">
        <w:rPr>
          <w:rFonts w:ascii="Arial" w:eastAsia="TimesLTStd-Roman" w:hAnsi="Arial" w:cs="Arial"/>
          <w:sz w:val="20"/>
          <w:szCs w:val="20"/>
        </w:rPr>
        <w:t xml:space="preserve">. </w:t>
      </w:r>
      <w:r w:rsidRPr="00974571">
        <w:rPr>
          <w:rFonts w:ascii="Arial" w:eastAsia="TimesLTStd-Roman" w:hAnsi="Arial" w:cs="Arial"/>
          <w:sz w:val="20"/>
          <w:szCs w:val="20"/>
        </w:rPr>
        <w:t xml:space="preserve">The </w:t>
      </w:r>
      <w:r w:rsidR="00DE4D0F">
        <w:rPr>
          <w:rFonts w:ascii="Arial" w:eastAsia="TimesLTStd-Roman" w:hAnsi="Arial" w:cs="Arial"/>
          <w:sz w:val="20"/>
          <w:szCs w:val="20"/>
        </w:rPr>
        <w:t>A</w:t>
      </w:r>
      <w:r w:rsidRPr="00974571">
        <w:rPr>
          <w:rFonts w:ascii="Arial" w:eastAsia="TimesLTStd-Roman" w:hAnsi="Arial" w:cs="Arial"/>
          <w:sz w:val="20"/>
          <w:szCs w:val="20"/>
        </w:rPr>
        <w:t>APV assay</w:t>
      </w:r>
      <w:r w:rsidR="00F13C4A" w:rsidRPr="00974571">
        <w:rPr>
          <w:rFonts w:ascii="Arial" w:eastAsia="TimesLTStd-Roman" w:hAnsi="Arial" w:cs="Arial"/>
          <w:sz w:val="20"/>
          <w:szCs w:val="20"/>
        </w:rPr>
        <w:t xml:space="preserve"> </w:t>
      </w:r>
      <w:r w:rsidRPr="00974571">
        <w:rPr>
          <w:rFonts w:ascii="Arial" w:eastAsia="TimesLTStd-Roman" w:hAnsi="Arial" w:cs="Arial"/>
          <w:sz w:val="20"/>
          <w:szCs w:val="20"/>
        </w:rPr>
        <w:t xml:space="preserve">was </w:t>
      </w:r>
      <w:r w:rsidR="00F13C4A" w:rsidRPr="00974571">
        <w:rPr>
          <w:rFonts w:ascii="Arial" w:eastAsia="TimesLTStd-Roman" w:hAnsi="Arial" w:cs="Arial"/>
          <w:sz w:val="20"/>
          <w:szCs w:val="20"/>
        </w:rPr>
        <w:t xml:space="preserve">validated for efficiency and sensitivity by running </w:t>
      </w:r>
      <w:r w:rsidRPr="00974571">
        <w:rPr>
          <w:rFonts w:ascii="Arial" w:eastAsia="TimesLTStd-Roman" w:hAnsi="Arial" w:cs="Arial"/>
          <w:sz w:val="20"/>
          <w:szCs w:val="20"/>
        </w:rPr>
        <w:t>a 10-fold standard curve</w:t>
      </w:r>
      <w:r w:rsidR="00F13C4A" w:rsidRPr="00974571">
        <w:rPr>
          <w:rFonts w:ascii="Arial" w:eastAsia="TimesLTStd-Roman" w:hAnsi="Arial" w:cs="Arial"/>
          <w:sz w:val="20"/>
          <w:szCs w:val="20"/>
        </w:rPr>
        <w:t xml:space="preserve"> in triplicate </w:t>
      </w:r>
      <w:proofErr w:type="gramStart"/>
      <w:r w:rsidR="00F13C4A" w:rsidRPr="00974571">
        <w:rPr>
          <w:rFonts w:ascii="Arial" w:eastAsia="TimesLTStd-Roman" w:hAnsi="Arial" w:cs="Arial"/>
          <w:sz w:val="20"/>
          <w:szCs w:val="20"/>
        </w:rPr>
        <w:t>off of</w:t>
      </w:r>
      <w:proofErr w:type="gramEnd"/>
      <w:r w:rsidR="00F13C4A" w:rsidRPr="00974571">
        <w:rPr>
          <w:rFonts w:ascii="Arial" w:eastAsia="TimesLTStd-Roman" w:hAnsi="Arial" w:cs="Arial"/>
          <w:sz w:val="20"/>
          <w:szCs w:val="20"/>
        </w:rPr>
        <w:t xml:space="preserve"> serial dilutions made from </w:t>
      </w:r>
      <w:r w:rsidR="001145CD">
        <w:rPr>
          <w:rFonts w:ascii="Arial" w:eastAsia="TimesLTStd-Roman" w:hAnsi="Arial" w:cs="Arial"/>
          <w:sz w:val="20"/>
          <w:szCs w:val="20"/>
        </w:rPr>
        <w:t xml:space="preserve">pCR2.1 </w:t>
      </w:r>
      <w:r w:rsidRPr="00974571">
        <w:rPr>
          <w:rFonts w:ascii="Arial" w:eastAsia="TimesLTStd-Roman" w:hAnsi="Arial" w:cs="Arial"/>
          <w:sz w:val="20"/>
          <w:szCs w:val="20"/>
        </w:rPr>
        <w:t>plasmid</w:t>
      </w:r>
      <w:r w:rsidR="00F13C4A" w:rsidRPr="00974571">
        <w:rPr>
          <w:rFonts w:ascii="Arial" w:eastAsia="TimesLTStd-Roman" w:hAnsi="Arial" w:cs="Arial"/>
          <w:sz w:val="20"/>
          <w:szCs w:val="20"/>
        </w:rPr>
        <w:t xml:space="preserve"> DNA</w:t>
      </w:r>
      <w:r w:rsidR="001145CD">
        <w:rPr>
          <w:rFonts w:ascii="Arial" w:eastAsia="TimesLTStd-Roman" w:hAnsi="Arial" w:cs="Arial"/>
          <w:sz w:val="20"/>
          <w:szCs w:val="20"/>
        </w:rPr>
        <w:t xml:space="preserve"> (Eurofins Genomics LLC, Louisville, KY)</w:t>
      </w:r>
      <w:r w:rsidR="00CC1E31">
        <w:rPr>
          <w:rFonts w:ascii="Arial" w:eastAsia="TimesLTStd-Roman" w:hAnsi="Arial" w:cs="Arial"/>
          <w:sz w:val="20"/>
          <w:szCs w:val="20"/>
        </w:rPr>
        <w:t xml:space="preserve"> containing the AAPV amplicon</w:t>
      </w:r>
      <w:r w:rsidR="00F13C4A" w:rsidRPr="00974571">
        <w:rPr>
          <w:rFonts w:ascii="Arial" w:eastAsia="TimesLTStd-Roman" w:hAnsi="Arial" w:cs="Arial"/>
          <w:sz w:val="20"/>
          <w:szCs w:val="20"/>
        </w:rPr>
        <w:t xml:space="preserve">. </w:t>
      </w:r>
      <w:r w:rsidRPr="00974571">
        <w:rPr>
          <w:rFonts w:ascii="Arial" w:eastAsia="TimesLTStd-Roman" w:hAnsi="Arial" w:cs="Arial"/>
          <w:sz w:val="20"/>
          <w:szCs w:val="20"/>
        </w:rPr>
        <w:t>The assay was</w:t>
      </w:r>
      <w:r w:rsidR="00F13C4A" w:rsidRPr="00974571">
        <w:rPr>
          <w:rFonts w:ascii="Arial" w:eastAsia="TimesLTStd-Roman" w:hAnsi="Arial" w:cs="Arial"/>
          <w:sz w:val="20"/>
          <w:szCs w:val="20"/>
        </w:rPr>
        <w:t xml:space="preserve"> </w:t>
      </w:r>
      <w:r w:rsidRPr="00974571">
        <w:rPr>
          <w:rFonts w:ascii="Arial" w:eastAsia="TimesLTStd-Roman" w:hAnsi="Arial" w:cs="Arial"/>
          <w:sz w:val="20"/>
          <w:szCs w:val="20"/>
        </w:rPr>
        <w:t>94.5</w:t>
      </w:r>
      <w:r w:rsidR="00F13C4A" w:rsidRPr="00974571">
        <w:rPr>
          <w:rFonts w:ascii="Arial" w:eastAsia="TimesLTStd-Roman" w:hAnsi="Arial" w:cs="Arial"/>
          <w:sz w:val="20"/>
          <w:szCs w:val="20"/>
        </w:rPr>
        <w:t>% efficient and sensitive enough to detect as few as 10 copies of the target gene</w:t>
      </w:r>
      <w:r w:rsidR="00EA240F">
        <w:rPr>
          <w:rFonts w:ascii="Arial" w:eastAsia="TimesLTStd-Roman" w:hAnsi="Arial" w:cs="Arial"/>
          <w:sz w:val="20"/>
          <w:szCs w:val="20"/>
        </w:rPr>
        <w:t>.</w:t>
      </w:r>
    </w:p>
    <w:p w14:paraId="2A742A18" w14:textId="77777777" w:rsidR="00F44F12" w:rsidRDefault="00F44F12" w:rsidP="001F7DAE">
      <w:pPr>
        <w:spacing w:line="276" w:lineRule="auto"/>
        <w:jc w:val="left"/>
        <w:rPr>
          <w:rFonts w:ascii="Arial" w:eastAsia="TimesLTStd-Roman" w:hAnsi="Arial" w:cs="Arial"/>
          <w:sz w:val="20"/>
          <w:szCs w:val="20"/>
        </w:rPr>
      </w:pPr>
    </w:p>
    <w:p w14:paraId="457FB682" w14:textId="77777777" w:rsidR="00DE4D0F" w:rsidRPr="00DC1E45" w:rsidRDefault="00DE4D0F" w:rsidP="001F7DAE">
      <w:pPr>
        <w:spacing w:line="276" w:lineRule="auto"/>
        <w:jc w:val="left"/>
        <w:rPr>
          <w:rFonts w:ascii="Arial" w:hAnsi="Arial"/>
          <w:b/>
          <w:bCs/>
          <w:i/>
          <w:sz w:val="20"/>
          <w:szCs w:val="20"/>
        </w:rPr>
      </w:pPr>
      <w:r>
        <w:rPr>
          <w:rFonts w:ascii="Arial" w:hAnsi="Arial"/>
          <w:b/>
          <w:bCs/>
          <w:i/>
          <w:sz w:val="20"/>
          <w:szCs w:val="20"/>
        </w:rPr>
        <w:t>Absolute quantitation</w:t>
      </w:r>
    </w:p>
    <w:p w14:paraId="4F896042" w14:textId="77777777" w:rsidR="00DE4D0F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6C7BB5">
        <w:rPr>
          <w:rFonts w:ascii="Arial" w:hAnsi="Arial" w:cs="Arial"/>
          <w:sz w:val="20"/>
          <w:szCs w:val="20"/>
        </w:rPr>
        <w:t xml:space="preserve">To </w:t>
      </w:r>
      <w:r>
        <w:rPr>
          <w:rFonts w:ascii="Arial" w:hAnsi="Arial" w:cs="Arial"/>
          <w:sz w:val="20"/>
          <w:szCs w:val="20"/>
        </w:rPr>
        <w:t xml:space="preserve">absolutely </w:t>
      </w:r>
      <w:r w:rsidRPr="006C7BB5">
        <w:rPr>
          <w:rFonts w:ascii="Arial" w:hAnsi="Arial" w:cs="Arial"/>
          <w:sz w:val="20"/>
          <w:szCs w:val="20"/>
        </w:rPr>
        <w:t xml:space="preserve">quantify the number of copies of </w:t>
      </w:r>
      <w:r w:rsidR="001F7DAE">
        <w:rPr>
          <w:rFonts w:ascii="Arial" w:hAnsi="Arial" w:cs="Arial"/>
          <w:sz w:val="20"/>
          <w:szCs w:val="20"/>
        </w:rPr>
        <w:t xml:space="preserve">AAPV </w:t>
      </w:r>
      <w:r w:rsidRPr="006C7BB5">
        <w:rPr>
          <w:rFonts w:ascii="Arial" w:hAnsi="Arial" w:cs="Arial"/>
          <w:sz w:val="20"/>
          <w:szCs w:val="20"/>
        </w:rPr>
        <w:t>target</w:t>
      </w:r>
      <w:r>
        <w:rPr>
          <w:rFonts w:ascii="Arial" w:hAnsi="Arial" w:cs="Arial"/>
          <w:sz w:val="20"/>
          <w:szCs w:val="20"/>
        </w:rPr>
        <w:t xml:space="preserve"> genes</w:t>
      </w:r>
      <w:r w:rsidRPr="006C7BB5">
        <w:rPr>
          <w:rFonts w:ascii="Arial" w:hAnsi="Arial" w:cs="Arial"/>
          <w:sz w:val="20"/>
          <w:szCs w:val="20"/>
        </w:rPr>
        <w:t xml:space="preserve"> in </w:t>
      </w:r>
      <w:r>
        <w:rPr>
          <w:rFonts w:ascii="Arial" w:hAnsi="Arial" w:cs="Arial"/>
          <w:sz w:val="20"/>
          <w:szCs w:val="20"/>
        </w:rPr>
        <w:t>scab or feather samples</w:t>
      </w:r>
      <w:r w:rsidRPr="006C7BB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a </w:t>
      </w:r>
      <w:r w:rsidRPr="006C7BB5">
        <w:rPr>
          <w:rFonts w:ascii="Arial" w:hAnsi="Arial" w:cs="Arial"/>
          <w:sz w:val="20"/>
          <w:szCs w:val="20"/>
        </w:rPr>
        <w:t>plasmid standard</w:t>
      </w:r>
      <w:r>
        <w:rPr>
          <w:rFonts w:ascii="Arial" w:hAnsi="Arial" w:cs="Arial"/>
          <w:sz w:val="20"/>
          <w:szCs w:val="20"/>
        </w:rPr>
        <w:t xml:space="preserve"> curve</w:t>
      </w:r>
      <w:r w:rsidRPr="006C7BB5">
        <w:rPr>
          <w:rFonts w:ascii="Arial" w:hAnsi="Arial" w:cs="Arial"/>
          <w:sz w:val="20"/>
          <w:szCs w:val="20"/>
        </w:rPr>
        <w:t xml:space="preserve"> was prepared</w:t>
      </w:r>
      <w:r>
        <w:rPr>
          <w:rFonts w:ascii="Arial" w:hAnsi="Arial" w:cs="Arial"/>
          <w:sz w:val="20"/>
          <w:szCs w:val="20"/>
        </w:rPr>
        <w:t xml:space="preserve"> in triplicate </w:t>
      </w:r>
      <w:r w:rsidR="001F7DAE">
        <w:rPr>
          <w:rFonts w:ascii="Arial" w:hAnsi="Arial" w:cs="Arial"/>
          <w:sz w:val="20"/>
          <w:szCs w:val="20"/>
        </w:rPr>
        <w:t>using 10-fold serial dilutions</w:t>
      </w:r>
      <w:r w:rsidRPr="006C7BB5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To determine molecules/</w:t>
      </w:r>
      <w:r>
        <w:rPr>
          <w:rFonts w:ascii="Symbol" w:hAnsi="Symbol" w:cs="Arial"/>
          <w:sz w:val="20"/>
          <w:szCs w:val="20"/>
        </w:rPr>
        <w:t></w:t>
      </w:r>
      <w:r>
        <w:rPr>
          <w:rFonts w:ascii="Arial" w:hAnsi="Arial" w:cs="Arial"/>
          <w:sz w:val="20"/>
          <w:szCs w:val="20"/>
        </w:rPr>
        <w:t>l the following formula was used:</w:t>
      </w:r>
    </w:p>
    <w:p w14:paraId="643EA54E" w14:textId="77777777" w:rsidR="00DE4D0F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52589FAA" w14:textId="77777777" w:rsidR="00DE4D0F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C83750">
        <w:rPr>
          <w:rFonts w:ascii="Arial" w:hAnsi="Arial" w:cs="Arial"/>
          <w:sz w:val="20"/>
          <w:szCs w:val="20"/>
          <w:u w:val="single"/>
        </w:rPr>
        <w:t xml:space="preserve">Avogadro’s number </w:t>
      </w:r>
      <w:r>
        <w:rPr>
          <w:rFonts w:ascii="Arial" w:hAnsi="Arial" w:cs="Arial"/>
          <w:sz w:val="20"/>
          <w:szCs w:val="20"/>
          <w:u w:val="single"/>
        </w:rPr>
        <w:t>(6.02x10</w:t>
      </w:r>
      <w:r w:rsidRPr="00C83750">
        <w:rPr>
          <w:rFonts w:ascii="Arial" w:hAnsi="Arial" w:cs="Arial"/>
          <w:sz w:val="20"/>
          <w:szCs w:val="20"/>
          <w:u w:val="single"/>
          <w:vertAlign w:val="superscript"/>
        </w:rPr>
        <w:t>23</w:t>
      </w:r>
      <w:r>
        <w:rPr>
          <w:rFonts w:ascii="Arial" w:hAnsi="Arial" w:cs="Arial"/>
          <w:sz w:val="20"/>
          <w:szCs w:val="20"/>
          <w:u w:val="single"/>
        </w:rPr>
        <w:t xml:space="preserve"> mol) </w:t>
      </w:r>
      <w:r w:rsidRPr="00C83750">
        <w:rPr>
          <w:rFonts w:ascii="Arial" w:hAnsi="Arial" w:cs="Arial"/>
          <w:sz w:val="20"/>
          <w:szCs w:val="20"/>
          <w:u w:val="single"/>
        </w:rPr>
        <w:t xml:space="preserve">X </w:t>
      </w:r>
      <w:r>
        <w:rPr>
          <w:rFonts w:ascii="Arial" w:hAnsi="Arial" w:cs="Arial"/>
          <w:sz w:val="20"/>
          <w:szCs w:val="20"/>
          <w:u w:val="single"/>
        </w:rPr>
        <w:t>plasmid</w:t>
      </w:r>
      <w:r w:rsidRPr="00C83750">
        <w:rPr>
          <w:rFonts w:ascii="Arial" w:hAnsi="Arial" w:cs="Arial"/>
          <w:sz w:val="20"/>
          <w:szCs w:val="20"/>
          <w:u w:val="single"/>
        </w:rPr>
        <w:t xml:space="preserve"> concentration</w:t>
      </w:r>
      <w:r>
        <w:rPr>
          <w:rFonts w:ascii="Arial" w:hAnsi="Arial" w:cs="Arial"/>
          <w:sz w:val="20"/>
          <w:szCs w:val="20"/>
          <w:u w:val="single"/>
        </w:rPr>
        <w:t xml:space="preserve"> (g/µl)</w:t>
      </w:r>
    </w:p>
    <w:p w14:paraId="2CF2200A" w14:textId="77777777" w:rsidR="00DE4D0F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Molecular weight ((plasmid length + insert) X 660 g/mol)</w:t>
      </w:r>
    </w:p>
    <w:p w14:paraId="5FC3ECF5" w14:textId="77777777" w:rsidR="00DE4D0F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</w:p>
    <w:p w14:paraId="7A665E39" w14:textId="77777777" w:rsidR="00DE4D0F" w:rsidRPr="006C7BB5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determine absolute number (</w:t>
      </w:r>
      <w:r w:rsidRPr="00C83750">
        <w:rPr>
          <w:rFonts w:ascii="Arial" w:hAnsi="Arial" w:cs="Arial"/>
          <w:i/>
          <w:sz w:val="20"/>
          <w:szCs w:val="20"/>
        </w:rPr>
        <w:t>abs</w:t>
      </w:r>
      <w:r>
        <w:rPr>
          <w:rFonts w:ascii="Arial" w:hAnsi="Arial" w:cs="Arial"/>
          <w:sz w:val="20"/>
          <w:szCs w:val="20"/>
        </w:rPr>
        <w:t>) the following formula was used: Log</w:t>
      </w:r>
      <w:r w:rsidRPr="00C83750">
        <w:rPr>
          <w:rFonts w:ascii="Arial" w:hAnsi="Arial"/>
          <w:sz w:val="20"/>
          <w:szCs w:val="20"/>
          <w:vertAlign w:val="superscript"/>
        </w:rPr>
        <w:t>10</w:t>
      </w:r>
      <w:r>
        <w:rPr>
          <w:rFonts w:ascii="Arial" w:hAnsi="Arial" w:cs="Arial"/>
          <w:sz w:val="20"/>
          <w:szCs w:val="20"/>
        </w:rPr>
        <w:t>((Cq-</w:t>
      </w:r>
      <w:r w:rsidRPr="00C83750">
        <w:rPr>
          <w:rFonts w:ascii="Arial" w:hAnsi="Arial" w:cs="Arial"/>
          <w:i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) ÷ </w:t>
      </w:r>
      <w:r w:rsidRPr="00C83750">
        <w:rPr>
          <w:rFonts w:ascii="Arial" w:hAnsi="Arial" w:cs="Arial"/>
          <w:i/>
          <w:sz w:val="20"/>
          <w:szCs w:val="20"/>
        </w:rPr>
        <w:t>s</w:t>
      </w:r>
      <w:r w:rsidRPr="00C83750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, where </w:t>
      </w:r>
      <w:r w:rsidRPr="00C83750">
        <w:rPr>
          <w:rFonts w:ascii="Arial" w:hAnsi="Arial" w:cs="Arial"/>
          <w:i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 xml:space="preserve"> is the y-intercept and </w:t>
      </w:r>
      <w:r w:rsidRPr="00C83750">
        <w:rPr>
          <w:rFonts w:ascii="Arial" w:hAnsi="Arial" w:cs="Arial"/>
          <w:i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is slope obtained from a plotted standard curve.  To determine number of copies per well the following formula was used:  10</w:t>
      </w:r>
      <w:r w:rsidRPr="00C83750">
        <w:rPr>
          <w:rFonts w:ascii="Arial" w:hAnsi="Arial" w:cs="Arial"/>
          <w:i/>
          <w:sz w:val="20"/>
          <w:szCs w:val="20"/>
          <w:vertAlign w:val="superscript"/>
        </w:rPr>
        <w:t>abs</w:t>
      </w:r>
      <w:r>
        <w:rPr>
          <w:rFonts w:ascii="Arial" w:hAnsi="Arial" w:cs="Arial"/>
          <w:sz w:val="20"/>
          <w:szCs w:val="20"/>
        </w:rPr>
        <w:t xml:space="preserve"> ÷ 2.  The copy number per well </w:t>
      </w:r>
      <w:r w:rsidR="001F7DAE">
        <w:rPr>
          <w:rFonts w:ascii="Arial" w:hAnsi="Arial" w:cs="Arial"/>
          <w:sz w:val="20"/>
          <w:szCs w:val="20"/>
        </w:rPr>
        <w:t xml:space="preserve">(1µl DNA) </w:t>
      </w:r>
      <w:r>
        <w:rPr>
          <w:rFonts w:ascii="Arial" w:hAnsi="Arial" w:cs="Arial"/>
          <w:sz w:val="20"/>
          <w:szCs w:val="20"/>
        </w:rPr>
        <w:t xml:space="preserve">was divided by two since there are two copies of the gene per cell.  </w:t>
      </w:r>
    </w:p>
    <w:p w14:paraId="049ABB6B" w14:textId="77777777" w:rsidR="00DE4D0F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</w:p>
    <w:p w14:paraId="3F14AFB1" w14:textId="77777777" w:rsidR="00DE4D0F" w:rsidRPr="00E11191" w:rsidRDefault="00DE4D0F" w:rsidP="001F7DAE">
      <w:pPr>
        <w:spacing w:line="276" w:lineRule="auto"/>
        <w:jc w:val="left"/>
        <w:rPr>
          <w:rFonts w:ascii="Arial" w:hAnsi="Arial" w:cs="Arial"/>
          <w:b/>
          <w:bCs/>
          <w:sz w:val="20"/>
          <w:szCs w:val="20"/>
        </w:rPr>
      </w:pPr>
      <w:r w:rsidRPr="00E11191">
        <w:rPr>
          <w:rFonts w:ascii="Arial" w:hAnsi="Arial" w:cs="Arial"/>
          <w:b/>
          <w:bCs/>
          <w:i/>
          <w:sz w:val="20"/>
          <w:szCs w:val="20"/>
        </w:rPr>
        <w:t>qPCR reaction</w:t>
      </w:r>
    </w:p>
    <w:p w14:paraId="17A4FF81" w14:textId="787D713F" w:rsidR="00DE4D0F" w:rsidRPr="00F62A4B" w:rsidRDefault="00DE4D0F" w:rsidP="001F7DAE">
      <w:pPr>
        <w:spacing w:line="276" w:lineRule="auto"/>
        <w:jc w:val="left"/>
        <w:rPr>
          <w:rFonts w:ascii="Arial" w:hAnsi="Arial" w:cs="Arial"/>
          <w:sz w:val="20"/>
          <w:szCs w:val="20"/>
        </w:rPr>
      </w:pPr>
      <w:r w:rsidRPr="00E11191">
        <w:rPr>
          <w:rFonts w:ascii="Arial" w:hAnsi="Arial" w:cs="Arial"/>
          <w:sz w:val="20"/>
          <w:szCs w:val="20"/>
        </w:rPr>
        <w:t>Each qPCR reaction contained 20X primers and probe with a final concentration of 400nM for each primer and 80nM for the probe, commercially available PCR master mix (TaqMan</w:t>
      </w:r>
      <w:r>
        <w:rPr>
          <w:rFonts w:ascii="Arial" w:hAnsi="Arial" w:cs="Arial"/>
          <w:sz w:val="20"/>
          <w:szCs w:val="20"/>
        </w:rPr>
        <w:t>™</w:t>
      </w:r>
      <w:r w:rsidRPr="00E11191">
        <w:rPr>
          <w:rFonts w:ascii="Arial" w:hAnsi="Arial" w:cs="Arial"/>
          <w:sz w:val="20"/>
          <w:szCs w:val="20"/>
        </w:rPr>
        <w:t xml:space="preserve"> Universal PCR Master Mix, Thermo Fisher Scientific</w:t>
      </w:r>
      <w:r>
        <w:rPr>
          <w:rFonts w:ascii="Arial" w:hAnsi="Arial" w:cs="Arial"/>
          <w:sz w:val="20"/>
          <w:szCs w:val="20"/>
        </w:rPr>
        <w:t>, cat #4318157</w:t>
      </w:r>
      <w:r w:rsidRPr="00E11191">
        <w:rPr>
          <w:rFonts w:ascii="Arial" w:hAnsi="Arial" w:cs="Arial"/>
          <w:sz w:val="20"/>
          <w:szCs w:val="20"/>
        </w:rPr>
        <w:t>) containing 10mM Tris-HCl (pH 8.3), 50mM KCl, 5mM MgCl</w:t>
      </w:r>
      <w:r w:rsidRPr="00E11191">
        <w:rPr>
          <w:rFonts w:ascii="Arial" w:hAnsi="Arial" w:cs="Arial"/>
          <w:sz w:val="20"/>
          <w:szCs w:val="20"/>
          <w:vertAlign w:val="subscript"/>
        </w:rPr>
        <w:t>2</w:t>
      </w:r>
      <w:r w:rsidRPr="00E11191">
        <w:rPr>
          <w:rFonts w:ascii="Arial" w:hAnsi="Arial" w:cs="Arial"/>
          <w:sz w:val="20"/>
          <w:szCs w:val="20"/>
        </w:rPr>
        <w:t>, 2.5mM deoxynucleotide triphosphates, 0.625U AmpliTaq Gold DNA polymerase per reaction, 0.25 U AmpErase UNG per reaction, and 5</w:t>
      </w:r>
      <w:r w:rsidRPr="00E11191">
        <w:rPr>
          <w:rFonts w:ascii="Arial" w:hAnsi="Arial" w:cs="Arial"/>
          <w:sz w:val="20"/>
          <w:szCs w:val="20"/>
        </w:rPr>
        <w:sym w:font="Symbol" w:char="F06D"/>
      </w:r>
      <w:r>
        <w:rPr>
          <w:rFonts w:ascii="Arial" w:hAnsi="Arial" w:cs="Arial"/>
          <w:sz w:val="20"/>
          <w:szCs w:val="20"/>
        </w:rPr>
        <w:t xml:space="preserve">l of diluted extracted </w:t>
      </w:r>
      <w:r w:rsidRPr="00E11191">
        <w:rPr>
          <w:rFonts w:ascii="Arial" w:hAnsi="Arial" w:cs="Arial"/>
          <w:sz w:val="20"/>
          <w:szCs w:val="20"/>
        </w:rPr>
        <w:t>TNA. qPCR was performed using an automated fluorometer (ABI PRISM 7900 HTA FAST, Thermo Fisher Scientific). The following amplification conditions were used: 2 min at 50°C, 10 min at 95°C, 40 cycles of 15 s at 95°C and 60 s at 60°C. Fluorescent signals were collected during the annealing phase and Cq values e</w:t>
      </w:r>
      <w:r w:rsidR="003B69CC">
        <w:rPr>
          <w:rFonts w:ascii="Arial" w:hAnsi="Arial" w:cs="Arial"/>
          <w:sz w:val="20"/>
          <w:szCs w:val="20"/>
        </w:rPr>
        <w:t>xtracted with a threshold of 0.2</w:t>
      </w:r>
      <w:r w:rsidRPr="00E11191">
        <w:rPr>
          <w:rFonts w:ascii="Arial" w:hAnsi="Arial" w:cs="Arial"/>
          <w:sz w:val="20"/>
          <w:szCs w:val="20"/>
        </w:rPr>
        <w:t xml:space="preserve"> and baseline values of 3-1</w:t>
      </w:r>
      <w:r>
        <w:rPr>
          <w:rFonts w:ascii="Arial" w:hAnsi="Arial" w:cs="Arial"/>
          <w:sz w:val="20"/>
          <w:szCs w:val="20"/>
        </w:rPr>
        <w:t>0</w:t>
      </w:r>
      <w:r w:rsidRPr="00E11191">
        <w:rPr>
          <w:rFonts w:ascii="Arial" w:hAnsi="Arial" w:cs="Arial"/>
          <w:sz w:val="20"/>
          <w:szCs w:val="20"/>
        </w:rPr>
        <w:t xml:space="preserve">. A no </w:t>
      </w:r>
      <w:r w:rsidRPr="00F62A4B">
        <w:rPr>
          <w:rFonts w:ascii="Arial" w:hAnsi="Arial" w:cs="Arial"/>
          <w:sz w:val="20"/>
          <w:szCs w:val="20"/>
        </w:rPr>
        <w:t xml:space="preserve">template control </w:t>
      </w:r>
      <w:r>
        <w:rPr>
          <w:rFonts w:ascii="Arial" w:hAnsi="Arial" w:cs="Arial"/>
          <w:sz w:val="20"/>
          <w:szCs w:val="20"/>
        </w:rPr>
        <w:t xml:space="preserve">(DEPC-treated water) </w:t>
      </w:r>
      <w:r w:rsidRPr="00F62A4B">
        <w:rPr>
          <w:rFonts w:ascii="Arial" w:hAnsi="Arial" w:cs="Arial"/>
          <w:sz w:val="20"/>
          <w:szCs w:val="20"/>
        </w:rPr>
        <w:t>was run with all assays to ensure absence of non</w:t>
      </w:r>
      <w:r w:rsidRPr="00E11191">
        <w:rPr>
          <w:rFonts w:ascii="Arial" w:hAnsi="Arial" w:cs="Arial"/>
          <w:sz w:val="20"/>
          <w:szCs w:val="20"/>
        </w:rPr>
        <w:t>-</w:t>
      </w:r>
      <w:r w:rsidRPr="00F62A4B">
        <w:rPr>
          <w:rFonts w:ascii="Arial" w:hAnsi="Arial" w:cs="Arial"/>
          <w:sz w:val="20"/>
          <w:szCs w:val="20"/>
        </w:rPr>
        <w:t>specific binding of the primers and probe</w:t>
      </w:r>
      <w:r w:rsidRPr="00E11191">
        <w:rPr>
          <w:rFonts w:ascii="Arial" w:hAnsi="Arial" w:cs="Arial"/>
          <w:sz w:val="20"/>
          <w:szCs w:val="20"/>
        </w:rPr>
        <w:t>s</w:t>
      </w:r>
      <w:r w:rsidRPr="00F62A4B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Positive controls (AAPV plasmid </w:t>
      </w:r>
      <w:r w:rsidR="00FF568F">
        <w:rPr>
          <w:rFonts w:ascii="Arial" w:hAnsi="Arial" w:cs="Arial"/>
          <w:sz w:val="20"/>
          <w:szCs w:val="20"/>
        </w:rPr>
        <w:t>or known positive sample</w:t>
      </w:r>
      <w:r>
        <w:rPr>
          <w:rFonts w:ascii="Arial" w:hAnsi="Arial" w:cs="Arial"/>
          <w:sz w:val="20"/>
          <w:szCs w:val="20"/>
        </w:rPr>
        <w:t xml:space="preserve">) were run with </w:t>
      </w:r>
      <w:r w:rsidR="00FF568F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assay to ensure the assay was working properly.   </w:t>
      </w:r>
    </w:p>
    <w:sectPr w:rsidR="00DE4D0F" w:rsidRPr="00F6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LTStd-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A2D"/>
    <w:rsid w:val="001145CD"/>
    <w:rsid w:val="001F7DAE"/>
    <w:rsid w:val="003B69CC"/>
    <w:rsid w:val="00614A2D"/>
    <w:rsid w:val="00657741"/>
    <w:rsid w:val="00974571"/>
    <w:rsid w:val="009D3DDB"/>
    <w:rsid w:val="00C6125E"/>
    <w:rsid w:val="00CA6F96"/>
    <w:rsid w:val="00CC1E31"/>
    <w:rsid w:val="00D74342"/>
    <w:rsid w:val="00DD6494"/>
    <w:rsid w:val="00DE4D0F"/>
    <w:rsid w:val="00E77576"/>
    <w:rsid w:val="00EA240F"/>
    <w:rsid w:val="00F13C4A"/>
    <w:rsid w:val="00F44F12"/>
    <w:rsid w:val="00F7460C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74819"/>
  <w15:docId w15:val="{549A066B-0386-AE43-AB00-984A61FCE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2D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8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Davis School of Veterinary Medicine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Wademan, Cara L.</dc:creator>
  <cp:lastModifiedBy>Aoife Nora Galvin</cp:lastModifiedBy>
  <cp:revision>3</cp:revision>
  <dcterms:created xsi:type="dcterms:W3CDTF">2021-05-25T23:39:00Z</dcterms:created>
  <dcterms:modified xsi:type="dcterms:W3CDTF">2021-05-25T23:40:00Z</dcterms:modified>
</cp:coreProperties>
</file>