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18F2" w14:textId="5CF63F33" w:rsidR="00170854" w:rsidRDefault="009239FC">
      <w:r w:rsidRPr="009239FC">
        <w:rPr>
          <w:noProof/>
        </w:rPr>
        <w:drawing>
          <wp:inline distT="0" distB="0" distL="0" distR="0" wp14:anchorId="4B633D0E" wp14:editId="134A010A">
            <wp:extent cx="5943600" cy="424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5623C21D" wp14:editId="4C189DCE">
                <wp:extent cx="5325533" cy="817562"/>
                <wp:effectExtent l="0" t="0" r="0" b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533" cy="817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37354" w14:textId="676AB4B6" w:rsidR="00170854" w:rsidRPr="00BB09CF" w:rsidRDefault="00170854" w:rsidP="00170854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Figure 1. A) Distribution of percent methylation across all interrogated CpG sites for the four genes. Stars indicate significant differences in methylation between the two sampling</w:t>
                            </w:r>
                            <w:r w:rsidR="00CB4EFD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points. B-D: Percent methylation at CpG sites of genes CRH, FKBP5, and GR.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23C2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35pt;height:6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" fillcolor="white [3201]" stroked="f" strokeweight=".5pt">
                <v:textbox>
                  <w:txbxContent>
                    <w:p w14:paraId="2C537354" w14:textId="676AB4B6" w:rsidR="00170854" w:rsidRPr="00BB09CF" w:rsidRDefault="00170854" w:rsidP="00170854">
                      <w:pPr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>Figure 1. A) Distribution of percent methylation across all interrogated CpG sites for the four genes. Stars indicate significant differences in methylation between the two sampling</w:t>
                      </w:r>
                      <w:r w:rsidR="00CB4EFD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points. B-D: Percent methylation at CpG sites of genes CRH, FKBP5, and GR.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73C4F0" w14:textId="7F3CFCBC" w:rsidR="00170854" w:rsidRDefault="0017085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61F76" wp14:editId="6ACAD04C">
                <wp:simplePos x="0" y="0"/>
                <wp:positionH relativeFrom="column">
                  <wp:posOffset>325120</wp:posOffset>
                </wp:positionH>
                <wp:positionV relativeFrom="paragraph">
                  <wp:posOffset>5212080</wp:posOffset>
                </wp:positionV>
                <wp:extent cx="5101055" cy="817562"/>
                <wp:effectExtent l="0" t="0" r="444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1055" cy="817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E9139C" w14:textId="74B4DB4C" w:rsidR="00170854" w:rsidRPr="00BB09CF" w:rsidRDefault="00170854" w:rsidP="00170854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Figure 2. Percent methylation at CpG sites in CRHR1 before plumage dulling (A) and approximately </w:t>
                            </w:r>
                            <w:r w:rsidR="00D624E6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14</w:t>
                            </w: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 days post-manipulation (B). </w:t>
                            </w:r>
                            <w:r w:rsidR="007D562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There was a significant interaction between the original plumage brightness of individual birds and the effect of treatment on methylation in CRHR1 (C). Baseline corticosterone and percent methylation of CRHR1 were significantly </w:t>
                            </w:r>
                            <w:r w:rsidR="00D624E6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negatively </w:t>
                            </w:r>
                            <w:r w:rsidR="007D562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correlated</w:t>
                            </w:r>
                            <w:r w:rsidR="00D624E6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 (D)</w:t>
                            </w:r>
                            <w:r w:rsidR="007D562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61F76" id="Text Box 5" o:spid="_x0000_s1027" type="#_x0000_t202" style="position:absolute;margin-left:25.6pt;margin-top:410.4pt;width:401.65pt;height:6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" fillcolor="white [3201]" stroked="f" strokeweight=".5pt">
                <v:textbox>
                  <w:txbxContent>
                    <w:p w14:paraId="15E9139C" w14:textId="74B4DB4C" w:rsidR="00170854" w:rsidRPr="00BB09CF" w:rsidRDefault="00170854" w:rsidP="00170854">
                      <w:pPr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Figure 2. Percent methylation at CpG sites in CRHR1 before plumage dulling (A) and approximately </w:t>
                      </w:r>
                      <w:r w:rsidR="00D624E6">
                        <w:rPr>
                          <w:rFonts w:ascii="Garamond" w:hAnsi="Garamond"/>
                          <w:sz w:val="20"/>
                          <w:szCs w:val="20"/>
                        </w:rPr>
                        <w:t>14</w:t>
                      </w: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 days post-manipulation (B). </w:t>
                      </w:r>
                      <w:r w:rsidR="007D5629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There was a significant interaction between the original plumage brightness of individual birds and the effect of treatment on methylation in CRHR1 (C). Baseline corticosterone and percent methylation of CRHR1 were significantly </w:t>
                      </w:r>
                      <w:r w:rsidR="00D624E6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negatively </w:t>
                      </w:r>
                      <w:r w:rsidR="007D5629">
                        <w:rPr>
                          <w:rFonts w:ascii="Garamond" w:hAnsi="Garamond"/>
                          <w:sz w:val="20"/>
                          <w:szCs w:val="20"/>
                        </w:rPr>
                        <w:t>correlated</w:t>
                      </w:r>
                      <w:r w:rsidR="00D624E6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 (D)</w:t>
                      </w:r>
                      <w:r w:rsidR="007D5629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D624E6" w:rsidRPr="00D624E6">
        <w:rPr>
          <w:noProof/>
        </w:rPr>
        <w:t xml:space="preserve"> </w:t>
      </w:r>
      <w:r w:rsidR="00DD68B9" w:rsidRPr="00DD68B9">
        <w:rPr>
          <w:noProof/>
        </w:rPr>
        <w:drawing>
          <wp:inline distT="0" distB="0" distL="0" distR="0" wp14:anchorId="61B8AE62" wp14:editId="0B8CDC76">
            <wp:extent cx="5943600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854" w:rsidSect="008A6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54"/>
    <w:rsid w:val="00012149"/>
    <w:rsid w:val="000543F1"/>
    <w:rsid w:val="000F5CDC"/>
    <w:rsid w:val="00170854"/>
    <w:rsid w:val="001B6139"/>
    <w:rsid w:val="00273BE7"/>
    <w:rsid w:val="00303002"/>
    <w:rsid w:val="00324D24"/>
    <w:rsid w:val="00330855"/>
    <w:rsid w:val="0037483D"/>
    <w:rsid w:val="003A1775"/>
    <w:rsid w:val="003C7027"/>
    <w:rsid w:val="003F61D3"/>
    <w:rsid w:val="004808F2"/>
    <w:rsid w:val="004D56B8"/>
    <w:rsid w:val="004E6E45"/>
    <w:rsid w:val="005134DE"/>
    <w:rsid w:val="005B740C"/>
    <w:rsid w:val="00623961"/>
    <w:rsid w:val="00642984"/>
    <w:rsid w:val="0066233D"/>
    <w:rsid w:val="006760D7"/>
    <w:rsid w:val="00725C95"/>
    <w:rsid w:val="00741BAF"/>
    <w:rsid w:val="00753000"/>
    <w:rsid w:val="007D5629"/>
    <w:rsid w:val="00812ED4"/>
    <w:rsid w:val="00864005"/>
    <w:rsid w:val="008806CF"/>
    <w:rsid w:val="00882A85"/>
    <w:rsid w:val="0088423E"/>
    <w:rsid w:val="008A6B90"/>
    <w:rsid w:val="008D46A7"/>
    <w:rsid w:val="00900C04"/>
    <w:rsid w:val="009239FC"/>
    <w:rsid w:val="009508D1"/>
    <w:rsid w:val="009B409C"/>
    <w:rsid w:val="009C275C"/>
    <w:rsid w:val="009E1506"/>
    <w:rsid w:val="00A95EDB"/>
    <w:rsid w:val="00AC640C"/>
    <w:rsid w:val="00B4400E"/>
    <w:rsid w:val="00B57B84"/>
    <w:rsid w:val="00B867B3"/>
    <w:rsid w:val="00B969AB"/>
    <w:rsid w:val="00BE5EB0"/>
    <w:rsid w:val="00BF5B03"/>
    <w:rsid w:val="00CB4EFD"/>
    <w:rsid w:val="00D624E6"/>
    <w:rsid w:val="00D65186"/>
    <w:rsid w:val="00D73CF7"/>
    <w:rsid w:val="00D77957"/>
    <w:rsid w:val="00DD68B9"/>
    <w:rsid w:val="00E5107A"/>
    <w:rsid w:val="00E61110"/>
    <w:rsid w:val="00ED2458"/>
    <w:rsid w:val="00F21BD7"/>
    <w:rsid w:val="00F6479A"/>
    <w:rsid w:val="00F80A24"/>
    <w:rsid w:val="00FB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DDCB"/>
  <w15:chartTrackingRefBased/>
  <w15:docId w15:val="{F9811734-4DC2-1245-9E1C-3230D7DD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57B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B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B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B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McNew</dc:creator>
  <cp:keywords/>
  <dc:description/>
  <cp:lastModifiedBy>McNew, Sabrina - (mcnew)</cp:lastModifiedBy>
  <cp:revision>7</cp:revision>
  <dcterms:created xsi:type="dcterms:W3CDTF">2023-03-30T14:56:00Z</dcterms:created>
  <dcterms:modified xsi:type="dcterms:W3CDTF">2023-04-05T19:11:00Z</dcterms:modified>
</cp:coreProperties>
</file>