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E34F" w14:textId="191E77FC" w:rsidR="00904A64" w:rsidRPr="007F1D06" w:rsidRDefault="008150E7" w:rsidP="008150E7">
      <w:pPr>
        <w:rPr>
          <w:rFonts w:ascii="Garamond" w:hAnsi="Garamond"/>
          <w:b/>
          <w:bCs/>
          <w:i/>
          <w:iCs/>
        </w:rPr>
      </w:pPr>
      <w:r>
        <w:rPr>
          <w:rFonts w:ascii="Arial" w:hAnsi="Arial" w:cs="Arial"/>
          <w:i/>
          <w:iCs/>
          <w:color w:val="333132"/>
          <w:shd w:val="clear" w:color="auto" w:fill="FFFFFF"/>
        </w:rPr>
        <w:t xml:space="preserve">Bio </w:t>
      </w:r>
      <w:proofErr w:type="spellStart"/>
      <w:r>
        <w:rPr>
          <w:rFonts w:ascii="Arial" w:hAnsi="Arial" w:cs="Arial"/>
          <w:i/>
          <w:iCs/>
          <w:color w:val="333132"/>
          <w:shd w:val="clear" w:color="auto" w:fill="FFFFFF"/>
        </w:rPr>
        <w:t>lett</w:t>
      </w:r>
      <w:proofErr w:type="spellEnd"/>
      <w:r>
        <w:rPr>
          <w:rFonts w:ascii="Arial" w:hAnsi="Arial" w:cs="Arial"/>
          <w:i/>
          <w:iCs/>
          <w:color w:val="333132"/>
          <w:shd w:val="clear" w:color="auto" w:fill="FFFFFF"/>
        </w:rPr>
        <w:t xml:space="preserve"> word limit: 2500</w:t>
      </w:r>
      <w:r w:rsidR="007F1D06">
        <w:rPr>
          <w:rFonts w:ascii="Arial" w:hAnsi="Arial" w:cs="Arial"/>
          <w:color w:val="333132"/>
          <w:shd w:val="clear" w:color="auto" w:fill="FFFFFF"/>
        </w:rPr>
        <w:t xml:space="preserve">, </w:t>
      </w:r>
      <w:r w:rsidR="007F1D06">
        <w:rPr>
          <w:rFonts w:ascii="Arial" w:hAnsi="Arial" w:cs="Arial"/>
          <w:i/>
          <w:iCs/>
          <w:color w:val="333132"/>
          <w:shd w:val="clear" w:color="auto" w:fill="FFFFFF"/>
        </w:rPr>
        <w:t>though all the recent articles I downloaded are more like 3000-3500, not including refs.</w:t>
      </w:r>
      <w:r w:rsidR="009128B4">
        <w:rPr>
          <w:rFonts w:ascii="Arial" w:hAnsi="Arial" w:cs="Arial"/>
          <w:i/>
          <w:iCs/>
          <w:color w:val="333132"/>
          <w:shd w:val="clear" w:color="auto" w:fill="FFFFFF"/>
        </w:rPr>
        <w:t xml:space="preserve"> Current text is around 2800.</w:t>
      </w:r>
      <w:r w:rsidR="007F1D06">
        <w:rPr>
          <w:rFonts w:ascii="Arial" w:hAnsi="Arial" w:cs="Arial"/>
          <w:i/>
          <w:iCs/>
          <w:color w:val="333132"/>
          <w:shd w:val="clear" w:color="auto" w:fill="FFFFFF"/>
        </w:rPr>
        <w:t xml:space="preserve"> </w:t>
      </w:r>
    </w:p>
    <w:p w14:paraId="61FFBFC8" w14:textId="77777777" w:rsidR="008150E7" w:rsidRDefault="008150E7" w:rsidP="00416CCC">
      <w:pPr>
        <w:jc w:val="center"/>
        <w:rPr>
          <w:rFonts w:ascii="Garamond" w:hAnsi="Garamond"/>
          <w:b/>
          <w:bCs/>
        </w:rPr>
      </w:pPr>
    </w:p>
    <w:p w14:paraId="67596627" w14:textId="661F835F" w:rsidR="00416CCC" w:rsidRDefault="00416CCC" w:rsidP="00416CCC">
      <w:pPr>
        <w:jc w:val="center"/>
        <w:rPr>
          <w:rFonts w:ascii="Garamond" w:hAnsi="Garamond"/>
          <w:b/>
          <w:bCs/>
        </w:rPr>
      </w:pPr>
      <w:r>
        <w:rPr>
          <w:rFonts w:ascii="Garamond" w:hAnsi="Garamond"/>
          <w:b/>
          <w:bCs/>
        </w:rPr>
        <w:t>Manipulation of a social signal affects DNA methylation of a stress-related gen</w:t>
      </w:r>
      <w:r w:rsidR="000A2581">
        <w:rPr>
          <w:rFonts w:ascii="Garamond" w:hAnsi="Garamond"/>
          <w:b/>
          <w:bCs/>
        </w:rPr>
        <w:t>e in a free-living bird</w:t>
      </w:r>
    </w:p>
    <w:p w14:paraId="7AE8C5C4" w14:textId="501B4562" w:rsidR="00416CCC" w:rsidRDefault="00416CCC" w:rsidP="00416CCC">
      <w:pPr>
        <w:jc w:val="center"/>
        <w:rPr>
          <w:rFonts w:ascii="Garamond" w:hAnsi="Garamond"/>
          <w:b/>
          <w:bCs/>
        </w:rPr>
      </w:pPr>
    </w:p>
    <w:p w14:paraId="41419C3D" w14:textId="30A913F7" w:rsidR="000A2581" w:rsidRDefault="000A2581" w:rsidP="00416CCC">
      <w:pPr>
        <w:jc w:val="center"/>
        <w:rPr>
          <w:rFonts w:ascii="Garamond" w:hAnsi="Garamond"/>
        </w:rPr>
      </w:pPr>
      <w:r>
        <w:rPr>
          <w:rFonts w:ascii="Garamond" w:hAnsi="Garamond"/>
        </w:rPr>
        <w:t>Sabrina M. McNew</w:t>
      </w:r>
      <w:r>
        <w:rPr>
          <w:rFonts w:ascii="Garamond" w:hAnsi="Garamond"/>
          <w:vertAlign w:val="superscript"/>
        </w:rPr>
        <w:t>1,2,3</w:t>
      </w:r>
      <w:r>
        <w:rPr>
          <w:rFonts w:ascii="Garamond" w:hAnsi="Garamond"/>
        </w:rPr>
        <w:t>*, Conor C. Taff</w:t>
      </w:r>
      <w:r>
        <w:rPr>
          <w:rFonts w:ascii="Garamond" w:hAnsi="Garamond"/>
          <w:vertAlign w:val="superscript"/>
        </w:rPr>
        <w:t>1,2</w:t>
      </w:r>
      <w:r>
        <w:rPr>
          <w:rFonts w:ascii="Garamond" w:hAnsi="Garamond"/>
        </w:rPr>
        <w:t>*, and Maren N. Vitousek</w:t>
      </w:r>
      <w:r>
        <w:rPr>
          <w:rFonts w:ascii="Garamond" w:hAnsi="Garamond"/>
          <w:vertAlign w:val="superscript"/>
        </w:rPr>
        <w:t>1,2</w:t>
      </w:r>
      <w:r>
        <w:rPr>
          <w:rFonts w:ascii="Garamond" w:hAnsi="Garamond"/>
        </w:rPr>
        <w:t xml:space="preserve"> </w:t>
      </w:r>
    </w:p>
    <w:p w14:paraId="27B8ADB1" w14:textId="77777777" w:rsidR="000A2581" w:rsidRDefault="000A2581" w:rsidP="000A2581">
      <w:pPr>
        <w:rPr>
          <w:rFonts w:ascii="Garamond" w:hAnsi="Garamond"/>
          <w:vertAlign w:val="superscript"/>
        </w:rPr>
      </w:pPr>
    </w:p>
    <w:p w14:paraId="742133FF" w14:textId="48D4D33D" w:rsidR="000A2581" w:rsidRPr="000A2581" w:rsidRDefault="000A2581" w:rsidP="000A2581">
      <w:pPr>
        <w:rPr>
          <w:rFonts w:ascii="Garamond" w:hAnsi="Garamond"/>
        </w:rPr>
      </w:pPr>
      <w:r>
        <w:rPr>
          <w:rFonts w:ascii="Garamond" w:hAnsi="Garamond"/>
          <w:vertAlign w:val="superscript"/>
        </w:rPr>
        <w:t>1</w:t>
      </w:r>
      <w:r>
        <w:rPr>
          <w:rFonts w:ascii="Garamond" w:hAnsi="Garamond"/>
        </w:rPr>
        <w:t>Department of Ecology &amp; Evolutionary Biology, Cornell University, Ithaca, NY, USA</w:t>
      </w:r>
    </w:p>
    <w:p w14:paraId="30DACFFD" w14:textId="0F62F275" w:rsidR="000A2581" w:rsidRPr="000A2581" w:rsidRDefault="000A2581" w:rsidP="000A2581">
      <w:pPr>
        <w:rPr>
          <w:rFonts w:ascii="Garamond" w:hAnsi="Garamond"/>
        </w:rPr>
      </w:pPr>
      <w:r>
        <w:rPr>
          <w:rFonts w:ascii="Garamond" w:hAnsi="Garamond"/>
          <w:vertAlign w:val="superscript"/>
        </w:rPr>
        <w:t>2</w:t>
      </w:r>
      <w:r>
        <w:rPr>
          <w:rFonts w:ascii="Garamond" w:hAnsi="Garamond"/>
        </w:rPr>
        <w:t>Lab of Ornithology, Cornell University, Ithaca, NY, USA</w:t>
      </w:r>
    </w:p>
    <w:p w14:paraId="20604836" w14:textId="457030A9" w:rsidR="000A2581" w:rsidRDefault="000A2581" w:rsidP="000A2581">
      <w:pPr>
        <w:rPr>
          <w:rFonts w:ascii="Garamond" w:hAnsi="Garamond"/>
        </w:rPr>
      </w:pPr>
      <w:r>
        <w:rPr>
          <w:rFonts w:ascii="Garamond" w:hAnsi="Garamond"/>
          <w:vertAlign w:val="superscript"/>
        </w:rPr>
        <w:t>3</w:t>
      </w:r>
      <w:r>
        <w:rPr>
          <w:rFonts w:ascii="Garamond" w:hAnsi="Garamond"/>
        </w:rPr>
        <w:t>Department of Ecology &amp; Evolutionary Biology, University of Arizona, Tucson, AZ, USA</w:t>
      </w:r>
    </w:p>
    <w:p w14:paraId="7C078DB8" w14:textId="77777777" w:rsidR="000A2581" w:rsidRDefault="000A2581" w:rsidP="000A2581">
      <w:pPr>
        <w:rPr>
          <w:rFonts w:ascii="Garamond" w:hAnsi="Garamond"/>
        </w:rPr>
      </w:pPr>
    </w:p>
    <w:p w14:paraId="5971A05B" w14:textId="5F270D16" w:rsidR="000A2581" w:rsidRDefault="000A2581" w:rsidP="000A2581">
      <w:pPr>
        <w:rPr>
          <w:rFonts w:ascii="Garamond" w:hAnsi="Garamond"/>
        </w:rPr>
      </w:pPr>
      <w:r w:rsidRPr="000A2581">
        <w:rPr>
          <w:rFonts w:ascii="Garamond" w:hAnsi="Garamond"/>
          <w:vertAlign w:val="superscript"/>
        </w:rPr>
        <w:t>*</w:t>
      </w:r>
      <w:r w:rsidR="009C4E9F">
        <w:rPr>
          <w:rFonts w:ascii="Garamond" w:hAnsi="Garamond"/>
        </w:rPr>
        <w:t>B</w:t>
      </w:r>
      <w:r>
        <w:rPr>
          <w:rFonts w:ascii="Garamond" w:hAnsi="Garamond"/>
        </w:rPr>
        <w:t>oth authors contributed equally</w:t>
      </w:r>
    </w:p>
    <w:p w14:paraId="1667D723" w14:textId="72EC33AB" w:rsidR="000A2581" w:rsidRDefault="000A2581" w:rsidP="000A2581">
      <w:pPr>
        <w:rPr>
          <w:rFonts w:ascii="Garamond" w:hAnsi="Garamond"/>
        </w:rPr>
      </w:pPr>
    </w:p>
    <w:p w14:paraId="6A871530" w14:textId="1F485F23" w:rsidR="000A2581" w:rsidRPr="000A2581" w:rsidRDefault="000A2581" w:rsidP="000A2581">
      <w:pPr>
        <w:rPr>
          <w:rFonts w:ascii="Garamond" w:hAnsi="Garamond"/>
        </w:rPr>
      </w:pPr>
      <w:r>
        <w:rPr>
          <w:rFonts w:ascii="Garamond" w:hAnsi="Garamond"/>
          <w:b/>
          <w:bCs/>
        </w:rPr>
        <w:t xml:space="preserve">Keywords: </w:t>
      </w:r>
      <w:r>
        <w:rPr>
          <w:rFonts w:ascii="Garamond" w:hAnsi="Garamond"/>
        </w:rPr>
        <w:t xml:space="preserve">Tree swallows, </w:t>
      </w:r>
      <w:proofErr w:type="spellStart"/>
      <w:r w:rsidRPr="000A2581">
        <w:rPr>
          <w:rFonts w:ascii="Garamond" w:hAnsi="Garamond"/>
          <w:i/>
          <w:iCs/>
        </w:rPr>
        <w:t>Tachycineta</w:t>
      </w:r>
      <w:proofErr w:type="spellEnd"/>
      <w:r w:rsidRPr="000A2581">
        <w:rPr>
          <w:rFonts w:ascii="Garamond" w:hAnsi="Garamond"/>
          <w:i/>
          <w:iCs/>
        </w:rPr>
        <w:t xml:space="preserve"> bicolor</w:t>
      </w:r>
      <w:r>
        <w:rPr>
          <w:rFonts w:ascii="Garamond" w:hAnsi="Garamond"/>
        </w:rPr>
        <w:t>, epigenetics, CRHR1, GR, FKBP5, CRH</w:t>
      </w:r>
      <w:r w:rsidR="00CE0897">
        <w:rPr>
          <w:rFonts w:ascii="Garamond" w:hAnsi="Garamond"/>
        </w:rPr>
        <w:t>,</w:t>
      </w:r>
    </w:p>
    <w:p w14:paraId="795A7A5E" w14:textId="367688BF" w:rsidR="000A2581" w:rsidRDefault="000A2581" w:rsidP="000A2581">
      <w:pPr>
        <w:rPr>
          <w:rFonts w:ascii="Garamond" w:hAnsi="Garamond"/>
        </w:rPr>
      </w:pPr>
    </w:p>
    <w:p w14:paraId="15679370" w14:textId="0280F58C" w:rsidR="003B220F" w:rsidRDefault="00CE0897" w:rsidP="000A2581">
      <w:pPr>
        <w:rPr>
          <w:rFonts w:ascii="Garamond" w:hAnsi="Garamond"/>
          <w:b/>
          <w:bCs/>
        </w:rPr>
      </w:pPr>
      <w:r>
        <w:rPr>
          <w:rFonts w:ascii="Garamond" w:hAnsi="Garamond"/>
          <w:b/>
          <w:bCs/>
        </w:rPr>
        <w:t xml:space="preserve">Abstract: </w:t>
      </w:r>
    </w:p>
    <w:p w14:paraId="323C92A1" w14:textId="4F65DB56" w:rsidR="00CE0897" w:rsidRDefault="00890032" w:rsidP="008B207E">
      <w:pPr>
        <w:rPr>
          <w:rFonts w:ascii="Garamond" w:hAnsi="Garamond"/>
        </w:rPr>
      </w:pPr>
      <w:r>
        <w:rPr>
          <w:rFonts w:ascii="Garamond" w:hAnsi="Garamond"/>
        </w:rPr>
        <w:t xml:space="preserve">Social status directly </w:t>
      </w:r>
      <w:r w:rsidR="00BD0C2A">
        <w:rPr>
          <w:rFonts w:ascii="Garamond" w:hAnsi="Garamond"/>
        </w:rPr>
        <w:t>a</w:t>
      </w:r>
      <w:r>
        <w:rPr>
          <w:rFonts w:ascii="Garamond" w:hAnsi="Garamond"/>
        </w:rPr>
        <w:t xml:space="preserve">ffects the health of </w:t>
      </w:r>
      <w:r w:rsidR="0023066E">
        <w:rPr>
          <w:rFonts w:ascii="Garamond" w:hAnsi="Garamond"/>
        </w:rPr>
        <w:t xml:space="preserve">humans and other </w:t>
      </w:r>
      <w:r>
        <w:rPr>
          <w:rFonts w:ascii="Garamond" w:hAnsi="Garamond"/>
        </w:rPr>
        <w:t xml:space="preserve">animals. Low status individuals receive more antagonistic encounters, have fewer supportive relationships, and have </w:t>
      </w:r>
      <w:r w:rsidR="00211D20">
        <w:rPr>
          <w:rFonts w:ascii="Garamond" w:hAnsi="Garamond"/>
        </w:rPr>
        <w:t xml:space="preserve">overall </w:t>
      </w:r>
      <w:r>
        <w:rPr>
          <w:rFonts w:ascii="Garamond" w:hAnsi="Garamond"/>
        </w:rPr>
        <w:t xml:space="preserve">worse health outcomes. However, in most wild species, it is unclear what physiological mechanisms mediate the effects of the social environment on health and fitness. Epigenetic regulation of the HPA-axis, the neuroendocrine pathway that activates in response to stressors, may be one process that is sensitive to the social environment. </w:t>
      </w:r>
      <w:r w:rsidR="00DE23B0">
        <w:rPr>
          <w:rFonts w:ascii="Garamond" w:hAnsi="Garamond"/>
        </w:rPr>
        <w:t>Here, we experimentally manipulated plumage, a key social signal in female tree swallows (</w:t>
      </w:r>
      <w:proofErr w:type="spellStart"/>
      <w:r w:rsidR="00DE23B0">
        <w:rPr>
          <w:rFonts w:ascii="Garamond" w:hAnsi="Garamond"/>
          <w:i/>
          <w:iCs/>
        </w:rPr>
        <w:t>Tachycineta</w:t>
      </w:r>
      <w:proofErr w:type="spellEnd"/>
      <w:r w:rsidR="00DE23B0">
        <w:rPr>
          <w:rFonts w:ascii="Garamond" w:hAnsi="Garamond"/>
          <w:i/>
          <w:iCs/>
        </w:rPr>
        <w:t xml:space="preserve"> bicolor</w:t>
      </w:r>
      <w:r w:rsidR="00DE23B0">
        <w:rPr>
          <w:rFonts w:ascii="Garamond" w:hAnsi="Garamond"/>
        </w:rPr>
        <w:t xml:space="preserve">) and </w:t>
      </w:r>
      <w:r w:rsidR="009C145F">
        <w:rPr>
          <w:rFonts w:ascii="Garamond" w:hAnsi="Garamond"/>
        </w:rPr>
        <w:t xml:space="preserve">quantified </w:t>
      </w:r>
      <w:r w:rsidR="00DE23B0">
        <w:rPr>
          <w:rFonts w:ascii="Garamond" w:hAnsi="Garamond"/>
        </w:rPr>
        <w:t>methylation of four genes in the HPA axis</w:t>
      </w:r>
      <w:r w:rsidR="009C145F">
        <w:rPr>
          <w:rFonts w:ascii="Garamond" w:hAnsi="Garamond"/>
        </w:rPr>
        <w:t xml:space="preserve"> before and after treatment</w:t>
      </w:r>
      <w:r w:rsidR="00DE23B0">
        <w:rPr>
          <w:rFonts w:ascii="Garamond" w:hAnsi="Garamond"/>
        </w:rPr>
        <w:t xml:space="preserve">. We found that </w:t>
      </w:r>
      <w:r w:rsidR="00953EF8">
        <w:rPr>
          <w:rFonts w:ascii="Garamond" w:hAnsi="Garamond"/>
        </w:rPr>
        <w:t xml:space="preserve">dulling the white breast </w:t>
      </w:r>
      <w:r w:rsidR="00DE23B0">
        <w:rPr>
          <w:rFonts w:ascii="Garamond" w:hAnsi="Garamond"/>
        </w:rPr>
        <w:t xml:space="preserve">plumage affected methylation in one gene, CRHR1; however, the effect depended on the original brightness of the bird. </w:t>
      </w:r>
      <w:r w:rsidR="001C72D1">
        <w:rPr>
          <w:rFonts w:ascii="Garamond" w:hAnsi="Garamond"/>
        </w:rPr>
        <w:t>M</w:t>
      </w:r>
      <w:r>
        <w:rPr>
          <w:rFonts w:ascii="Garamond" w:hAnsi="Garamond"/>
        </w:rPr>
        <w:t xml:space="preserve">ethylation in this gene was correlated with baseline corticosterone levels, </w:t>
      </w:r>
      <w:r w:rsidR="0023066E">
        <w:rPr>
          <w:rFonts w:ascii="Garamond" w:hAnsi="Garamond"/>
        </w:rPr>
        <w:t>suggesting</w:t>
      </w:r>
      <w:r w:rsidR="008F1101">
        <w:rPr>
          <w:rFonts w:ascii="Garamond" w:hAnsi="Garamond"/>
        </w:rPr>
        <w:t xml:space="preserve"> that DNA methylation </w:t>
      </w:r>
      <w:r w:rsidR="00761F44">
        <w:rPr>
          <w:rFonts w:ascii="Garamond" w:hAnsi="Garamond"/>
        </w:rPr>
        <w:t xml:space="preserve">of CRHR1 </w:t>
      </w:r>
      <w:r w:rsidR="00F2636A">
        <w:rPr>
          <w:rFonts w:ascii="Garamond" w:hAnsi="Garamond"/>
        </w:rPr>
        <w:t>helps</w:t>
      </w:r>
      <w:r w:rsidR="008F1101">
        <w:rPr>
          <w:rFonts w:ascii="Garamond" w:hAnsi="Garamond"/>
        </w:rPr>
        <w:t xml:space="preserve"> regulate</w:t>
      </w:r>
      <w:r w:rsidR="00F2636A">
        <w:rPr>
          <w:rFonts w:ascii="Garamond" w:hAnsi="Garamond"/>
        </w:rPr>
        <w:t xml:space="preserve"> glucocorticoid production in this species</w:t>
      </w:r>
      <w:r w:rsidR="008F1101">
        <w:rPr>
          <w:rFonts w:ascii="Garamond" w:hAnsi="Garamond"/>
        </w:rPr>
        <w:t xml:space="preserve">. </w:t>
      </w:r>
      <w:r>
        <w:rPr>
          <w:rFonts w:ascii="Garamond" w:hAnsi="Garamond"/>
        </w:rPr>
        <w:t xml:space="preserve">Methylation in two other genes, FKBP5 and GR, </w:t>
      </w:r>
      <w:r w:rsidR="00953EF8">
        <w:rPr>
          <w:rFonts w:ascii="Garamond" w:hAnsi="Garamond"/>
        </w:rPr>
        <w:t>changed over the course of the experiment</w:t>
      </w:r>
      <w:r w:rsidR="008F1101">
        <w:rPr>
          <w:rFonts w:ascii="Garamond" w:hAnsi="Garamond"/>
        </w:rPr>
        <w:t xml:space="preserve">, independent of treatment. These results show that methylation of </w:t>
      </w:r>
      <w:r w:rsidR="0040175D">
        <w:rPr>
          <w:rFonts w:ascii="Garamond" w:hAnsi="Garamond"/>
        </w:rPr>
        <w:t xml:space="preserve">these </w:t>
      </w:r>
      <w:r w:rsidR="008F1101">
        <w:rPr>
          <w:rFonts w:ascii="Garamond" w:hAnsi="Garamond"/>
        </w:rPr>
        <w:t xml:space="preserve">genes is labile into adulthood and suggest that epigenetic </w:t>
      </w:r>
      <w:r w:rsidR="0023066E">
        <w:rPr>
          <w:rFonts w:ascii="Garamond" w:hAnsi="Garamond"/>
        </w:rPr>
        <w:t xml:space="preserve">regulation of the HPA axis could help birds respond to current environmental conditions. </w:t>
      </w:r>
    </w:p>
    <w:p w14:paraId="706F0D1A" w14:textId="77777777" w:rsidR="00953EF8" w:rsidRPr="00DE23B0" w:rsidRDefault="00953EF8" w:rsidP="008B207E">
      <w:pPr>
        <w:rPr>
          <w:rFonts w:ascii="Garamond" w:hAnsi="Garamond"/>
        </w:rPr>
      </w:pPr>
    </w:p>
    <w:p w14:paraId="2502CD76" w14:textId="12EE9F13" w:rsidR="004465AF" w:rsidRDefault="004465AF">
      <w:pPr>
        <w:rPr>
          <w:rFonts w:ascii="Garamond" w:hAnsi="Garamond"/>
        </w:rPr>
      </w:pPr>
      <w:r>
        <w:rPr>
          <w:rFonts w:ascii="Garamond" w:hAnsi="Garamond"/>
          <w:b/>
          <w:bCs/>
        </w:rPr>
        <w:t xml:space="preserve">Introduction: </w:t>
      </w:r>
    </w:p>
    <w:p w14:paraId="4D83D00B" w14:textId="750E2548" w:rsidR="00550759" w:rsidRDefault="0090209F" w:rsidP="008E7C27">
      <w:pPr>
        <w:ind w:firstLine="720"/>
        <w:rPr>
          <w:rFonts w:ascii="Garamond" w:hAnsi="Garamond"/>
        </w:rPr>
      </w:pPr>
      <w:r>
        <w:rPr>
          <w:rFonts w:ascii="Garamond" w:hAnsi="Garamond"/>
        </w:rPr>
        <w:t xml:space="preserve">The social </w:t>
      </w:r>
      <w:r w:rsidR="00F529C2">
        <w:rPr>
          <w:rFonts w:ascii="Garamond" w:hAnsi="Garamond"/>
        </w:rPr>
        <w:t>environment</w:t>
      </w:r>
      <w:r>
        <w:rPr>
          <w:rFonts w:ascii="Garamond" w:hAnsi="Garamond"/>
        </w:rPr>
        <w:t xml:space="preserve"> </w:t>
      </w:r>
      <w:r w:rsidR="00E02D81">
        <w:rPr>
          <w:rFonts w:ascii="Garamond" w:hAnsi="Garamond"/>
        </w:rPr>
        <w:t>affects the health of humans and other social animals</w:t>
      </w:r>
      <w:r w:rsidR="00CB5942">
        <w:rPr>
          <w:rFonts w:ascii="Garamond" w:hAnsi="Garamond"/>
        </w:rPr>
        <w:t xml:space="preserve">. </w:t>
      </w:r>
      <w:r w:rsidR="00E02D81">
        <w:rPr>
          <w:rFonts w:ascii="Garamond" w:hAnsi="Garamond"/>
        </w:rPr>
        <w:t>L</w:t>
      </w:r>
      <w:r w:rsidR="00F529C2">
        <w:rPr>
          <w:rFonts w:ascii="Garamond" w:hAnsi="Garamond"/>
        </w:rPr>
        <w:t>ower status individuals</w:t>
      </w:r>
      <w:r w:rsidR="008150E7">
        <w:rPr>
          <w:rFonts w:ascii="Garamond" w:hAnsi="Garamond"/>
        </w:rPr>
        <w:t xml:space="preserve"> </w:t>
      </w:r>
      <w:r w:rsidR="00623A9D">
        <w:rPr>
          <w:rFonts w:ascii="Garamond" w:hAnsi="Garamond"/>
        </w:rPr>
        <w:t xml:space="preserve">have shorter lifespans and are </w:t>
      </w:r>
      <w:r w:rsidR="003B52B5">
        <w:rPr>
          <w:rFonts w:ascii="Garamond" w:hAnsi="Garamond"/>
        </w:rPr>
        <w:t xml:space="preserve">more </w:t>
      </w:r>
      <w:r w:rsidR="008E7C27">
        <w:rPr>
          <w:rFonts w:ascii="Garamond" w:hAnsi="Garamond"/>
        </w:rPr>
        <w:t>susceptible</w:t>
      </w:r>
      <w:r w:rsidR="006663FF">
        <w:rPr>
          <w:rFonts w:ascii="Garamond" w:hAnsi="Garamond"/>
        </w:rPr>
        <w:t xml:space="preserve"> to disease </w:t>
      </w:r>
      <w:r w:rsidR="003B52B5">
        <w:rPr>
          <w:rFonts w:ascii="Garamond" w:hAnsi="Garamond"/>
        </w:rPr>
        <w:fldChar w:fldCharType="begin"/>
      </w:r>
      <w:r w:rsidR="00416F57">
        <w:rPr>
          <w:rFonts w:ascii="Garamond" w:hAnsi="Garamond"/>
        </w:rPr>
        <w:instrText xml:space="preserve"> ADDIN ZOTERO_ITEM CSL_CITATION {"citationID":"7AHuabrH","properties":{"formattedCitation":"(Alwin &amp; Wray, 2005; Razzoli et al., 2018; Singh-Manoux et al., 2003)","plainCitation":"(Alwin &amp; Wray, 2005; Razzoli et al., 2018; Singh-Manoux et al., 2003)","noteIndex":0},"citationItems":[{"id":5811,"uris":["http://zotero.org/users/5430941/items/27MGMREQ"],"itemData":{"id":5811,"type":"article-journal","abstract":"This article presents a life-span developmental (LSD) perspective on the linkages between social status and health. The objective is to develop a conceptual framework that is useful in understanding why people are differentially exposed to risks of disease or protective factors and the social conditions that link the effects of risk and protective factors to the social environment over the life span. The discussion distinguishes between the complementary concepts of “life span,” “life cycle,” and “life course,” critical theoretical distinctions that may help refine hypotheses about the relationship between health and social status. We argue that life-cycle and life-course concepts can be viewed as embedded in a more general LSD perspective. Using the theoretical principles derived from this perspective, the review examines (a) gender differences, (b) race–ethnic experiences, (c) childhood experiences, (d) educational levels, (e) socioeconomic differences, and (f) age differences. The emphasis in the review is to highlight the value of a broader LSD perspective in the study of health inequalities. The article ends with a brief summary of where future research is headed and novel developments in the study of social status and health.","container-title":"The Journals of Gerontology: Series B","DOI":"10.1093/geronb/60.Special_Issue_2.S7","ISSN":"1079-5014","issue":"Special_Issue_2","journalAbbreviation":"The Journals of Gerontology: Series B","page":"S7-S14","source":"Silverchair","title":"A life-span developmental perspective on social status and health","volume":"60","author":[{"family":"Alwin","given":"Duane F."},{"family":"Wray","given":"Linda A."}],"issued":{"date-parts":[["2005",10,1]]}}},{"id":5808,"uris":["http://zotero.org/users/5430941/items/5CSI9XVL"],"itemData":{"id":5808,"type":"article-journal","abstract":"Stress and low socioeconomic status in humans confer increased vulnerability to morbidity and mortality. However, this association is not mechanistically understood nor has its causation been explored in animal models thus far. Recently, cellular senescence has been suggested as a potential mechanism linking lifelong stress to age-related diseases and shorter life expectancy in humans. Here, we established a causal role for lifelong social stress on shortening lifespan and increasing the risk of cardiovascular disease in mice. Specifically, we developed a lifelong chronic psychosocial stress model in which male mouse aggressive behavior is used to study the impact of negative social confrontations on healthspan and lifespan. C57BL/6J mice identified through unbiased cluster analysis for receiving high while exhibiting low aggression, or identified as subordinate based on an ethologic criterion, had lower median and maximal lifespan, and developed earlier onset of several organ pathologies in the presence of a cellular senescence signature. Critically, subordinate mice developed spontaneous early-stage atherosclerotic lesions of the aortic sinuses characterized by significant immune cells infiltration and sporadic rupture and calcification, none of which was found in dominant subjects. In conclusion, we present here the first rodent model to study and mechanistically dissect the impact of chronic stress on lifespan and disease of aging. These data highlight a conserved role for social stress and low social status on shortening lifespan and increasing the risk of cardiovascular disease in mammals and identify a potential mechanistic link for this complex phenomenon.","container-title":"Aging Cell","DOI":"10.1111/acel.12778","ISSN":"1474-9726","issue":"4","language":"en","note":"_eprint: https://onlinelibrary.wiley.com/doi/pdf/10.1111/acel.12778","page":"e12778","source":"Wiley Online Library","title":"Social stress shortens lifespan in mice","volume":"17","author":[{"family":"Razzoli","given":"Maria"},{"family":"Nyuyki-Dufe","given":"Kewir"},{"family":"Gurney","given":"Allison"},{"family":"Erickson","given":"Connor"},{"family":"McCallum","given":"Jacob"},{"family":"Spielman","given":"Nicholas"},{"family":"Marzullo","given":"Marta"},{"family":"Patricelli","given":"Jessica"},{"family":"Kurata","given":"Morito"},{"family":"Pope","given":"Emily A."},{"family":"Touma","given":"Chadi"},{"family":"Palme","given":"Rupert"},{"family":"Largaespada","given":"David A."},{"family":"Allison","given":"David B."},{"family":"Bartolomucci","given":"Alessandro"}],"issued":{"date-parts":[["2018"]]}}},{"id":5812,"uris":["http://zotero.org/users/5430941/items/XVHSBV9J"],"itemData":{"id":5812,"type":"article-journal","abstract":"The purpose of this study was twofold—(1) investigate the role of subjective social status as a predictor of ill-health, with a further exploration of the extent to which this relationship could be accounted for by conventional measures of socioeconomic position; (2) examine the determinants of a relatively new measure of subjective social status used in this study. A 10 rung self-anchoring scale was used to measure subjective social status in the Whitehall II study, a prospective cohort study of London-based civil service employees. Results indicate that subjective status is a strong predictor of ill-health, and that education, occupation and income do not explain this relationship fully for all the health measures examined. The results provide further support for the multidimensional nature of both social inequality and health. Multiple regression shows subjective status to be determined by occupational position, education, household income, satisfaction with standard of living, and feeling of financial security regarding the future. The results suggest that subjective social status reflects the cognitive averaging of standard markers of socioeconomic situation and is free of psychological biases.","container-title":"Social Science &amp; Medicine","DOI":"10.1016/S0277-9536(02)00131-4","ISSN":"0277-9536","issue":"6","journalAbbreviation":"Social Science &amp; Medicine","language":"en","page":"1321-1333","source":"ScienceDirect","title":"Subjective social status: its determinants and its association with measures of ill-health in the Whitehall II study","title-short":"Subjective social status","volume":"56","author":[{"family":"Singh-Manoux","given":"Archana"},{"family":"Adler","given":"Nancy E"},{"family":"Marmot","given":"Michael G"}],"issued":{"date-parts":[["2003",3,1]]}}}],"schema":"https://github.com/citation-style-language/schema/raw/master/csl-citation.json"} </w:instrText>
      </w:r>
      <w:r w:rsidR="003B52B5">
        <w:rPr>
          <w:rFonts w:ascii="Garamond" w:hAnsi="Garamond"/>
        </w:rPr>
        <w:fldChar w:fldCharType="separate"/>
      </w:r>
      <w:r w:rsidR="00416F57">
        <w:rPr>
          <w:rFonts w:ascii="Garamond" w:hAnsi="Garamond" w:cs="Times New Roman"/>
        </w:rPr>
        <w:t>(Alwin &amp; Wray, 2005; Razzoli et al., 2018; Singh-Manoux et al., 2003)</w:t>
      </w:r>
      <w:r w:rsidR="003B52B5">
        <w:rPr>
          <w:rFonts w:ascii="Garamond" w:hAnsi="Garamond"/>
        </w:rPr>
        <w:fldChar w:fldCharType="end"/>
      </w:r>
      <w:r w:rsidR="003B52B5">
        <w:rPr>
          <w:rFonts w:ascii="Garamond" w:hAnsi="Garamond"/>
        </w:rPr>
        <w:t xml:space="preserve">. </w:t>
      </w:r>
      <w:r w:rsidR="00CB5942">
        <w:rPr>
          <w:rFonts w:ascii="Garamond" w:hAnsi="Garamond"/>
        </w:rPr>
        <w:t xml:space="preserve">One potential mechanism that may mediate the effects of social interactions on health is </w:t>
      </w:r>
      <w:r w:rsidR="00842387">
        <w:rPr>
          <w:rFonts w:ascii="Garamond" w:hAnsi="Garamond"/>
        </w:rPr>
        <w:t xml:space="preserve">the </w:t>
      </w:r>
      <w:r w:rsidR="00CB5942">
        <w:rPr>
          <w:rFonts w:ascii="Garamond" w:hAnsi="Garamond"/>
        </w:rPr>
        <w:t>hypothalamic—pituitary—adrenal (HPA) axis</w:t>
      </w:r>
      <w:r w:rsidR="0023066E">
        <w:rPr>
          <w:rFonts w:ascii="Garamond" w:hAnsi="Garamond"/>
        </w:rPr>
        <w:t xml:space="preserve"> </w:t>
      </w:r>
      <w:r w:rsidR="0023066E">
        <w:rPr>
          <w:rFonts w:ascii="Garamond" w:hAnsi="Garamond"/>
        </w:rPr>
        <w:fldChar w:fldCharType="begin"/>
      </w:r>
      <w:r w:rsidR="0023066E">
        <w:rPr>
          <w:rFonts w:ascii="Garamond" w:hAnsi="Garamond"/>
        </w:rPr>
        <w:instrText xml:space="preserve"> ADDIN ZOTERO_ITEM CSL_CITATION {"citationID":"zv9AYnb4","properties":{"formattedCitation":"(Creel et al., 2013)","plainCitation":"(Creel et al., 2013)","noteIndex":0},"citationItems":[{"id":5637,"uris":["http://zotero.org/users/5430941/items/LUVLPVK3"],"itemData":{"id":5637,"type":"article-journal","abstract":"Many aspects of the social environment affect hypothalamic-pituitary-adrenal (HPA) axis function and increase circulating glucocorticoid concentrations. In this review, we examine the relationships between the social environment and the function of the HPA axis in vertebrates. First, we explore the effects of the social environment on glucocorticoid secretion in territorial (primarily non-social) species, with an emphasis on the effects of variation in population density, as modified by environmental factors such as predation risk and food availability. In general, high population density or frequent territorial intrusions are associated with increased glucocorticoid secretion in a wide range of taxa, including mammals, birds, fish and reptiles, although there is considerable variability across species. Second, we consider the effects of social interactions and dominance rank on glucocorticoid secretion in social species, mostly in birds and mammals. We review studies that have detected an association between social status and glucocorticoid levels – sometimes with higher glucocorticoid levels in low-ranking individuals, and sometimes with higher glucocorticoid levels in dominant individuals. The relationship between dominance and glucocorticoid levels varies among species, populations and years, in a manner that depends on the stability of the social hierarchy, environmental conditions, the type of breeding system, and the manner in which high rank is obtained and maintained. Finally, we discuss the concept of allostasis and consider interactions between social effects and other environmental factors, noting that there is relatively little research on these interactions to date. For both non-social and social species, we identify priorities of future research. These priorities include more complete descriptions of HPA function that move beyond measurements of basal glucocorticoid concentrations (which will generally require field experiments), to studies that examine organizational effects of social stressors, that directly test the relationship between HPA function and fitness, and that examine how glucocorticoid responses affect population dynamics. Although several lines of evidence suggest that glucocorticoid responses can affect the fitness of individuals and therefore can alter the dynamics of populations, the effect of glucocorticoid responses on population dynamics remains essentially unstudied.","container-title":"Functional Ecology","DOI":"10.1111/j.1365-2435.2012.02029.x","ISSN":"1365-2435","issue":"1","language":"en","note":"_eprint: https://onlinelibrary.wiley.com/doi/pdf/10.1111/j.1365-2435.2012.02029.x","page":"66-80","source":"Wiley Online Library","title":"The ecology of stress: effects of the social environment","title-short":"The ecology of stress","volume":"27","author":[{"family":"Creel","given":"Scott"},{"family":"Dantzer","given":"Ben"},{"family":"Goymann","given":"Wolfgang"},{"family":"Rubenstein","given":"Dustin R."}],"issued":{"date-parts":[["2013"]]}}}],"schema":"https://github.com/citation-style-language/schema/raw/master/csl-citation.json"} </w:instrText>
      </w:r>
      <w:r w:rsidR="0023066E">
        <w:rPr>
          <w:rFonts w:ascii="Garamond" w:hAnsi="Garamond"/>
        </w:rPr>
        <w:fldChar w:fldCharType="separate"/>
      </w:r>
      <w:r w:rsidR="0023066E">
        <w:rPr>
          <w:rFonts w:ascii="Garamond" w:hAnsi="Garamond"/>
          <w:noProof/>
        </w:rPr>
        <w:t>(Creel et al., 2013)</w:t>
      </w:r>
      <w:r w:rsidR="0023066E">
        <w:rPr>
          <w:rFonts w:ascii="Garamond" w:hAnsi="Garamond"/>
        </w:rPr>
        <w:fldChar w:fldCharType="end"/>
      </w:r>
      <w:r w:rsidR="0023066E">
        <w:rPr>
          <w:rFonts w:ascii="Garamond" w:hAnsi="Garamond"/>
        </w:rPr>
        <w:t xml:space="preserve">. This neuroendocrine pathway underlies physiological and behavioral changes, including the production of glucocorticoid hormones, which shift energy towards immediate survival in response to an adverse event </w:t>
      </w:r>
      <w:r w:rsidR="00CB5942">
        <w:rPr>
          <w:rFonts w:ascii="Garamond" w:hAnsi="Garamond"/>
        </w:rPr>
        <w:fldChar w:fldCharType="begin"/>
      </w:r>
      <w:r w:rsidR="00416F57">
        <w:rPr>
          <w:rFonts w:ascii="Garamond" w:hAnsi="Garamond"/>
        </w:rPr>
        <w:instrText xml:space="preserve"> ADDIN ZOTERO_ITEM CSL_CITATION {"citationID":"pz3OdlUI","properties":{"formattedCitation":"(Monaghan, 2014; Sapolsky et al., 2000; Wingfield et al., 1998)","plainCitation":"(Monaghan, 2014; Sapolsky et al., 2000; Wingfield et al., 1998)","noteIndex":0},"citationItems":[{"id":5469,"uris":["http://zotero.org/users/5430941/items/FAUVITB3"],"itemData":{"id":5469,"type":"article-journal","abstract":"Most organisms, including ourselves, are exposed to environmental stressors at various points during life, and responses to such stressors have been optimised by evolution to give the best fitness outcomes. It is expected that environmental change will substantially increase long-term stress exposure in many animal groups in the coming decades. A major challenge for biologists is to understand and predict how this will influence individuals, populations and ecosystems, and over what time scale such effects will occur. This requires a multi-disciplinary approach, combining studies of mechanisms with studies of fitness consequences for individuals and their descendants. In this review, I discuss the positive and negative fitness consequences of responses to stressful environments, particularly during early life, and with an emphasis on studies in birds. As many of the mechanisms underlying stress responses are highly conserved across the vertebrate groups, the findings from these studies have general applicability when interpreted in a life history context. One important route that has recently been identified whereby chronic stress exposure can affect health and longevity over long time frames is via effects on telomere dynamics. Much of this work has so far been done on humans, and is correlational in nature, but studies on other taxa, and experimental work, are increasing. I summarise the relevant aspects of vertebrate telomere biology and critically appraise our current knowledge with a view to pointing out important future research directions for our understanding of how stress exposure influences life histories.","container-title":"Journal of Experimental Biology","DOI":"10.1242/jeb.090043","ISSN":"0022-0949","issue":"1","journalAbbreviation":"Journal of Experimental Biology","page":"57-66","source":"Silverchair","title":"Organismal stress, telomeres and life histories","volume":"217","author":[{"family":"Monaghan","given":"Pat"}],"editor":[{"family":"Davies","given":"Shireen A."},{"family":"Dow","given":"Julian A. T."},{"family":"Lukowiak","given":"Ken"}],"issued":{"date-parts":[["2014",1,1]]}}},{"id":5524,"uris":["http://zotero.org/users/5430941/items/V8FKJJYG"],"itemData":{"id":5524,"type":"article-journal","issue":"1","language":"en","page":"35","source":"Zotero","title":"How do glucocorticoids influence stress responses? Integrating permissive, suppressive, stimulatory, and preparative actions","volume":"21","author":[{"family":"Sapolsky","given":"Robert M"},{"family":"Romero","given":"L Michael"},{"family":"Munck","given":"Allan U"}],"issued":{"date-parts":[["2000"]]}}},{"id":5493,"uris":["http://zotero.org/users/5430941/items/BNVEQJHA"],"itemData":{"id":5493,"type":"article-journal","container-title":"American Zoologist","DOI":"10.1093/icb/38.1.191","ISSN":"0003-1569","issue":"1","journalAbbreviation":"Am Zool","language":"en","page":"191-206","source":"DOI.org (Crossref)","title":"Ecological bases of hormone—behavior interactions: The “emergency life history stage”","title-short":"Ecological Bases of Hormone—Behavior Interactions","volume":"38","author":[{"family":"Wingfield","given":"John C."},{"family":"Maney","given":"Donna L."},{"family":"Breuner","given":"Creagh W."},{"family":"Jacobs","given":"Jerry D."},{"family":"Lynn","given":"Sharon"},{"family":"Ramenofsky","given":"Marilyn"},{"family":"Richardson","given":"Ralph D."}],"issued":{"date-parts":[["1998",2]]}}}],"schema":"https://github.com/citation-style-language/schema/raw/master/csl-citation.json"} </w:instrText>
      </w:r>
      <w:r w:rsidR="00CB5942">
        <w:rPr>
          <w:rFonts w:ascii="Garamond" w:hAnsi="Garamond"/>
        </w:rPr>
        <w:fldChar w:fldCharType="separate"/>
      </w:r>
      <w:r w:rsidR="00416F57">
        <w:rPr>
          <w:rFonts w:ascii="Garamond" w:hAnsi="Garamond" w:cs="Times New Roman"/>
        </w:rPr>
        <w:t>(Monaghan, 2014; Sapolsky et al., 2000; Wingfield et al., 1998)</w:t>
      </w:r>
      <w:r w:rsidR="00CB5942">
        <w:rPr>
          <w:rFonts w:ascii="Garamond" w:hAnsi="Garamond"/>
        </w:rPr>
        <w:fldChar w:fldCharType="end"/>
      </w:r>
      <w:r w:rsidR="00CB5942">
        <w:rPr>
          <w:rFonts w:ascii="Garamond" w:hAnsi="Garamond"/>
        </w:rPr>
        <w:t>.</w:t>
      </w:r>
      <w:r w:rsidR="00A56CE6">
        <w:rPr>
          <w:rFonts w:ascii="Garamond" w:hAnsi="Garamond"/>
        </w:rPr>
        <w:t xml:space="preserve"> </w:t>
      </w:r>
      <w:r w:rsidR="008E7C27">
        <w:rPr>
          <w:rFonts w:ascii="Garamond" w:hAnsi="Garamond"/>
        </w:rPr>
        <w:t xml:space="preserve">Social status can interact with the stress response in both positive and negative ways. Social bonds between high-ranking individuals can reduce glucocorticoid levels in the face of </w:t>
      </w:r>
      <w:r w:rsidR="007C5456">
        <w:rPr>
          <w:rFonts w:ascii="Garamond" w:hAnsi="Garamond"/>
        </w:rPr>
        <w:t>stressors</w:t>
      </w:r>
      <w:r w:rsidR="008E7C27">
        <w:rPr>
          <w:rFonts w:ascii="Garamond" w:hAnsi="Garamond"/>
        </w:rPr>
        <w:t xml:space="preserve"> </w:t>
      </w:r>
      <w:r w:rsidR="008E7C27">
        <w:rPr>
          <w:rFonts w:ascii="Garamond" w:hAnsi="Garamond"/>
        </w:rPr>
        <w:fldChar w:fldCharType="begin"/>
      </w:r>
      <w:r w:rsidR="008E7C27">
        <w:rPr>
          <w:rFonts w:ascii="Garamond" w:hAnsi="Garamond"/>
        </w:rPr>
        <w:instrText xml:space="preserve"> ADDIN ZOTERO_ITEM CSL_CITATION {"citationID":"i35SY9OQ","properties":{"formattedCitation":"(Engh et al., 2006; Young et al., 2014)","plainCitation":"(Engh et al., 2006; Young et al., 2014)","noteIndex":0},"citationItems":[{"id":5608,"uris":["http://zotero.org/users/5430941/items/4L9JNJKB"],"itemData":{"id":5608,"type":"article-journal","abstract":"In humans, bereavement is associated with an increase in glucocorticoid (GC) levels, though this increase can be mitigated by social support. We examined faecal GC levels and grooming behaviour of free-ranging female baboons to determine whether similar effects were also evident in a non-human species. Females who lost a close relative experienced a significant increase in GC levels in the weeks following their relative's death compared with the weeks before, whereas control females showed no such increase. Despite the fact that females concentrate much of their grooming on close kin, females who lost a close female relative did not experience a decrease in grooming rate and number of grooming partners; instead, both grooming rate and number of grooming partners increased after a relative's death. While the death of a close relative was clearly stressful over the short term, females appeared to compensate for this loss by broadening and strengthening their grooming networks. Perhaps as a result, females' GC levels soon returned to baseline. Even in the presence of familiar troop-mates and other relatives, females experienced a stress response when they lost specific companions, and they apparently sought to alleviate it by broadening and strengthening their social relationships.","container-title":"Proceedings of the Royal Society B: Biological Sciences","DOI":"10.1098/rspb.2005.3378","issue":"1587","note":"publisher: Royal Society","page":"707-712","source":"royalsocietypublishing.org (Atypon)","title":"Behavioural and hormonal responses to predation in female chacma baboons (Papio hamadryas ursinus)","volume":"273","author":[{"family":"Engh","given":"Anne L"},{"family":"Beehner","given":"Jacinta C"},{"family":"Bergman","given":"Thore J"},{"family":"Whitten","given":"Patricia L"},{"family":"Hoffmeier","given":"Rebekah R"},{"family":"Seyfarth","given":"Robert M"},{"family":"Cheney","given":"Dorothy L"}],"issued":{"date-parts":[["2006",3,22]]}}},{"id":5779,"uris":["http://zotero.org/users/5430941/items/LRJDUE2E"],"itemData":{"id":5779,"type":"article-journal","abstract":"In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(Engh et al., 2006; Young et al., 2014)</w:t>
      </w:r>
      <w:r w:rsidR="008E7C27">
        <w:rPr>
          <w:rFonts w:ascii="Garamond" w:hAnsi="Garamond"/>
        </w:rPr>
        <w:fldChar w:fldCharType="end"/>
      </w:r>
      <w:r w:rsidR="008E7C27">
        <w:rPr>
          <w:rFonts w:ascii="Garamond" w:hAnsi="Garamond"/>
        </w:rPr>
        <w:t>.</w:t>
      </w:r>
      <w:r w:rsidR="008E7C27" w:rsidRPr="00CB5942">
        <w:rPr>
          <w:rFonts w:ascii="Garamond" w:hAnsi="Garamond"/>
        </w:rPr>
        <w:t xml:space="preserve"> </w:t>
      </w:r>
      <w:r w:rsidR="008E7C27">
        <w:rPr>
          <w:rFonts w:ascii="Garamond" w:hAnsi="Garamond"/>
        </w:rPr>
        <w:t xml:space="preserve">For instance, male </w:t>
      </w:r>
      <w:r w:rsidR="008E7C27" w:rsidRPr="00CA0286">
        <w:rPr>
          <w:rFonts w:ascii="Garamond" w:hAnsi="Garamond"/>
        </w:rPr>
        <w:t>Barbary macaques (</w:t>
      </w:r>
      <w:r w:rsidR="008E7C27" w:rsidRPr="00CA0286">
        <w:rPr>
          <w:rFonts w:ascii="Garamond" w:hAnsi="Garamond"/>
          <w:i/>
          <w:iCs/>
        </w:rPr>
        <w:t xml:space="preserve">Macaca </w:t>
      </w:r>
      <w:proofErr w:type="spellStart"/>
      <w:r w:rsidR="008E7C27" w:rsidRPr="00CA0286">
        <w:rPr>
          <w:rFonts w:ascii="Garamond" w:hAnsi="Garamond"/>
          <w:i/>
          <w:iCs/>
        </w:rPr>
        <w:t>sylvanus</w:t>
      </w:r>
      <w:proofErr w:type="spellEnd"/>
      <w:r w:rsidR="008E7C27" w:rsidRPr="00CA0286">
        <w:rPr>
          <w:rFonts w:ascii="Garamond" w:hAnsi="Garamond"/>
        </w:rPr>
        <w:t>)</w:t>
      </w:r>
      <w:r w:rsidR="008E7C27">
        <w:rPr>
          <w:rFonts w:ascii="Garamond" w:hAnsi="Garamond"/>
        </w:rPr>
        <w:t xml:space="preserve"> with strong social bonds had lower fecal glucocorticoid levels in response to social stressors (aggressive encounters) as well as environmental stressors (cold temperatures) </w:t>
      </w:r>
      <w:r w:rsidR="008E7C27">
        <w:rPr>
          <w:rFonts w:ascii="Garamond" w:hAnsi="Garamond"/>
        </w:rPr>
        <w:fldChar w:fldCharType="begin"/>
      </w:r>
      <w:r w:rsidR="008E7C27">
        <w:rPr>
          <w:rFonts w:ascii="Garamond" w:hAnsi="Garamond"/>
        </w:rPr>
        <w:instrText xml:space="preserve"> ADDIN ZOTERO_ITEM CSL_CITATION {"citationID":"jeVd1Ky5","properties":{"formattedCitation":"(Young et al., 2014)","plainCitation":"(Young et al., 2014)","noteIndex":0},"citationItems":[{"id":5779,"uris":["http://zotero.org/users/5430941/items/LRJDUE2E"],"itemData":{"id":5779,"type":"article-journal","abstract":"In humans and obligatory social animals, individuals with weak social ties experience negative health and fitness consequences. The social buffering hypothesis conceptualizes one possible mediating mechanism: During stressful situations the presence of close social partners buffers against the adverse effects of increased physiological stress levels. We tested this hypothesis using data on social (rate of aggression received) and environmental (low temperatures) stressors in wild male Barbary macaques (Macaca sylvanus) in Morocco. These males form strong, enduring, and equitable affiliative relationships similar to human friendships. We tested the effect of the strength of a male’s top three social bonds on his fecal glucocorticoid metabolite (fGCM) levels as a function of the stressors’ intensity. The attenuating effect of stronger social bonds on physiological stress increased both with increasing rates of aggression received and with decreasing minimum daily temperature. Ruling out thermoregulatory and immediate effects of social interactions on fGCM levels, our results indicate that male Barbary macaques employ a tend-and-befriend coping strategy in the face of increased environmental as well as social day-to-day stressors. This evidence of a stress-ameliorating effect of social bonding among males under natural conditions and beyond the mother–offspring, kin or pair bond broadens the generality of the social buffering hypothesis.","container-title":"Proceedings of the National Academy of Sciences","DOI":"10.1073/pnas.1411450111","issue":"51","note":"publisher: Proceedings of the National Academy of Sciences","page":"18195-18200","source":"www-pnas-org.ezproxy3.library.arizona.edu (Atypon)","title":"Responses to social and environmental stress are attenuated by strong male bonds in wild macaques","volume":"111","author":[{"family":"Young","given":"Christopher"},{"family":"Majolo","given":"Bonaventura"},{"family":"Heistermann","given":"Michael"},{"family":"Schülke","given":"Oliver"},{"family":"Ostner","given":"Julia"}],"issued":{"date-parts":[["2014",12,23]]}}}],"schema":"https://github.com/citation-style-language/schema/raw/master/csl-citation.json"} </w:instrText>
      </w:r>
      <w:r w:rsidR="008E7C27">
        <w:rPr>
          <w:rFonts w:ascii="Garamond" w:hAnsi="Garamond"/>
        </w:rPr>
        <w:fldChar w:fldCharType="separate"/>
      </w:r>
      <w:r w:rsidR="008E7C27">
        <w:rPr>
          <w:rFonts w:ascii="Garamond" w:hAnsi="Garamond"/>
          <w:noProof/>
        </w:rPr>
        <w:t>(Young et al., 2014)</w:t>
      </w:r>
      <w:r w:rsidR="008E7C27">
        <w:rPr>
          <w:rFonts w:ascii="Garamond" w:hAnsi="Garamond"/>
        </w:rPr>
        <w:fldChar w:fldCharType="end"/>
      </w:r>
      <w:r w:rsidR="008E7C27">
        <w:rPr>
          <w:rFonts w:ascii="Garamond" w:hAnsi="Garamond"/>
        </w:rPr>
        <w:t>. On the other hand, l</w:t>
      </w:r>
      <w:r w:rsidR="00F529C2">
        <w:rPr>
          <w:rFonts w:ascii="Garamond" w:hAnsi="Garamond"/>
        </w:rPr>
        <w:t>ow status individuals</w:t>
      </w:r>
      <w:r w:rsidR="004D63CC">
        <w:rPr>
          <w:rFonts w:ascii="Garamond" w:hAnsi="Garamond"/>
        </w:rPr>
        <w:t xml:space="preserve"> may </w:t>
      </w:r>
      <w:r w:rsidR="009373F8">
        <w:rPr>
          <w:rFonts w:ascii="Garamond" w:hAnsi="Garamond"/>
        </w:rPr>
        <w:t>receive frequent antagonistic attacks from conspecifics, leading to</w:t>
      </w:r>
      <w:r w:rsidR="00C22D9C">
        <w:rPr>
          <w:rFonts w:ascii="Garamond" w:hAnsi="Garamond"/>
        </w:rPr>
        <w:t xml:space="preserve"> </w:t>
      </w:r>
      <w:r w:rsidR="00F44FF3">
        <w:rPr>
          <w:rFonts w:ascii="Garamond" w:hAnsi="Garamond"/>
        </w:rPr>
        <w:t xml:space="preserve">negative </w:t>
      </w:r>
      <w:r w:rsidR="00BE55C8">
        <w:rPr>
          <w:rFonts w:ascii="Garamond" w:hAnsi="Garamond"/>
        </w:rPr>
        <w:t>effects</w:t>
      </w:r>
      <w:r w:rsidR="00F44FF3">
        <w:rPr>
          <w:rFonts w:ascii="Garamond" w:hAnsi="Garamond"/>
        </w:rPr>
        <w:t xml:space="preserve"> of </w:t>
      </w:r>
      <w:r w:rsidR="008E7C27">
        <w:rPr>
          <w:rFonts w:ascii="Garamond" w:hAnsi="Garamond"/>
        </w:rPr>
        <w:t>chronic</w:t>
      </w:r>
      <w:r w:rsidR="00CE52FE">
        <w:rPr>
          <w:rFonts w:ascii="Garamond" w:hAnsi="Garamond"/>
        </w:rPr>
        <w:t>ally elevated glucocorticoid levels</w:t>
      </w:r>
      <w:r w:rsidR="009373F8">
        <w:rPr>
          <w:rFonts w:ascii="Garamond" w:hAnsi="Garamond"/>
        </w:rPr>
        <w:t xml:space="preserve"> </w:t>
      </w:r>
      <w:r w:rsidR="00CB5942">
        <w:rPr>
          <w:rFonts w:ascii="Garamond" w:hAnsi="Garamond"/>
        </w:rPr>
        <w:fldChar w:fldCharType="begin"/>
      </w:r>
      <w:r w:rsidR="00CE52FE">
        <w:rPr>
          <w:rFonts w:ascii="Garamond" w:hAnsi="Garamond"/>
        </w:rPr>
        <w:instrText xml:space="preserve"> ADDIN ZOTERO_ITEM CSL_CITATION {"citationID":"Y2euf0De","properties":{"formattedCitation":"(Korte et al., 2005; Snyder-Mackler et al., 2019)","plainCitation":"(Korte et al., 2005; Snyder-Mackler et al., 2019)","noteIndex":0},"citationItems":[{"id":5840,"uris":["http://zotero.org/users/5430941/items/X5Y783M4"],"itemData":{"id":5840,"type":"article-journal","abstract":"Why do we get the stress-related diseases we do? Why do some people have flare ups of autoimmune disease, whereas others suffer from melancholic depression during a stressful period in their life? In the present review possible explanations will be given by using different levels of analysis. First, we explain in evolutionary terms why different organisms adopt different behavioral strategies to cope with stress. It has become clear that natural selection maintains a balance of different traits preserving genes for high aggression (Hawks) and low aggression (Doves) within a population. The existence of these personality types (Hawks–Doves) is widespread in the animal kingdom, not only between males and females but also within the same gender across species. Second, proximate (causal) explanations are given for the different stress responses and how they work. Hawks and Doves differ in underlying physiology and these differences are associated with their respective behavioral strategies; for example, bold Hawks preferentially adopt the fight–flight response when establishing a new territory or defending an existing territory, while cautious Doves show the freeze–hide response to adapt to threats in their environment. Thus, adaptive processes that actively maintain stability through change (allostasis) depend on the personality type and the associated stress responses. Third, we describe how the expression of the various stress responses can result in specific benefits to the organism. Fourth, we discuss how the benefits of allostasis and the costs of adaptation (allostatic load) lead to different trade-offs in health and disease, thereby reinforcing a Darwinian concept of stress. Collectively, this provides some explanation of why individuals may differ in their vulnerability to different stress-related diseases and how this relates to the range of personality types, especially aggressive Hawks and non-aggressive Doves in a population. A conceptual framework is presented showing that Hawks, due to inefficient management of mediators of allostasis, are more likely to be violent, to develop impulse control disorders, hypertension, cardiac arrhythmias, sudden death, atypical depression, chronic fatigue states and inflammation. In contrast, Doves, due to the greater release of mediators of allostasis (surplus), are more susceptible to anxiety disorders, metabolic syndromes, melancholic depression, psychotic states and infection.","collection-title":"Individual differences in behavior and physiology; causes and consequences","container-title":"Neuroscience &amp; Biobehavioral Reviews","DOI":"10.1016/j.neubiorev.2004.08.009","ISSN":"0149-7634","issue":"1","journalAbbreviation":"Neuroscience &amp; Biobehavioral Reviews","language":"en","page":"3-38","source":"ScienceDirect","title":"The Darwinian concept of stress: benefits of allostasis and costs of allostatic load and the trade-offs in health and disease","title-short":"The Darwinian concept of stress","volume":"29","author":[{"family":"Korte","given":"S. Mechiel"},{"family":"Koolhaas","given":"Jaap M."},{"family":"Wingfield","given":"John C."},{"family":"McEwen","given":"Bruce S."}],"issued":{"date-parts":[["2005",2,1]]}}},{"id":5805,"uris":["http://zotero.org/users/5430941/items/N6ASBQW9"],"itemData":{"id":5805,"type":"article-journal","abstract":"Low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B5942">
        <w:rPr>
          <w:rFonts w:ascii="Garamond" w:hAnsi="Garamond"/>
        </w:rPr>
        <w:fldChar w:fldCharType="separate"/>
      </w:r>
      <w:r w:rsidR="00CE52FE">
        <w:rPr>
          <w:rFonts w:ascii="Garamond" w:hAnsi="Garamond"/>
          <w:noProof/>
        </w:rPr>
        <w:t>(Korte et al., 2005; Snyder-Mackler et al., 2019)</w:t>
      </w:r>
      <w:r w:rsidR="00CB5942">
        <w:rPr>
          <w:rFonts w:ascii="Garamond" w:hAnsi="Garamond"/>
        </w:rPr>
        <w:fldChar w:fldCharType="end"/>
      </w:r>
      <w:r w:rsidR="00CB5942">
        <w:rPr>
          <w:rFonts w:ascii="Garamond" w:hAnsi="Garamond"/>
        </w:rPr>
        <w:t>.</w:t>
      </w:r>
    </w:p>
    <w:p w14:paraId="6F4CEC15" w14:textId="4289A0B5" w:rsidR="00E46E7D" w:rsidRDefault="00A07FDF" w:rsidP="00195B17">
      <w:pPr>
        <w:ind w:firstLine="720"/>
        <w:rPr>
          <w:rFonts w:ascii="Garamond" w:hAnsi="Garamond"/>
        </w:rPr>
      </w:pPr>
      <w:r>
        <w:rPr>
          <w:rFonts w:ascii="Garamond" w:hAnsi="Garamond"/>
        </w:rPr>
        <w:lastRenderedPageBreak/>
        <w:t xml:space="preserve">Epigenetic changes to genes involved in the HPA axis </w:t>
      </w:r>
      <w:r w:rsidR="009434CF">
        <w:rPr>
          <w:rFonts w:ascii="Garamond" w:hAnsi="Garamond"/>
        </w:rPr>
        <w:t>may</w:t>
      </w:r>
      <w:r>
        <w:rPr>
          <w:rFonts w:ascii="Garamond" w:hAnsi="Garamond"/>
        </w:rPr>
        <w:t xml:space="preserve"> underlie the connection between </w:t>
      </w:r>
      <w:r w:rsidR="009434CF">
        <w:rPr>
          <w:rFonts w:ascii="Garamond" w:hAnsi="Garamond"/>
        </w:rPr>
        <w:t xml:space="preserve">the social environment </w:t>
      </w:r>
      <w:r>
        <w:rPr>
          <w:rFonts w:ascii="Garamond" w:hAnsi="Garamond"/>
        </w:rPr>
        <w:t xml:space="preserve">and </w:t>
      </w:r>
      <w:r w:rsidR="009434CF">
        <w:rPr>
          <w:rFonts w:ascii="Garamond" w:hAnsi="Garamond"/>
        </w:rPr>
        <w:t xml:space="preserve">stress-related </w:t>
      </w:r>
      <w:r w:rsidR="003A6D17">
        <w:rPr>
          <w:rFonts w:ascii="Garamond" w:hAnsi="Garamond"/>
        </w:rPr>
        <w:t>phenotypes</w:t>
      </w:r>
      <w:r>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{"citationID":"9Mr4zZYn","properties":{"formattedCitation":"(Lee &amp; Sawa, 2014; Snyder-Mackler et al., 2019; Turecki &amp; Meaney, 2016)","plainCitation":"(Lee &amp; Sawa, 2014; Snyder-Mackler et al., 2019; Turecki &amp; Meaney, 2016)","noteIndex":0},"citationItems":[{"id":5801,"uris":["http://zotero.org/users/5430941/items/596UG6FQ"],"itemData":{"id":5801,"type":"article-journal","abstract":"In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Pr>
          <w:rFonts w:ascii="Garamond" w:hAnsi="Garamond"/>
        </w:rPr>
        <w:fldChar w:fldCharType="separate"/>
      </w:r>
      <w:r w:rsidR="00416F57">
        <w:rPr>
          <w:rFonts w:ascii="Garamond" w:hAnsi="Garamond"/>
          <w:noProof/>
        </w:rPr>
        <w:t>(Lee &amp; Sawa, 2014; Snyder-Mackler et al., 2019; Turecki &amp; Meaney, 2016)</w:t>
      </w:r>
      <w:r>
        <w:rPr>
          <w:rFonts w:ascii="Garamond" w:hAnsi="Garamond"/>
        </w:rPr>
        <w:fldChar w:fldCharType="end"/>
      </w:r>
      <w:r>
        <w:rPr>
          <w:rFonts w:ascii="Garamond" w:hAnsi="Garamond"/>
        </w:rPr>
        <w:t xml:space="preserve">. Epigenetic modifications, </w:t>
      </w:r>
      <w:r w:rsidR="007C4D43">
        <w:rPr>
          <w:rFonts w:ascii="Garamond" w:hAnsi="Garamond"/>
        </w:rPr>
        <w:t>such as DNA methylation</w:t>
      </w:r>
      <w:r>
        <w:rPr>
          <w:rFonts w:ascii="Garamond" w:hAnsi="Garamond"/>
        </w:rPr>
        <w:t>, are sensitive to the environment and can affect DNA expression and physiology</w:t>
      </w:r>
      <w:r w:rsidR="0009497C">
        <w:rPr>
          <w:rFonts w:ascii="Garamond" w:hAnsi="Garamond"/>
        </w:rPr>
        <w:t xml:space="preserve"> </w:t>
      </w:r>
      <w:r>
        <w:rPr>
          <w:rFonts w:ascii="Garamond" w:hAnsi="Garamond"/>
        </w:rPr>
        <w:fldChar w:fldCharType="begin"/>
      </w:r>
      <w:r w:rsidR="00416F57">
        <w:rPr>
          <w:rFonts w:ascii="Garamond" w:hAnsi="Garamond"/>
        </w:rPr>
        <w:instrText xml:space="preserve"> ADDIN ZOTERO_ITEM CSL_CITATION {"citationID":"4t7SoALh","properties":{"formattedCitation":"(Sotnikov &amp; Markt, 2014)","plainCitation":"(Sotnikov &amp; Markt, 2014)","noteIndex":0},"citationItems":[{"id":5772,"uris":["http://zotero.org/users/5430941/items/KCLPPMM7"],"itemData":{"id":5772,"type":"article-journal","container-title":"Receptors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Pr>
          <w:rFonts w:ascii="Garamond" w:hAnsi="Garamond"/>
        </w:rPr>
        <w:fldChar w:fldCharType="separate"/>
      </w:r>
      <w:r w:rsidR="00416F57">
        <w:rPr>
          <w:rFonts w:ascii="Garamond" w:hAnsi="Garamond"/>
          <w:noProof/>
        </w:rPr>
        <w:t>(Sotnikov &amp; Markt, 2014)</w:t>
      </w:r>
      <w:r>
        <w:rPr>
          <w:rFonts w:ascii="Garamond" w:hAnsi="Garamond"/>
        </w:rPr>
        <w:fldChar w:fldCharType="end"/>
      </w:r>
      <w:r>
        <w:rPr>
          <w:rFonts w:ascii="Garamond" w:hAnsi="Garamond"/>
        </w:rPr>
        <w:t xml:space="preserve">. </w:t>
      </w:r>
      <w:r w:rsidR="00B0664E">
        <w:rPr>
          <w:rFonts w:ascii="Garamond" w:hAnsi="Garamond"/>
        </w:rPr>
        <w:t xml:space="preserve">A </w:t>
      </w:r>
      <w:r w:rsidR="00C75E20">
        <w:rPr>
          <w:rFonts w:ascii="Garamond" w:hAnsi="Garamond"/>
        </w:rPr>
        <w:t>robust</w:t>
      </w:r>
      <w:r w:rsidR="003F0E9E">
        <w:rPr>
          <w:rFonts w:ascii="Garamond" w:hAnsi="Garamond"/>
        </w:rPr>
        <w:t xml:space="preserve"> body</w:t>
      </w:r>
      <w:r w:rsidR="00B0664E">
        <w:rPr>
          <w:rFonts w:ascii="Garamond" w:hAnsi="Garamond"/>
        </w:rPr>
        <w:t xml:space="preserve"> of literature </w:t>
      </w:r>
      <w:r w:rsidR="0066105F">
        <w:rPr>
          <w:rFonts w:ascii="Garamond" w:hAnsi="Garamond"/>
        </w:rPr>
        <w:t xml:space="preserve">from primates and </w:t>
      </w:r>
      <w:r w:rsidR="00502A99">
        <w:rPr>
          <w:rFonts w:ascii="Garamond" w:hAnsi="Garamond"/>
        </w:rPr>
        <w:t>lab rodents</w:t>
      </w:r>
      <w:r w:rsidR="0066105F">
        <w:rPr>
          <w:rFonts w:ascii="Garamond" w:hAnsi="Garamond"/>
        </w:rPr>
        <w:t xml:space="preserve"> </w:t>
      </w:r>
      <w:r w:rsidR="00B0664E">
        <w:rPr>
          <w:rFonts w:ascii="Garamond" w:hAnsi="Garamond"/>
        </w:rPr>
        <w:t>demonstrates</w:t>
      </w:r>
      <w:r>
        <w:rPr>
          <w:rFonts w:ascii="Garamond" w:hAnsi="Garamond"/>
        </w:rPr>
        <w:t xml:space="preserve"> that environmental stressors may cause persistent changes in the function of genes </w:t>
      </w:r>
      <w:r w:rsidR="0009497C">
        <w:rPr>
          <w:rFonts w:ascii="Garamond" w:hAnsi="Garamond"/>
        </w:rPr>
        <w:t>involved</w:t>
      </w:r>
      <w:r>
        <w:rPr>
          <w:rFonts w:ascii="Garamond" w:hAnsi="Garamond"/>
        </w:rPr>
        <w:t xml:space="preserve"> with the stress response</w:t>
      </w:r>
      <w:r w:rsidR="007C4D43">
        <w:rPr>
          <w:rFonts w:ascii="Garamond" w:hAnsi="Garamond"/>
        </w:rPr>
        <w:t xml:space="preserve"> </w:t>
      </w:r>
      <w:r w:rsidR="007C4D43">
        <w:rPr>
          <w:rFonts w:ascii="Garamond" w:hAnsi="Garamond"/>
        </w:rPr>
        <w:fldChar w:fldCharType="begin"/>
      </w:r>
      <w:r w:rsidR="00416F57">
        <w:rPr>
          <w:rFonts w:ascii="Garamond" w:hAnsi="Garamond"/>
        </w:rPr>
        <w:instrText xml:space="preserve"> ADDIN ZOTERO_ITEM CSL_CITATION {"citationID":"IZp1NeH7","properties":{"formattedCitation":"(Schartner et al., 2017; Turecki &amp; Meaney, 2016)","plainCitation":"(Schartner et al., 2017; Turecki &amp; Meaney, 2016)","noteIndex":0},"citationItems":[{"id":5768,"uris":["http://zotero.org/users/5430941/items/IHPUNF3P"],"itemData":{"id":5768,"type":"article-journal","container-title":"European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5815,"uris":["http://zotero.org/users/5430941/items/GVAMJP43"],"itemData":{"id":5815,"type":"article-journal","abstract":"The early-life social environment can induce stable changes that influence neurodevelopment and mental health. Research focused on early-life adversity revealed that early-life experiences have a persistent impact on gene expression and behavior through epigenetic mechanisms. The hypothalamus-pituitary-adrenal axis is sensitive to changes in the early-life environment that associate with DNA methylation of a neuron-specific exon 17 promoter of the glucocorticoid receptor (GR) (Nr3c1). Since initial findings were published in 2004, numerous reports have investigated GR gene methylation in relationship to early-life experience, parental stress, and psychopathology. We conducted a systematic review of this growing literature, which identified 40 articles (13 animal and 27 human studies) published since 2004. The majority of these examined the GR exon variant 1F in humans or the GR17 in rats, and 89% of human studies and 70% of animal studies of early-life adversity reported increased methylation at this exon variant. All the studies investigating exon 1F/17 methylation in conditions of parental stress (one animal study and seven human studies) also reported increased methylation. Studies examining psychosocial stress and psychopathology had less consistent results, with 67% of animal studies reporting increased exon 17 methylation and 17% of human studies reporting increased exon 1F methylation. We found great consistency among studies investigating early-life adversity and the effect of parental stress, even if the precise phenotype and measures of social environment adversity varied among studies. These results are encouraging and warrant further investigation to better understand correlates and characteristics of these associations.","collection-title":"Borderline Personality Disorder: Mechanisms of Emotion Dysregulation","container-title":"Biological Psychiatry","DOI":"10.1016/j.biopsych.2014.11.022","ISSN":"0006-3223","issue":"2","journalAbbreviation":"Biological Psychiatry","language":"en","page":"87-96","source":"ScienceDirect","title":"Effects of the social environment and stress on glucocorticoid receptor gene methylation: A systematic review","title-short":"Effects of the Social Environment and Stress on Glucocorticoid Receptor Gene Methylation","volume":"79","author":[{"family":"Turecki","given":"Gustavo"},{"family":"Meaney","given":"Michael J."}],"issued":{"date-parts":[["2016",1,15]]}}}],"schema":"https://github.com/citation-style-language/schema/raw/master/csl-citation.json"} </w:instrText>
      </w:r>
      <w:r w:rsidR="007C4D43">
        <w:rPr>
          <w:rFonts w:ascii="Garamond" w:hAnsi="Garamond"/>
        </w:rPr>
        <w:fldChar w:fldCharType="separate"/>
      </w:r>
      <w:r w:rsidR="00416F57">
        <w:rPr>
          <w:rFonts w:ascii="Garamond" w:hAnsi="Garamond"/>
          <w:noProof/>
        </w:rPr>
        <w:t>(Schartner et al., 2017; Turecki &amp; Meaney, 2016)</w:t>
      </w:r>
      <w:r w:rsidR="007C4D43">
        <w:rPr>
          <w:rFonts w:ascii="Garamond" w:hAnsi="Garamond"/>
        </w:rPr>
        <w:fldChar w:fldCharType="end"/>
      </w:r>
      <w:r>
        <w:rPr>
          <w:rFonts w:ascii="Garamond" w:hAnsi="Garamond"/>
        </w:rPr>
        <w:t xml:space="preserve">. For instance, one study found that prenatal trauma exposure in mice led to changes in methylation of two genes in the stress axis, which were accompanied by changes in mRNA levels, corticosterone levels, and behavior </w:t>
      </w:r>
      <w:r>
        <w:rPr>
          <w:rFonts w:ascii="Garamond" w:hAnsi="Garamond"/>
        </w:rPr>
        <w:fldChar w:fldCharType="begin"/>
      </w:r>
      <w:r w:rsidR="00416F57">
        <w:rPr>
          <w:rFonts w:ascii="Garamond" w:hAnsi="Garamond"/>
        </w:rPr>
        <w:instrText xml:space="preserve"> ADDIN ZOTERO_ITEM CSL_CITATION {"citationID":"cPxZEEmk","properties":{"formattedCitation":"(Plank et al., 2021)","plainCitation":"(Plank et al., 2021)","noteIndex":0},"citationItems":[{"id":5771,"uris":["http://zotero.org/users/5430941/items/WXIAT6UP"],"itemData":{"id":5771,"type":"article-journal","abstract":"In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H."},{"family":"Golub","given":"Yulia"}],"issued":{"date-parts":[["2021",3,23]]}}}],"schema":"https://github.com/citation-style-language/schema/raw/master/csl-citation.json"} </w:instrText>
      </w:r>
      <w:r>
        <w:rPr>
          <w:rFonts w:ascii="Garamond" w:hAnsi="Garamond"/>
        </w:rPr>
        <w:fldChar w:fldCharType="separate"/>
      </w:r>
      <w:r w:rsidR="00416F57">
        <w:rPr>
          <w:rFonts w:ascii="Garamond" w:hAnsi="Garamond"/>
          <w:noProof/>
        </w:rPr>
        <w:t>(Plank et al., 2021)</w:t>
      </w:r>
      <w:r>
        <w:rPr>
          <w:rFonts w:ascii="Garamond" w:hAnsi="Garamond"/>
        </w:rPr>
        <w:fldChar w:fldCharType="end"/>
      </w:r>
      <w:r>
        <w:rPr>
          <w:rFonts w:ascii="Garamond" w:hAnsi="Garamond"/>
        </w:rPr>
        <w:t xml:space="preserve">. </w:t>
      </w:r>
      <w:r w:rsidR="00C22D9C">
        <w:rPr>
          <w:rFonts w:ascii="Garamond" w:hAnsi="Garamond"/>
        </w:rPr>
        <w:t xml:space="preserve">Changes in the social environment </w:t>
      </w:r>
      <w:r w:rsidR="00C75E20">
        <w:rPr>
          <w:rFonts w:ascii="Garamond" w:hAnsi="Garamond"/>
        </w:rPr>
        <w:t xml:space="preserve">of primates </w:t>
      </w:r>
      <w:r w:rsidR="00C22D9C">
        <w:rPr>
          <w:rFonts w:ascii="Garamond" w:hAnsi="Garamond"/>
        </w:rPr>
        <w:t xml:space="preserve">can cause changes in chromatin availability and gene expression, leading to dysregulation in the HPA axis and corresponding negative health effects </w:t>
      </w:r>
      <w:r w:rsidR="00C22D9C">
        <w:rPr>
          <w:rFonts w:ascii="Garamond" w:hAnsi="Garamond"/>
        </w:rPr>
        <w:fldChar w:fldCharType="begin"/>
      </w:r>
      <w:r w:rsidR="0000673A">
        <w:rPr>
          <w:rFonts w:ascii="Garamond" w:hAnsi="Garamond"/>
        </w:rPr>
        <w:instrText xml:space="preserve"> ADDIN ZOTERO_ITEM CSL_CITATION {"citationID":"u5W3sFd2","properties":{"formattedCitation":"(Snyder-Mackler et al., 2019)","plainCitation":"(Snyder-Mackler et al., 2019)","noteIndex":0},"citationItems":[{"id":5805,"uris":["http://zotero.org/users/5430941/items/N6ASBQW9"],"itemData":{"id":5805,"type":"article-journal","abstract":"Low social status is an important predictor of disease susceptibility and mortality risk in humans and other social mammals. These effects are thought to stem in part from dysregulation of the glucocorticoid (GC)-mediated stress response. However, the molecular mechanisms that connect low social status and GC dysregulation to downstream health outcomes remain elusive. Here, we used an in vitro GC challenge to investigate the consequences of experimentally manipulated social status (i.e., dominance rank) for immune cell gene regulation in female rhesus macaques, using paired control and GC-treated peripheral blood mononuclear cell samples. We show that social status not only influences immune cell gene expression but also chromatin accessibility at hundreds of regions in the genome. Social status effects on gene expression were less pronounced following GC treatment than under control conditions. In contrast, social status effects on chromatin accessibility were stable across conditions, resulting in an attenuated relationship between social status, chromatin accessibility, and gene expression after GC exposure. Regions that were more accessible in high-status animals and regions that become more accessible following GC treatment were enriched for a highly concordant set of transcription factor binding motifs, including motifs for the GC receptor cofactor AP-1. Together, our findings support the hypothesis that social status alters the dynamics of GC-mediated gene regulation and identify chromatin accessibility as a mechanism involved in social stress-driven GC resistance. More broadly, they emphasize the context-dependent nature of social status effects on gene regulation and implicate epigenetic remodeling of chromatin accessibility as a contributing factor.","container-title":"Proceedings of the National Academy of Sciences","DOI":"10.1073/pnas.1811758115","issue":"4","note":"publisher: Proceedings of the National Academy of Sciences","page":"1219-1228","source":"pnas.org (Atypon)","title":"Social status alters chromatin accessibility and the gene regulatory response to glucocorticoid stimulation in rhesus macaques","volume":"116","author":[{"family":"Snyder-Mackler","given":"Noah"},{"family":"Sanz","given":"Joaquín"},{"family":"Kohn","given":"Jordan N."},{"family":"Voyles","given":"Tawni"},{"family":"Pique-Regi","given":"Roger"},{"family":"Wilson","given":"Mark E."},{"family":"Barreiro","given":"Luis B."},{"family":"Tung","given":"Jenny"}],"issued":{"date-parts":[["2019",1,22]]}}}],"schema":"https://github.com/citation-style-language/schema/raw/master/csl-citation.json"} </w:instrText>
      </w:r>
      <w:r w:rsidR="00C22D9C">
        <w:rPr>
          <w:rFonts w:ascii="Garamond" w:hAnsi="Garamond"/>
        </w:rPr>
        <w:fldChar w:fldCharType="separate"/>
      </w:r>
      <w:r w:rsidR="00C22D9C">
        <w:rPr>
          <w:rFonts w:ascii="Garamond" w:hAnsi="Garamond"/>
          <w:noProof/>
        </w:rPr>
        <w:t>(Snyder-Mackler et al., 2019)</w:t>
      </w:r>
      <w:r w:rsidR="00C22D9C">
        <w:rPr>
          <w:rFonts w:ascii="Garamond" w:hAnsi="Garamond"/>
        </w:rPr>
        <w:fldChar w:fldCharType="end"/>
      </w:r>
      <w:r w:rsidR="00C22D9C">
        <w:rPr>
          <w:rFonts w:ascii="Garamond" w:hAnsi="Garamond"/>
        </w:rPr>
        <w:t>.</w:t>
      </w:r>
    </w:p>
    <w:p w14:paraId="164C55B2" w14:textId="46C33C03" w:rsidR="00B10FCB" w:rsidRDefault="00502A99" w:rsidP="00F46390">
      <w:pPr>
        <w:ind w:firstLine="720"/>
        <w:rPr>
          <w:rFonts w:ascii="Garamond" w:hAnsi="Garamond"/>
        </w:rPr>
      </w:pPr>
      <w:r>
        <w:rPr>
          <w:rFonts w:ascii="Garamond" w:hAnsi="Garamond"/>
        </w:rPr>
        <w:t>Many bird species are highly social; however,</w:t>
      </w:r>
      <w:r w:rsidR="00B10FCB">
        <w:rPr>
          <w:rFonts w:ascii="Garamond" w:hAnsi="Garamond"/>
        </w:rPr>
        <w:t xml:space="preserve"> the epigenetic signatures of their social landscape have not been well studied. </w:t>
      </w:r>
      <w:r w:rsidR="00F46390">
        <w:rPr>
          <w:rFonts w:ascii="Garamond" w:hAnsi="Garamond"/>
        </w:rPr>
        <w:t>A recent study found that increased competition in tree swallows (</w:t>
      </w:r>
      <w:proofErr w:type="spellStart"/>
      <w:r w:rsidR="00F46390">
        <w:rPr>
          <w:rFonts w:ascii="Garamond" w:hAnsi="Garamond"/>
          <w:i/>
          <w:iCs/>
        </w:rPr>
        <w:t>Tachycineta</w:t>
      </w:r>
      <w:proofErr w:type="spellEnd"/>
      <w:r w:rsidR="00F46390">
        <w:rPr>
          <w:rFonts w:ascii="Garamond" w:hAnsi="Garamond"/>
          <w:i/>
          <w:iCs/>
        </w:rPr>
        <w:t xml:space="preserve"> bicolor</w:t>
      </w:r>
      <w:r w:rsidR="00F46390">
        <w:rPr>
          <w:rFonts w:ascii="Garamond" w:hAnsi="Garamond"/>
        </w:rPr>
        <w:t>) has epigenetic and transcriptomic effects in brain tissue</w:t>
      </w:r>
      <w:r w:rsidR="00CC3773">
        <w:rPr>
          <w:rFonts w:ascii="Garamond" w:hAnsi="Garamond"/>
        </w:rPr>
        <w:t xml:space="preserve"> after just two days</w:t>
      </w:r>
      <w:r w:rsidR="00F46390">
        <w:rPr>
          <w:rFonts w:ascii="Garamond" w:hAnsi="Garamond"/>
        </w:rPr>
        <w:t xml:space="preserve"> </w:t>
      </w:r>
      <w:r w:rsidR="00F46390">
        <w:rPr>
          <w:rFonts w:ascii="Garamond" w:hAnsi="Garamond"/>
        </w:rPr>
        <w:fldChar w:fldCharType="begin"/>
      </w:r>
      <w:r w:rsidR="00F46390">
        <w:rPr>
          <w:rFonts w:ascii="Garamond" w:hAnsi="Garamond"/>
        </w:rPr>
        <w:instrText xml:space="preserve"> ADDIN ZOTERO_ITEM CSL_CITATION {"citationID":"3R9Mm9ss","properties":{"formattedCitation":"(Bentz et al., 2021)","plainCitation":"(Bentz et al., 2021)","noteIndex":0},"citationItems":[{"id":5842,"uris":["http://zotero.org/users/5430941/items/G5Z6YRJS"],"itemData":{"id":5842,"type":"article-journal","abstract":"Periods of social instability can elicit adaptive phenotypic plasticity to promote success in future competition. However, the underlying molecular mechanisms have primarily been studied in captive and laboratory-reared animals, leaving uncertainty as to how natural competition among free-living animals affects gene activity. Here, we experimentally generated social competition among wild, cavity-nesting female birds (tree swallows, Tachycineta bicolor). After territorial settlement, we reduced the availability of key breeding resources (i.e., nest boxes), generating heightened competition; within 24 h we reversed the manipulation, causing aggressive interactions to subside. We sampled females during the peak of competition and 48 h after it ended, along with date-matched controls. We measured transcriptomic and epigenomic responses to competition in two socially relevant brain regions (hypothalamus and ventromedial telencephalon). Gene network analyses suggest that processes related to energy mobilization and aggression (e.g., dopamine synthesis) were up-regulated during competition, the latter of which persisted 2 d after competition had ended. Cellular maintenance processes were also down-regulated after competition. Competition additionally altered methylation patterns, particularly in pathways related to hormonal signaling, suggesting those genes were transcriptionally poised to respond to future competition. Thus, experimental competition among free-living animals shifts gene expression in ways that may facilitate the demands of competition at the expense of self-maintenance. Further, some of these effects persisted after competition ended, demonstrating the potential for epigenetic biological embedding of the social environment in ways that may prime individuals for success in future social instability.","container-title":"Proceedings of the National Academy of Sciences","DOI":"10.1073/pnas.2016154118","issue":"13","note":"publisher: Proceedings of the National Academy of Sciences","page":"e2016154118","source":"pnas.org (Atypon)","title":"Experimental competition induces immediate and lasting effects on the neurogenome in free-living female birds","volume":"118","author":[{"family":"Bentz","given":"Alexandra B."},{"family":"George","given":"Elizabeth M."},{"family":"Wolf","given":"Sarah E."},{"family":"Rusch","given":"Douglas B."},{"family":"Podicheti","given":"Ram"},{"family":"Buechlein","given":"Aaron"},{"family":"Nephew","given":"Kenneth P."},{"family":"Rosvall","given":"Kimberly A."}],"issued":{"date-parts":[["2021",3,30]]}}}],"schema":"https://github.com/citation-style-language/schema/raw/master/csl-citation.json"} </w:instrText>
      </w:r>
      <w:r w:rsidR="00F46390">
        <w:rPr>
          <w:rFonts w:ascii="Garamond" w:hAnsi="Garamond"/>
        </w:rPr>
        <w:fldChar w:fldCharType="separate"/>
      </w:r>
      <w:r w:rsidR="00F46390">
        <w:rPr>
          <w:rFonts w:ascii="Garamond" w:hAnsi="Garamond"/>
          <w:noProof/>
        </w:rPr>
        <w:t>(Bentz et al., 2021)</w:t>
      </w:r>
      <w:r w:rsidR="00F46390">
        <w:rPr>
          <w:rFonts w:ascii="Garamond" w:hAnsi="Garamond"/>
        </w:rPr>
        <w:fldChar w:fldCharType="end"/>
      </w:r>
      <w:r w:rsidR="00F46390">
        <w:rPr>
          <w:rFonts w:ascii="Garamond" w:hAnsi="Garamond"/>
        </w:rPr>
        <w:t xml:space="preserve">. Such changes could underlie documented effects of social interactions on the stress physiology of birds </w:t>
      </w:r>
      <w:r w:rsidR="00F46390">
        <w:rPr>
          <w:rFonts w:ascii="Garamond" w:hAnsi="Garamond"/>
        </w:rPr>
        <w:fldChar w:fldCharType="begin"/>
      </w:r>
      <w:r w:rsidR="00F46390">
        <w:rPr>
          <w:rFonts w:ascii="Garamond" w:hAnsi="Garamond"/>
        </w:rPr>
        <w:instrText xml:space="preserve"> ADDIN ZOTERO_ITEM CSL_CITATION {"citationID":"ttnG5jAq","properties":{"formattedCitation":"(Deviche et al., 2014; Landys et al., 2010; Potticary &amp; Duckworth, 2020)","plainCitation":"(Deviche et al., 2014; Landys et al., 2010; Potticary &amp; Duckworth, 2020)","noteIndex":0},"citationItems":[{"id":5774,"uris":["http://zotero.org/users/5430941/items/7F86AAUG"],"itemData":{"id":5774,"type":"article-journal","abstract":"In many male vertebrates, the secretion of reproductive (gonadal androgens) and adrenocortical (glucocorticoids) hormones varies seasonally and in response to environmental stimuli, and these hormones exert numerous behavioral and metabolic effects. We performed two field studies on adult male Rufous-winged Sparrows, Peucaea carpalis, a Sonoran Desert rain-dependent sedentary species, to (a) determine seasonal changes in initial (baseline) and acute stress-induced plasma testosterone (T), corticosterone (CORT), and two metabolites (uric acid and glucose) and (b) compare the effects of two types of social challenge (song playback or simulated territorial intrusion consisting of song playback plus exposure to a live decoy bird) on plasma T, CORT, these metabolites, and territorial behavior. Initial plasma T was higher during the summer breeding period than during post-breeding molt. Acute stress resulting from capture and restraint for 30min decreased plasma T in breeding condition birds but not in the fall, revealing that this decrease is seasonally regulated. Initial plasma CORT did not change seasonally, but plasma CORT increased in response to acute stress. This increase was likewise seasonally regulated, being relatively smaller during autumnal molt than in the summer. We found no evidence that acute stress levels of CORT are functionally related to stress-depressed plasma T and, therefore, that plasma T decreases during stress as a result of elevated plasma CORT. Thirty minutes of exposure to simulated territorial intrusion resulted in different behavior than 30min of exposure to song playback, with increased time spent near the decoy and decreased number of overhead flights. Neither type of social challenge influenced plasma T, thus offering no support for the hypothesis that plasma T either responds to or mediates the behavioral effects of social challenge. Exposure to both social challenges elevated plasma CORT, but simulated territorial intrusion was more effective in this respect than song playback. Plasma uric acid and glucose decreased during acute stress, but only plasma uric acid decreased during social challenge. Thus, an elevation in plasma CORT was consistently associated with a decrease in plasma uric acid, but not with a change in glycemia. These results enhance our understanding of the short-term relationships between T, CORT, and avian territorial behavior. They provide novel information on the endocrine effects of acute stress, in particular on plasma T, in free-ranging birds, and are among the first in these birds to link these effects to metabolic changes.","collection-title":"2nd Meeting of The North American Society for Comparative Endocrinology","container-title":"General and Comparative Endocrinology","DOI":"10.1016/j.ygcen.2014.01.010","ISSN":"0016-6480","journalAbbreviation":"General and Comparative Endocrinology","language":"en","page":"120-131","source":"ScienceDirect","title":"Regulation of plasma testosterone, corticosterone, and metabolites in response to stress, reproductive stage, and social challenges in a desert male songbird","volume":"203","author":[{"family":"Deviche","given":"Pierre"},{"family":"Beouche-Helias","given":"Benjamin"},{"family":"Davies","given":"Scott"},{"family":"Gao","given":"Sisi"},{"family":"Lane","given":"Samuel"},{"family":"Valle","given":"Shelley"}],"issued":{"date-parts":[["2014",7,1]]}}},{"id":5775,"uris":["http://zotero.org/users/5430941/items/V4LTDKKJ"],"itemData":{"id":5775,"type":"article-journal","abstract":"Plasma testosterone increases during breeding in many male vertebrates and has long been implicated in the promotion of aggressive behaviors relating to territory and mate defense. Males of some species also defend territories outside of the breeding period. For example, the European nuthatch (Sitta europaea) defends an all-purpose territory throughout the year. To contribute to the growing literature regarding the hormonal correlates of non-breeding territoriality, we investigated the seasonal testosterone and corticosterone profile of male (and female) nuthatches and determined how observed hormone patterns relate to expression of territorial aggression. Given that non-breeding territoriality in the nuthatch relates to the reproductive context (i.e., defense of a future breeding site), we predicted that males would exhibit surges in plasma testosterone throughout the year. However, we found that males showed elevated testosterone levels only during breeding. Thus, testosterone of gonadal origin does not appear to be involved in the expression of non-breeding territoriality. Interestingly, territorial behaviors of male nuthatches were stronger in spring than in autumn, suggesting that in year-round territorial species, breeding-related testosterone elevations may upregulate male–male aggression above non-breeding levels. In females, plasma testosterone was largely undetectable. We also examined effects of simulated territorial intrusions (STIs) on testosterone and corticosterone levels of breeding males. We found that STIs did not elicit a testosterone response, but caused a dramatic increase in plasma corticosterone. These data support the hypothesis that corticosterone rather than testosterone may play a role in the support of behavior and/or physiology during acute territorial encounters in single-brooded species.","container-title":"Hormones and Behavior","DOI":"10.1016/j.yhbeh.2010.02.013","ISSN":"0018-506X","issue":"2","journalAbbreviation":"Hormones and Behavior","language":"en","page":"317-325","source":"ScienceDirect","title":"Impact of season and social challenge on testosterone and corticosterone levels in a year-round territorial bird","volume":"58","author":[{"family":"Landys","given":"Mėta M."},{"family":"Goymann","given":"Wolfgang"},{"family":"Schwabl","given":"Ingrid"},{"family":"Trapschuh","given":"Monika"},{"family":"Slagsvold","given":"Tore"}],"issued":{"date-parts":[["2010",7,1]]}}},{"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F46390">
        <w:rPr>
          <w:rFonts w:ascii="Garamond" w:hAnsi="Garamond"/>
        </w:rPr>
        <w:fldChar w:fldCharType="separate"/>
      </w:r>
      <w:r w:rsidR="00F46390">
        <w:rPr>
          <w:rFonts w:ascii="Garamond" w:hAnsi="Garamond" w:cs="Times New Roman"/>
        </w:rPr>
        <w:t>(Deviche et al., 2014; Landys et al., 2010; Potticary &amp; Duckworth, 2020)</w:t>
      </w:r>
      <w:r w:rsidR="00F46390">
        <w:rPr>
          <w:rFonts w:ascii="Garamond" w:hAnsi="Garamond"/>
        </w:rPr>
        <w:fldChar w:fldCharType="end"/>
      </w:r>
      <w:r w:rsidR="00F46390">
        <w:rPr>
          <w:rFonts w:ascii="Garamond" w:hAnsi="Garamond"/>
        </w:rPr>
        <w:t>. For example, female bluebirds (</w:t>
      </w:r>
      <w:r w:rsidR="00F46390" w:rsidRPr="00C904CE">
        <w:rPr>
          <w:rFonts w:ascii="Garamond" w:hAnsi="Garamond"/>
          <w:i/>
          <w:iCs/>
        </w:rPr>
        <w:t xml:space="preserve">Sialia </w:t>
      </w:r>
      <w:proofErr w:type="spellStart"/>
      <w:r w:rsidR="00F46390" w:rsidRPr="00C904CE">
        <w:rPr>
          <w:rFonts w:ascii="Garamond" w:hAnsi="Garamond"/>
          <w:i/>
          <w:iCs/>
        </w:rPr>
        <w:t>mexicana</w:t>
      </w:r>
      <w:proofErr w:type="spellEnd"/>
      <w:r w:rsidR="00F46390">
        <w:rPr>
          <w:rFonts w:ascii="Garamond" w:hAnsi="Garamond"/>
        </w:rPr>
        <w:t xml:space="preserve">) living in dense populations where competitive interactions are common have higher circulating levels of glucocorticoids, which may be transmitted to their eggs, affecting the aggression and dispersal behaviors of their offspring </w:t>
      </w:r>
      <w:r w:rsidR="00F46390">
        <w:rPr>
          <w:rFonts w:ascii="Garamond" w:hAnsi="Garamond"/>
        </w:rPr>
        <w:fldChar w:fldCharType="begin"/>
      </w:r>
      <w:r w:rsidR="00F46390">
        <w:rPr>
          <w:rFonts w:ascii="Garamond" w:hAnsi="Garamond"/>
        </w:rPr>
        <w:instrText xml:space="preserve"> ADDIN ZOTERO_ITEM CSL_CITATION {"citationID":"Q2KvCEn9","properties":{"formattedCitation":"(Potticary &amp; Duckworth, 2020)","plainCitation":"(Potticary &amp; Duckworth, 2020)","noteIndex":0},"citationItems":[{"id":5776,"uris":["http://zotero.org/users/5430941/items/AI38D96U"],"itemData":{"id":5776,"type":"article-journal","abstract":"Evolution of adaptation requires predictability and recurrence of functional contexts. Yet organisms live in multifaceted environments that are dynamic and ever changing, making it difficult to understand how complex adaptations evolve. This problem is particularly apparent in the evolution of adaptive maternal effects, which are often assumed to require reliable and discrete cues that predict conditions in the offspring environment. One resolution to this problem is if adaptive maternal effects evolve through preexisting, generalized maternal pathways that respond to many cues and also influence offspring development. Here, we assess whether an adaptive maternal effect in western bluebirds is influenced by maternal stress pathways across multiple challenging environments. Combining 18 years of hormone sampling across diverse environmental contexts with an experimental manipulation of the competitive environment, we show that multiple environmental factors influenced maternal corticosterone levels, which, in turn, influenced a maternal effect on aggression of sons in adulthood. Together, these results support the idea that multiple stressors can induce a known maternal effect in this system. More generally, they suggest that activation of general pathways, such as the hypothalamic-pituitary-adrenal axis, may simplify and facilitate the evolution of adaptive maternal effects by integrating variable environmental conditions into preexisting maternal physiological systems.","container-title":"The American Naturalist","DOI":"10.1086/710210","ISSN":"0003-0147","issue":"4","note":"publisher: The University of Chicago Press","page":"487-500","source":"journals.uchicago.edu (Atypon)","title":"Multiple environmental stressors induce an adaptive maternal effect","volume":"196","author":[{"family":"Potticary","given":"Ahva L."},{"family":"Duckworth","given":"Renée A."}],"issued":{"date-parts":[["2020",10]]}}}],"schema":"https://github.com/citation-style-language/schema/raw/master/csl-citation.json"} </w:instrText>
      </w:r>
      <w:r w:rsidR="00F46390">
        <w:rPr>
          <w:rFonts w:ascii="Garamond" w:hAnsi="Garamond"/>
        </w:rPr>
        <w:fldChar w:fldCharType="separate"/>
      </w:r>
      <w:r w:rsidR="00F46390">
        <w:rPr>
          <w:rFonts w:ascii="Garamond" w:hAnsi="Garamond"/>
          <w:noProof/>
        </w:rPr>
        <w:t>(Potticary &amp; Duckworth, 2020)</w:t>
      </w:r>
      <w:r w:rsidR="00F46390">
        <w:rPr>
          <w:rFonts w:ascii="Garamond" w:hAnsi="Garamond"/>
        </w:rPr>
        <w:fldChar w:fldCharType="end"/>
      </w:r>
      <w:r w:rsidR="00F46390">
        <w:rPr>
          <w:rFonts w:ascii="Garamond" w:hAnsi="Garamond"/>
        </w:rPr>
        <w:t>.</w:t>
      </w:r>
      <w:r w:rsidR="00F46390" w:rsidRPr="00F46390">
        <w:rPr>
          <w:rFonts w:ascii="Garamond" w:hAnsi="Garamond"/>
        </w:rPr>
        <w:t xml:space="preserve"> </w:t>
      </w:r>
      <w:r w:rsidR="00F46390">
        <w:rPr>
          <w:rFonts w:ascii="Garamond" w:hAnsi="Garamond"/>
        </w:rPr>
        <w:t xml:space="preserve">Still, it is largely unclear whether epigenetic </w:t>
      </w:r>
      <w:r w:rsidR="007C5456">
        <w:rPr>
          <w:rFonts w:ascii="Garamond" w:hAnsi="Garamond"/>
        </w:rPr>
        <w:t>mechanisms</w:t>
      </w:r>
      <w:r w:rsidR="00F46390">
        <w:rPr>
          <w:rFonts w:ascii="Garamond" w:hAnsi="Garamond"/>
        </w:rPr>
        <w:t xml:space="preserve"> mediate a physiological response to the social environment in birds</w:t>
      </w:r>
      <w:r w:rsidR="007C5456">
        <w:rPr>
          <w:rFonts w:ascii="Garamond" w:hAnsi="Garamond"/>
        </w:rPr>
        <w:t xml:space="preserve">, and </w:t>
      </w:r>
      <w:r w:rsidR="0023066E">
        <w:rPr>
          <w:rFonts w:ascii="Garamond" w:hAnsi="Garamond"/>
        </w:rPr>
        <w:t>over what time scales these processes operate.</w:t>
      </w:r>
    </w:p>
    <w:p w14:paraId="2D266C31" w14:textId="172D794E" w:rsidR="00C70B77" w:rsidRPr="00E90E94" w:rsidRDefault="002F2C58" w:rsidP="00E90E94">
      <w:pPr>
        <w:ind w:firstLine="720"/>
      </w:pPr>
      <w:r>
        <w:rPr>
          <w:rFonts w:ascii="Garamond" w:hAnsi="Garamond"/>
        </w:rPr>
        <w:t>In this study</w:t>
      </w:r>
      <w:r w:rsidR="00435D73">
        <w:rPr>
          <w:rFonts w:ascii="Garamond" w:hAnsi="Garamond"/>
        </w:rPr>
        <w:t>, we</w:t>
      </w:r>
      <w:r w:rsidR="00375FDF">
        <w:rPr>
          <w:rFonts w:ascii="Garamond" w:hAnsi="Garamond"/>
        </w:rPr>
        <w:t xml:space="preserve"> experimentally manipulated a key plumage signal in tree swallows and </w:t>
      </w:r>
      <w:r w:rsidR="00435D73">
        <w:rPr>
          <w:rFonts w:ascii="Garamond" w:hAnsi="Garamond"/>
        </w:rPr>
        <w:t xml:space="preserve">measured its effects </w:t>
      </w:r>
      <w:r w:rsidR="00C70B77">
        <w:rPr>
          <w:rFonts w:ascii="Garamond" w:hAnsi="Garamond"/>
        </w:rPr>
        <w:t xml:space="preserve">on </w:t>
      </w:r>
      <w:r w:rsidR="00435D73">
        <w:rPr>
          <w:rFonts w:ascii="Garamond" w:hAnsi="Garamond"/>
        </w:rPr>
        <w:t xml:space="preserve">methylation of four genes involved in the </w:t>
      </w:r>
      <w:r w:rsidR="007C5456">
        <w:rPr>
          <w:rFonts w:ascii="Garamond" w:hAnsi="Garamond"/>
        </w:rPr>
        <w:t>HPA-axis</w:t>
      </w:r>
      <w:r w:rsidR="00435D73">
        <w:rPr>
          <w:rFonts w:ascii="Garamond" w:hAnsi="Garamond"/>
        </w:rPr>
        <w:t xml:space="preserve">. </w:t>
      </w:r>
      <w:r w:rsidR="005D1029">
        <w:rPr>
          <w:rFonts w:ascii="Garamond" w:hAnsi="Garamond"/>
        </w:rPr>
        <w:t xml:space="preserve">Plumage is an important social signal in birds, conveying information about </w:t>
      </w:r>
      <w:r w:rsidR="001F1082">
        <w:rPr>
          <w:rFonts w:ascii="Garamond" w:hAnsi="Garamond"/>
        </w:rPr>
        <w:t>condition</w:t>
      </w:r>
      <w:r w:rsidR="005D1029">
        <w:rPr>
          <w:rFonts w:ascii="Garamond" w:hAnsi="Garamond"/>
        </w:rPr>
        <w:t xml:space="preserve">, parasite load, and social dominance </w:t>
      </w:r>
      <w:r w:rsidR="005D1029">
        <w:rPr>
          <w:rFonts w:ascii="Garamond" w:hAnsi="Garamond"/>
        </w:rPr>
        <w:fldChar w:fldCharType="begin"/>
      </w:r>
      <w:r w:rsidR="00EF375C">
        <w:rPr>
          <w:rFonts w:ascii="Garamond" w:hAnsi="Garamond"/>
        </w:rPr>
        <w:instrText xml:space="preserve"> ADDIN ZOTERO_ITEM CSL_CITATION {"citationID":"CcZaoGDQ","properties":{"formattedCitation":"(Mason &amp; Bowie, 2020; Mougeot et al., 2010; Taff, Zimmer, et al., 2019)","plainCitation":"(Mason &amp; Bowie, 2020; Mougeot et al., 2010; Taff, Zimmer, et al., 2019)","noteIndex":0},"citationItems":[{"id":2971,"uris":["http://zotero.org/users/5430941/items/4SKRUI6Y"],"itemData":{"id":2971,"type":"article-journal","abstract":"Vertebrates commonly use carotenoid-based traits as social signals. These can reliably advertise current nutritional status and health because carotenoids must be acquired through the diet and their allocation to ornaments is tradedoff against other self-maintenance needs. We propose that the coloration more generally reveals an individual’s ability to cope with stressful conditions. We tested this idea by manipulating the nematode parasite infection in free-living red grouse (Lagopus lagopus scoticus) and examining the effects on body mass, carotenoid-based coloration of a main social signal and the amount of corticosterone deposited in feathers grown during the experiment. We show that parasites increase stress and reduce carotenoid-based coloration, and that the impact of parasites on coloration was associated with changes in corticosterone, more than changes in body mass. Carotenoid-based coloration appears linked to physiological stress and could therefore reveal an individual’s ability to cope with stressors.","container-title":"Journal of Evolutionary Biology","DOI":"10.1111/j.1420-9101.2009.01926.x","ISSN":"1010061X, 14209101","issue":"3","language":"en","page":"643-650","source":"DOI.org (Crossref)","title":"Physiological stress links parasites to carotenoid-based colour signals","volume":"23","author":[{"family":"Mougeot","given":"F."},{"family":"Martínez-Padilla","given":"J."},{"family":"Bortolotti","given":"G. R."},{"family":"Webster","given":"L. M. I."},{"family":"Piertney","given":"S. B."}],"issued":{"date-parts":[["2010",3]]}}},{"id":5769,"uris":["http://zotero.org/users/5430941/items/Y5ATHCWN"],"itemData":{"id":5769,"type":"article-journal","abstract":"Abstract\n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N"}],"issued":{"date-parts":[["2019",6,13]]}}},{"id":"lextqgaf/KuMIUS6L","uris":["http://zotero.org/users/5430941/items/2EX6BPTJ"],"itemData":{"id":5785,"type":"article-journal","abstract":"Birds exhibit remarkable variation in plumage patterns, both within individual feathers and among plumage patches. Differences in the size, shape, and location of pigments and structural colors comprise important visual signals involved in mate choice, social signaling, camouflage, and many other functions. While ornithologists have studied plumage patterns for centuries, recent technological advances in digital image acquisition and processing have transformed pattern quantification methods, enabling comprehensive, detailed datasets of pattern phenotypes that were heretofore inaccessible. In this review, we synthesize recent and classic studies of plumage patterns at different evolutionary and organismal scales and discuss the various roles that plumage patterns play in avian biology. We dissect the role of plumage patches as signals within and among species. We also consider the evolutionary history of plumage patterns, including phylogenetic comparative studies and evolutionary developmental research of the genetic architecture underlying plumage patterns. We also survey an expanding toolbox of new methods that characterize and quantify the size, shape, and distribution of plumage patches. Finally, we provide a worked example to illustrate a potential workflow with dorsal plumage patterns among subspecies of the Horned Lark (Eremophila alpestris) in western North America. Studies of plumage patterning and coloration have played a prominent role in ornithology thus far, and recent methodological and conceptual advances have opened new avenues of research on the ecological functions and evolutionary origins of plumage patterns in birds.• Birds have many different plumage patterns that arise from coloration motifs within feathers as well as differences in color among body regions.• Plumage patterns play various roles in bird biology. They are involved in mate choice and territoriality, social interactions, camouflage from predators, and many other functions.• There is a rich history of detailed study on plumage patterns, which we review and synthesize in this manuscript.• Recent advances in photography and image processing algorithms have opened new avenues of research on plumage patterns. These open-source methods enable efficient, repeatable, and scalable analytical pipelines.• We illustrate one possible pipeline with a worked example of geographic variation in dorsal plumage patterns among populations of Horned Lark (Eremophila alpestris) in the western United States.• Looking ahead, enhanced capacity and scalability for digital photography analyses will reveal new discoveries regarding the ecology and evolution of avian plumage patterns.","container-title":"The Auk","DOI":"10.1093/auk/ukaa060","ISSN":"1938-4254","issue":"4","journalAbbreviation":"The Auk","page":"ukaa060","source":"Silverchair","title":"Plumage patterns: Ecological functions, evolutionary origins, and advances in quantification","title-short":"Plumage patterns","volume":"137","author":[{"family":"Mason","given":"Nicholas A"},{"family":"Bowie","given":"Rauri C K"}],"issued":{"date-parts":[["2020",10,1]]}}}],"schema":"https://github.com/citation-style-language/schema/raw/master/csl-citation.json"} </w:instrText>
      </w:r>
      <w:r w:rsidR="005D1029">
        <w:rPr>
          <w:rFonts w:ascii="Garamond" w:hAnsi="Garamond"/>
        </w:rPr>
        <w:fldChar w:fldCharType="separate"/>
      </w:r>
      <w:r w:rsidR="00EF375C">
        <w:rPr>
          <w:rFonts w:ascii="Garamond" w:hAnsi="Garamond" w:cs="Times New Roman"/>
        </w:rPr>
        <w:t>(Mason &amp; Bowie, 2020; Mougeot et al., 2010; Taff, Zimmer, et al., 2019)</w:t>
      </w:r>
      <w:r w:rsidR="005D1029">
        <w:rPr>
          <w:rFonts w:ascii="Garamond" w:hAnsi="Garamond"/>
        </w:rPr>
        <w:fldChar w:fldCharType="end"/>
      </w:r>
      <w:r w:rsidR="002125B4">
        <w:rPr>
          <w:rFonts w:ascii="Garamond" w:hAnsi="Garamond"/>
        </w:rPr>
        <w:t xml:space="preserve">. </w:t>
      </w:r>
      <w:r>
        <w:rPr>
          <w:rFonts w:ascii="Garamond" w:hAnsi="Garamond"/>
        </w:rPr>
        <w:t xml:space="preserve">In </w:t>
      </w:r>
      <w:r w:rsidR="006945CA">
        <w:rPr>
          <w:rFonts w:ascii="Garamond" w:hAnsi="Garamond"/>
        </w:rPr>
        <w:t xml:space="preserve">female </w:t>
      </w:r>
      <w:r>
        <w:rPr>
          <w:rFonts w:ascii="Garamond" w:hAnsi="Garamond"/>
        </w:rPr>
        <w:t>tree swallows,</w:t>
      </w:r>
      <w:r w:rsidR="00416F57">
        <w:rPr>
          <w:rFonts w:ascii="Garamond" w:hAnsi="Garamond"/>
        </w:rPr>
        <w:t xml:space="preserve"> b</w:t>
      </w:r>
      <w:r>
        <w:rPr>
          <w:rFonts w:ascii="Garamond" w:hAnsi="Garamond"/>
        </w:rPr>
        <w:t xml:space="preserve">righter white females </w:t>
      </w:r>
      <w:r w:rsidR="00C41CCB">
        <w:rPr>
          <w:rFonts w:ascii="Garamond" w:hAnsi="Garamond"/>
        </w:rPr>
        <w:t xml:space="preserve">secrete more corticosterone in response to stress, </w:t>
      </w:r>
      <w:r>
        <w:rPr>
          <w:rFonts w:ascii="Garamond" w:hAnsi="Garamond"/>
        </w:rPr>
        <w:t xml:space="preserve">have </w:t>
      </w:r>
      <w:r w:rsidR="004A41E2">
        <w:rPr>
          <w:rFonts w:ascii="Garamond" w:hAnsi="Garamond"/>
        </w:rPr>
        <w:t xml:space="preserve">stronger immune function, </w:t>
      </w:r>
      <w:r>
        <w:rPr>
          <w:rFonts w:ascii="Garamond" w:hAnsi="Garamond"/>
        </w:rPr>
        <w:t xml:space="preserve">more social interactions with conspecifics and are less likely to abandon their nests under stressful conditions </w:t>
      </w:r>
      <w:r>
        <w:rPr>
          <w:rFonts w:ascii="Garamond" w:hAnsi="Garamond"/>
        </w:rPr>
        <w:fldChar w:fldCharType="begin"/>
      </w:r>
      <w:r w:rsidR="00EF375C">
        <w:rPr>
          <w:rFonts w:ascii="Garamond" w:hAnsi="Garamond"/>
        </w:rPr>
        <w:instrText xml:space="preserve"> ADDIN ZOTERO_ITEM CSL_CITATION {"citationID":"N58LnIfs","properties":{"formattedCitation":"(Beck et al., 2015; Taff, Zimmer, et al., 2019)","plainCitation":"(Beck et al., 2015; Taff, Zimmer, et al., 2019)","noteIndex":0},"citationItems":[{"id":5818,"uris":["http://zotero.org/users/5430941/items/UQ9QH4TY"],"itemData":{"id":5818,"type":"article-journal","abstract":"In a number of taxa, males and females both display ornaments that may be associated with individual quality and could be reliable signals to potential mates or rivals. We examined the iridescent blue/green back and white breast of adult tree swallows (Tachycineta bicolor) to determine whether plumage reflectance is related to adult or offspring immune responses. We simultaneously addressed the influence of blood selenium levels and the interaction between blood selenium and plumage coloration on adult and nestling immunity. Selenium is a well-known antioxidant necessary for mounting a robust immune response but its importance in wild birds remains poorly understood. In females, the brightness of white breast coloration was positively associated with bactericidal capacity, but there was no association with blood selenium. In contrast, male bactericidal capacity was associated with an interactive effect between dorsal plumage coloration and blood selenium concentration. Males with bluer hues and greater blue chroma showed increased bactericidal capacity as blood selenium concentrations increased, while bactericidal capacity declined in greener males at higher blood selenium concentrations. In nestlings, bactericidal capacity was positively associated with nestling blood selenium concentrations and white brightness of both social parents. These results suggest that white plumage reflectance is indicative of quality in tree swallows and that greater attention should be paid to the reflectance of large white plumage patches. Additionally, the role of micronutrients, such as selenium, in mediating relationships between physiology and signals of quality, should be explored further.","container-title":"The Journal of Experimental Biology","DOI":"10.1242/jeb.123794","ISSN":"1477-9145","issue":"Pt 21","journalAbbreviation":"J Exp Biol","language":"eng","note":"PMID: 26347556","page":"3415-3424","source":"PubMed","title":"Relationships among plumage coloration, blood selenium concentrations and immune responses of adult and nestling tree swallows","volume":"218","author":[{"family":"Beck","given":"Michelle L."},{"family":"Hopkins","given":"William A."},{"family":"Hawley","given":"Dana M."}],"issued":{"date-parts":[["2015",11]]}}},{"id":5769,"uris":["http://zotero.org/users/5430941/items/Y5ATHCWN"],"itemData":{"id":5769,"type":"article-journal","abstract":"Abstract\n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sidR="00EF375C">
        <w:rPr>
          <w:rFonts w:ascii="Garamond" w:hAnsi="Garamond"/>
          <w:noProof/>
        </w:rPr>
        <w:t>(Beck et al., 2015; Taff, Zimmer, et al., 2019)</w:t>
      </w:r>
      <w:r>
        <w:rPr>
          <w:rFonts w:ascii="Garamond" w:hAnsi="Garamond"/>
        </w:rPr>
        <w:fldChar w:fldCharType="end"/>
      </w:r>
      <w:r>
        <w:rPr>
          <w:rFonts w:ascii="Garamond" w:hAnsi="Garamond"/>
        </w:rPr>
        <w:t>.</w:t>
      </w:r>
      <w:r w:rsidR="00EF375C">
        <w:rPr>
          <w:rFonts w:ascii="Garamond" w:hAnsi="Garamond"/>
        </w:rPr>
        <w:t xml:space="preserve"> Methylation in some areas of the genome is correlated with plumage brightness </w:t>
      </w:r>
      <w:r w:rsidR="00BB0D42">
        <w:rPr>
          <w:rFonts w:ascii="Garamond" w:hAnsi="Garamond"/>
        </w:rPr>
        <w:t xml:space="preserve">and stress resilience, </w:t>
      </w:r>
      <w:r w:rsidR="00EF375C">
        <w:rPr>
          <w:rFonts w:ascii="Garamond" w:hAnsi="Garamond"/>
        </w:rPr>
        <w:t xml:space="preserve">suggesting that epigenetic processes connect this plumage signal to physiology </w:t>
      </w:r>
      <w:r w:rsidR="00EF375C">
        <w:rPr>
          <w:rFonts w:ascii="Garamond" w:hAnsi="Garamond"/>
        </w:rPr>
        <w:fldChar w:fldCharType="begin"/>
      </w:r>
      <w:r w:rsidR="00EF375C">
        <w:rPr>
          <w:rFonts w:ascii="Garamond" w:hAnsi="Garamond"/>
        </w:rPr>
        <w:instrText xml:space="preserve"> ADDIN ZOTERO_ITEM CSL_CITATION {"citationID":"lwMFlveD","properties":{"formattedCitation":"(Taff, Campagna, et al., 2019)","plainCitation":"(Taff, Campagna, et al., 2019)","noteIndex":0},"citationItems":[{"id":4101,"uris":["http://zotero.org/users/5430941/items/AXGDGEUB"],"itemData":{"id":4101,"type":"article-journal","abstract":"Individuals often differ in their ability to cope with challenging environmental and social conditions. Evidence from model systems suggests that patterns of DNA methylation are associated with variation in coping ability. These associations could arise directly if methylation plays a role in controlling the physiological response to stressors by, among other things, regulating the release of glucocorticoids in response to challenges. Alternatively, the association could arise indirectly if methylation and resilience have a common cause, such as early-life conditions. In either case, methylation might act as a biomarker for coping ability. At present, however, relatively little is known about whether variation in methylation is associated with organismal performance and resilience under natural conditions. We studied genome-wide patterns of DNA methylation in free-living female tree swallows (Tachycineta bicolor) using methylated DNA immunoprecipitation (MeDIP) and a tree swallow genome that was assembled for this study. We identified areas of the genome that were differentially methylated with respect to social signal expression (breast brightness) and physiological traits (ability to terminate the glucocorticoid stress response through negative feedback). We also asked whether methylation predicted resilience to a subsequent experimentally imposed challenge. Individuals with brighter breast plumage and higher stress resilience had lower methylation at differentially methylated regions across the genome. Thus, widespread differences in methylation predicted both social signal expression and the response to future challenges under natural conditions. These results have implications for predicting individual differences in resilience, and for understanding the mechanistic basis of resilience and its environmental and social mediators.","container-title":"Molecular Ecology","DOI":"https://doi.org/10.1111/mec.15186","ISSN":"1365-294X","issue":"16","language":"en","license":"© 2019 John Wiley &amp; Sons Ltd","note":"_eprint: https://onlinelibrary.wiley.com/doi/pdf/10.1111/mec.15186","page":"3722-3737","source":"Wiley Online Library","title":"Genome-wide variation in DNA methylation is associated with stress resilience and plumage brightness in a wild bird","volume":"28","author":[{"family":"Taff","given":"Conor C."},{"family":"Campagna","given":"Leonardo"},{"family":"Vitousek","given":"Maren N."}],"issued":{"date-parts":[["2019"]]}}}],"schema":"https://github.com/citation-style-language/schema/raw/master/csl-citation.json"} </w:instrText>
      </w:r>
      <w:r w:rsidR="00EF375C">
        <w:rPr>
          <w:rFonts w:ascii="Garamond" w:hAnsi="Garamond"/>
        </w:rPr>
        <w:fldChar w:fldCharType="separate"/>
      </w:r>
      <w:r w:rsidR="00EF375C">
        <w:rPr>
          <w:rFonts w:ascii="Garamond" w:hAnsi="Garamond"/>
          <w:noProof/>
        </w:rPr>
        <w:t>(Taff, Campagna, et al., 2019)</w:t>
      </w:r>
      <w:r w:rsidR="00EF375C">
        <w:rPr>
          <w:rFonts w:ascii="Garamond" w:hAnsi="Garamond"/>
        </w:rPr>
        <w:fldChar w:fldCharType="end"/>
      </w:r>
      <w:r w:rsidR="00EF375C">
        <w:rPr>
          <w:rFonts w:ascii="Garamond" w:hAnsi="Garamond"/>
        </w:rPr>
        <w:t xml:space="preserve">. </w:t>
      </w:r>
      <w:r w:rsidR="007C5456">
        <w:rPr>
          <w:rFonts w:ascii="Garamond" w:hAnsi="Garamond"/>
        </w:rPr>
        <w:t xml:space="preserve">Experimental dulling of this plumage </w:t>
      </w:r>
      <w:r w:rsidR="00E90E94">
        <w:rPr>
          <w:rFonts w:ascii="Garamond" w:hAnsi="Garamond"/>
        </w:rPr>
        <w:t xml:space="preserve">alters the social interaction, microbiome, and glucose levels of female swallows, and dulled females invest more in reproduction compared to controls </w:t>
      </w:r>
      <w:r w:rsidR="00E90E94">
        <w:rPr>
          <w:rFonts w:ascii="Garamond" w:hAnsi="Garamond"/>
        </w:rPr>
        <w:fldChar w:fldCharType="begin"/>
      </w:r>
      <w:r w:rsidR="00E90E94">
        <w:rPr>
          <w:rFonts w:ascii="Garamond" w:hAnsi="Garamond"/>
        </w:rPr>
        <w:instrText xml:space="preserve"> ADDIN ZOTERO_ITEM CSL_CITATION {"citationID":"8XHBO9UQ","properties":{"formattedCitation":"(Taff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90E94">
        <w:rPr>
          <w:rFonts w:ascii="Garamond" w:hAnsi="Garamond"/>
        </w:rPr>
        <w:fldChar w:fldCharType="separate"/>
      </w:r>
      <w:r w:rsidR="00E90E94">
        <w:rPr>
          <w:rFonts w:ascii="Garamond" w:hAnsi="Garamond"/>
          <w:noProof/>
        </w:rPr>
        <w:t>(Taff et al., 2021)</w:t>
      </w:r>
      <w:r w:rsidR="00E90E94">
        <w:rPr>
          <w:rFonts w:ascii="Garamond" w:hAnsi="Garamond"/>
        </w:rPr>
        <w:fldChar w:fldCharType="end"/>
      </w:r>
      <w:r w:rsidR="00E90E94">
        <w:rPr>
          <w:rFonts w:ascii="Garamond" w:hAnsi="Garamond"/>
        </w:rPr>
        <w:t xml:space="preserve">. This </w:t>
      </w:r>
      <w:r w:rsidR="00E90E94">
        <w:rPr>
          <w:rFonts w:ascii="Garamond" w:hAnsi="Garamond"/>
        </w:rPr>
        <w:t xml:space="preserve">shift in behavior and physiology in response to an altered social landscape could be mediated by epigenetic changes to the HPA-axis. </w:t>
      </w:r>
      <w:r w:rsidR="00C70B77">
        <w:rPr>
          <w:rFonts w:ascii="Garamond" w:hAnsi="Garamond"/>
        </w:rPr>
        <w:t xml:space="preserve">Here, we test whether plumage dulling </w:t>
      </w:r>
      <w:r w:rsidR="00CD1648">
        <w:rPr>
          <w:rFonts w:ascii="Garamond" w:hAnsi="Garamond"/>
        </w:rPr>
        <w:t xml:space="preserve">of female tree swallows </w:t>
      </w:r>
      <w:r w:rsidR="00C70B77">
        <w:rPr>
          <w:rFonts w:ascii="Garamond" w:hAnsi="Garamond"/>
        </w:rPr>
        <w:t xml:space="preserve">has an epigenetic signature in genes involved in the HPA axis, and secondly, whether DNA methylation of HPA-associated genes is correlated with </w:t>
      </w:r>
      <w:r w:rsidR="00CD1648">
        <w:rPr>
          <w:rFonts w:ascii="Garamond" w:hAnsi="Garamond"/>
        </w:rPr>
        <w:t xml:space="preserve">corticosterone levels. </w:t>
      </w:r>
      <w:r w:rsidR="00C70B77">
        <w:rPr>
          <w:rFonts w:ascii="Garamond" w:hAnsi="Garamond"/>
        </w:rPr>
        <w:t xml:space="preserve"> </w:t>
      </w:r>
    </w:p>
    <w:p w14:paraId="53002CD6" w14:textId="77777777" w:rsidR="00C70B77" w:rsidRDefault="00C70B77" w:rsidP="00E42D7D">
      <w:pPr>
        <w:ind w:firstLine="720"/>
        <w:rPr>
          <w:rFonts w:ascii="Garamond" w:hAnsi="Garamond"/>
        </w:rPr>
      </w:pPr>
    </w:p>
    <w:p w14:paraId="1A2BA2EF" w14:textId="77777777" w:rsidR="00E42D7D" w:rsidRPr="00821696" w:rsidRDefault="00E42D7D" w:rsidP="00E42D7D">
      <w:pPr>
        <w:ind w:firstLine="720"/>
        <w:rPr>
          <w:rFonts w:ascii="Garamond" w:hAnsi="Garamond"/>
          <w:b/>
          <w:bCs/>
        </w:rPr>
      </w:pPr>
    </w:p>
    <w:p w14:paraId="7CD570C2" w14:textId="1FDD38EF" w:rsidR="003F69B1" w:rsidRDefault="003F69B1">
      <w:pPr>
        <w:rPr>
          <w:rFonts w:ascii="Garamond" w:hAnsi="Garamond"/>
          <w:b/>
          <w:bCs/>
        </w:rPr>
      </w:pPr>
      <w:r>
        <w:rPr>
          <w:rFonts w:ascii="Garamond" w:hAnsi="Garamond"/>
          <w:b/>
          <w:bCs/>
        </w:rPr>
        <w:t xml:space="preserve">Methods: </w:t>
      </w:r>
    </w:p>
    <w:p w14:paraId="296751BB" w14:textId="32371B15" w:rsidR="003F5D22" w:rsidRPr="008E3500" w:rsidRDefault="003C7CA9" w:rsidP="008E3500">
      <w:pPr>
        <w:rPr>
          <w:rFonts w:ascii="Garamond" w:hAnsi="Garamond"/>
        </w:rPr>
      </w:pPr>
      <w:r>
        <w:rPr>
          <w:rFonts w:ascii="Garamond" w:hAnsi="Garamond"/>
        </w:rPr>
        <w:t>We studied breeding tree swallows in Ithaca, New York, USA, during April to July of 2017 (42 degrees 30’</w:t>
      </w:r>
      <w:proofErr w:type="gramStart"/>
      <w:r>
        <w:rPr>
          <w:rFonts w:ascii="Garamond" w:hAnsi="Garamond"/>
        </w:rPr>
        <w:t>11”N</w:t>
      </w:r>
      <w:proofErr w:type="gramEnd"/>
      <w:r>
        <w:rPr>
          <w:rFonts w:ascii="Garamond" w:hAnsi="Garamond"/>
        </w:rPr>
        <w:t xml:space="preserve">, 76 degrees 26’ 13”W). </w:t>
      </w:r>
      <w:r w:rsidR="00DE7444">
        <w:rPr>
          <w:rFonts w:ascii="Garamond" w:hAnsi="Garamond"/>
        </w:rPr>
        <w:t xml:space="preserve">Females at each nest were captured three times during the breeding season (day 6-7 of incubation, day 3-4 after hatching, and day 7-8 after hatching). </w:t>
      </w:r>
      <w:r w:rsidR="00C57952">
        <w:rPr>
          <w:rFonts w:ascii="Garamond" w:hAnsi="Garamond"/>
        </w:rPr>
        <w:t xml:space="preserve">At the first capture, females were assigned </w:t>
      </w:r>
      <w:r w:rsidR="00EF51C9">
        <w:rPr>
          <w:rFonts w:ascii="Garamond" w:hAnsi="Garamond"/>
        </w:rPr>
        <w:t xml:space="preserve">randomly </w:t>
      </w:r>
      <w:r w:rsidR="00C57952">
        <w:rPr>
          <w:rFonts w:ascii="Garamond" w:hAnsi="Garamond"/>
        </w:rPr>
        <w:t xml:space="preserve">either to a plumage dulling treatment </w:t>
      </w:r>
      <w:r w:rsidR="004F2D46">
        <w:rPr>
          <w:rFonts w:ascii="Garamond" w:hAnsi="Garamond"/>
        </w:rPr>
        <w:t>or to a control treatment</w:t>
      </w:r>
      <w:r w:rsidR="00EF51C9">
        <w:rPr>
          <w:rFonts w:ascii="Garamond" w:hAnsi="Garamond"/>
        </w:rPr>
        <w:t xml:space="preserve"> after balancing treatments by female age </w:t>
      </w:r>
      <w:r w:rsidR="004F2D46">
        <w:rPr>
          <w:rFonts w:ascii="Garamond" w:hAnsi="Garamond"/>
        </w:rPr>
        <w:t>(second year vs. after second year).</w:t>
      </w:r>
      <w:r w:rsidR="00E370A0">
        <w:rPr>
          <w:rFonts w:ascii="Garamond" w:hAnsi="Garamond"/>
        </w:rPr>
        <w:t xml:space="preserve"> </w:t>
      </w:r>
      <w:r w:rsidR="000F724E">
        <w:rPr>
          <w:rFonts w:ascii="Garamond" w:hAnsi="Garamond"/>
        </w:rPr>
        <w:t>We dulled plumage by</w:t>
      </w:r>
      <w:r w:rsidR="00E370A0">
        <w:rPr>
          <w:rFonts w:ascii="Garamond" w:hAnsi="Garamond"/>
        </w:rPr>
        <w:t xml:space="preserve"> uniformly color</w:t>
      </w:r>
      <w:r w:rsidR="000F724E">
        <w:rPr>
          <w:rFonts w:ascii="Garamond" w:hAnsi="Garamond"/>
        </w:rPr>
        <w:t>ing</w:t>
      </w:r>
      <w:r w:rsidR="00E370A0">
        <w:rPr>
          <w:rFonts w:ascii="Garamond" w:hAnsi="Garamond"/>
        </w:rPr>
        <w:t xml:space="preserve"> the </w:t>
      </w:r>
      <w:r w:rsidR="000F724E">
        <w:rPr>
          <w:rFonts w:ascii="Garamond" w:hAnsi="Garamond"/>
        </w:rPr>
        <w:t>feathers from</w:t>
      </w:r>
      <w:r w:rsidR="00E370A0">
        <w:rPr>
          <w:rFonts w:ascii="Garamond" w:hAnsi="Garamond"/>
        </w:rPr>
        <w:t xml:space="preserve"> the throat to the legs using a light gray nontoxic marker (Faber-Castell PITT Artist Pen ‘Big Brush’ Warm Grey III 272)</w:t>
      </w:r>
      <w:r w:rsidR="008150E7">
        <w:rPr>
          <w:rFonts w:ascii="Garamond" w:hAnsi="Garamond"/>
        </w:rPr>
        <w:t xml:space="preserve">, following methods in </w:t>
      </w:r>
      <w:r w:rsidR="008150E7">
        <w:rPr>
          <w:rFonts w:ascii="Garamond" w:hAnsi="Garamond"/>
        </w:rPr>
        <w:fldChar w:fldCharType="begin"/>
      </w:r>
      <w:r w:rsidR="00416F57">
        <w:rPr>
          <w:rFonts w:ascii="Garamond" w:hAnsi="Garamond"/>
        </w:rPr>
        <w:instrText xml:space="preserve"> ADDIN ZOTERO_ITEM CSL_CITATION {"citationID":"cUM32Lag","properties":{"formattedCitation":"(Taff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8150E7">
        <w:rPr>
          <w:rFonts w:ascii="Garamond" w:hAnsi="Garamond"/>
        </w:rPr>
        <w:fldChar w:fldCharType="separate"/>
      </w:r>
      <w:r w:rsidR="00416F57">
        <w:rPr>
          <w:rFonts w:ascii="Garamond" w:hAnsi="Garamond"/>
          <w:noProof/>
        </w:rPr>
        <w:t>(Taff et al., 2021)</w:t>
      </w:r>
      <w:r w:rsidR="008150E7">
        <w:rPr>
          <w:rFonts w:ascii="Garamond" w:hAnsi="Garamond"/>
        </w:rPr>
        <w:fldChar w:fldCharType="end"/>
      </w:r>
      <w:r w:rsidR="00E370A0">
        <w:rPr>
          <w:rFonts w:ascii="Garamond" w:hAnsi="Garamond"/>
        </w:rPr>
        <w:t xml:space="preserve">. Females in the control treatment were marked </w:t>
      </w:r>
      <w:r w:rsidR="00E42CFD">
        <w:rPr>
          <w:rFonts w:ascii="Garamond" w:hAnsi="Garamond"/>
        </w:rPr>
        <w:t xml:space="preserve">in the same way </w:t>
      </w:r>
      <w:r w:rsidR="00E370A0">
        <w:rPr>
          <w:rFonts w:ascii="Garamond" w:hAnsi="Garamond"/>
        </w:rPr>
        <w:t xml:space="preserve">with a colorless marker </w:t>
      </w:r>
      <w:r w:rsidR="00E370A0">
        <w:rPr>
          <w:rFonts w:ascii="Garamond" w:hAnsi="Garamond"/>
        </w:rPr>
        <w:lastRenderedPageBreak/>
        <w:t xml:space="preserve">(Prismacolor Premier Colorless Blender PB-121). The </w:t>
      </w:r>
      <w:r w:rsidR="003D00AB">
        <w:rPr>
          <w:rFonts w:ascii="Garamond" w:hAnsi="Garamond"/>
        </w:rPr>
        <w:t>marking</w:t>
      </w:r>
      <w:r w:rsidR="00E370A0">
        <w:rPr>
          <w:rFonts w:ascii="Garamond" w:hAnsi="Garamond"/>
        </w:rPr>
        <w:t xml:space="preserve"> treatment was re-applied at the second and third captures. </w:t>
      </w:r>
      <w:r w:rsidR="00C673B4">
        <w:rPr>
          <w:rFonts w:ascii="Garamond" w:hAnsi="Garamond"/>
        </w:rPr>
        <w:t>We quantified the effects of dulling through spectrophotometry (</w:t>
      </w:r>
      <w:r w:rsidR="0006720B">
        <w:rPr>
          <w:rFonts w:ascii="Garamond" w:hAnsi="Garamond"/>
        </w:rPr>
        <w:t>Supplementary Materials</w:t>
      </w:r>
      <w:r w:rsidR="00C673B4">
        <w:rPr>
          <w:rFonts w:ascii="Garamond" w:hAnsi="Garamond"/>
        </w:rPr>
        <w:t>)</w:t>
      </w:r>
      <w:r w:rsidR="008150E7">
        <w:rPr>
          <w:rFonts w:ascii="Garamond" w:hAnsi="Garamond"/>
        </w:rPr>
        <w:t xml:space="preserve">. </w:t>
      </w:r>
      <w:r w:rsidR="008E3500">
        <w:rPr>
          <w:rFonts w:ascii="Garamond" w:hAnsi="Garamond"/>
        </w:rPr>
        <w:t xml:space="preserve">In total, the dulled group included 34 females and the control group included 36 females. </w:t>
      </w:r>
      <w:r w:rsidR="003F5D22">
        <w:rPr>
          <w:rFonts w:ascii="Garamond" w:hAnsi="Garamond"/>
        </w:rPr>
        <w:t xml:space="preserve">Females did not differ significantly in initial brightness (average % reflectance </w:t>
      </w:r>
      <w:r w:rsidR="00C673B4">
        <w:rPr>
          <w:rFonts w:ascii="Garamond" w:hAnsi="Garamond"/>
        </w:rPr>
        <w:t xml:space="preserve">in the </w:t>
      </w:r>
      <w:r w:rsidR="00FC66CB">
        <w:rPr>
          <w:rFonts w:ascii="Garamond" w:hAnsi="Garamond"/>
        </w:rPr>
        <w:t>c</w:t>
      </w:r>
      <w:r w:rsidR="003F5D22">
        <w:rPr>
          <w:rFonts w:ascii="Garamond" w:hAnsi="Garamond"/>
        </w:rPr>
        <w:t xml:space="preserve">ontrol group = 39.85, dulled group = 41.05; </w:t>
      </w:r>
      <w:r w:rsidR="003F5D22" w:rsidRPr="00FC66CB">
        <w:rPr>
          <w:rFonts w:ascii="Garamond" w:hAnsi="Garamond"/>
          <w:i/>
          <w:iCs/>
        </w:rPr>
        <w:t>P</w:t>
      </w:r>
      <w:r w:rsidR="003F5D22">
        <w:rPr>
          <w:rFonts w:ascii="Garamond" w:hAnsi="Garamond"/>
        </w:rPr>
        <w:t xml:space="preserve"> = 0.491). Experimental dulling significantly reduced plumage brightness for all individuals in the treatment</w:t>
      </w:r>
      <w:r w:rsidR="00BB0D42">
        <w:rPr>
          <w:rFonts w:ascii="Garamond" w:hAnsi="Garamond"/>
        </w:rPr>
        <w:t xml:space="preserve"> </w:t>
      </w:r>
      <w:r w:rsidR="003F5D22">
        <w:rPr>
          <w:rFonts w:ascii="Garamond" w:hAnsi="Garamond"/>
        </w:rPr>
        <w:fldChar w:fldCharType="begin"/>
      </w:r>
      <w:r w:rsidR="00416F57">
        <w:rPr>
          <w:rFonts w:ascii="Garamond" w:hAnsi="Garamond"/>
        </w:rPr>
        <w:instrText xml:space="preserve"> ADDIN ZOTERO_ITEM CSL_CITATION {"citationID":"bqODXX8h","properties":{"formattedCitation":"(Taff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3F5D22">
        <w:rPr>
          <w:rFonts w:ascii="Garamond" w:hAnsi="Garamond"/>
        </w:rPr>
        <w:fldChar w:fldCharType="separate"/>
      </w:r>
      <w:r w:rsidR="00416F57">
        <w:rPr>
          <w:rFonts w:ascii="Garamond" w:hAnsi="Garamond"/>
          <w:noProof/>
        </w:rPr>
        <w:t>(Taff et al., 2021)</w:t>
      </w:r>
      <w:r w:rsidR="003F5D22">
        <w:rPr>
          <w:rFonts w:ascii="Garamond" w:hAnsi="Garamond"/>
        </w:rPr>
        <w:fldChar w:fldCharType="end"/>
      </w:r>
      <w:r w:rsidR="003F5D22">
        <w:rPr>
          <w:rFonts w:ascii="Garamond" w:hAnsi="Garamond"/>
        </w:rPr>
        <w:t>.</w:t>
      </w:r>
    </w:p>
    <w:p w14:paraId="73C7F8AC" w14:textId="551EE358" w:rsidR="00B0664E" w:rsidRDefault="00105F07" w:rsidP="00416F57">
      <w:pPr>
        <w:ind w:firstLine="720"/>
        <w:rPr>
          <w:rFonts w:ascii="Garamond" w:hAnsi="Garamond"/>
        </w:rPr>
      </w:pPr>
      <w:r>
        <w:rPr>
          <w:rFonts w:ascii="Garamond" w:hAnsi="Garamond"/>
        </w:rPr>
        <w:t xml:space="preserve">At </w:t>
      </w:r>
      <w:r w:rsidR="00A47954">
        <w:rPr>
          <w:rFonts w:ascii="Garamond" w:hAnsi="Garamond"/>
        </w:rPr>
        <w:t>the first and third captures (hereafter “pre-treatment” and “post-treatment”)</w:t>
      </w:r>
      <w:r>
        <w:rPr>
          <w:rFonts w:ascii="Garamond" w:hAnsi="Garamond"/>
        </w:rPr>
        <w:t xml:space="preserve"> we took a small blood sample </w:t>
      </w:r>
      <w:r w:rsidR="006B29E3">
        <w:rPr>
          <w:rFonts w:ascii="Garamond" w:hAnsi="Garamond"/>
        </w:rPr>
        <w:t xml:space="preserve">within three minutes of capture </w:t>
      </w:r>
      <w:r>
        <w:rPr>
          <w:rFonts w:ascii="Garamond" w:hAnsi="Garamond"/>
        </w:rPr>
        <w:t xml:space="preserve">via brachial venipuncture </w:t>
      </w:r>
      <w:r w:rsidR="00A47954">
        <w:rPr>
          <w:rFonts w:ascii="Garamond" w:hAnsi="Garamond"/>
        </w:rPr>
        <w:t xml:space="preserve">to measure stress physiology and quantify DNA methylation. </w:t>
      </w:r>
      <w:r w:rsidR="00755E43">
        <w:rPr>
          <w:rFonts w:ascii="Garamond" w:hAnsi="Garamond"/>
        </w:rPr>
        <w:t xml:space="preserve">At the pre-treatment capture we </w:t>
      </w:r>
      <w:r w:rsidR="00FC2445">
        <w:rPr>
          <w:rFonts w:ascii="Garamond" w:hAnsi="Garamond"/>
        </w:rPr>
        <w:t xml:space="preserve">took two additional blood samples: the first was collected </w:t>
      </w:r>
      <w:r w:rsidR="00755E43">
        <w:rPr>
          <w:rFonts w:ascii="Garamond" w:hAnsi="Garamond"/>
        </w:rPr>
        <w:t>after 30 minutes to measure maximal corticosterone elevation (“stress-induced corticosterone</w:t>
      </w:r>
      <w:r w:rsidR="0006720B">
        <w:rPr>
          <w:rFonts w:ascii="Garamond" w:hAnsi="Garamond"/>
        </w:rPr>
        <w:t>”</w:t>
      </w:r>
      <w:r w:rsidR="00755E43">
        <w:rPr>
          <w:rFonts w:ascii="Garamond" w:hAnsi="Garamond"/>
        </w:rPr>
        <w:t xml:space="preserve">). Immediately after taking the stress-induced sample, we injected birds with </w:t>
      </w:r>
      <w:r w:rsidR="00755E43" w:rsidRPr="00755E43">
        <w:rPr>
          <w:rFonts w:ascii="Garamond" w:hAnsi="Garamond"/>
        </w:rPr>
        <w:t>4.5 ml/g; Mylan® 4 mg/ ml dexamethasone sodium phosphate</w:t>
      </w:r>
      <w:r w:rsidR="00755E43">
        <w:rPr>
          <w:rFonts w:ascii="Garamond" w:hAnsi="Garamond"/>
        </w:rPr>
        <w:t>, a synthetic glucocorticoid that induces negative feedback,</w:t>
      </w:r>
      <w:r w:rsidR="00755E43" w:rsidRPr="00755E43">
        <w:rPr>
          <w:rFonts w:ascii="Garamond" w:hAnsi="Garamond"/>
        </w:rPr>
        <w:t xml:space="preserve"> and then took a final blood sample 30 min</w:t>
      </w:r>
      <w:r w:rsidR="00FC2445">
        <w:rPr>
          <w:rFonts w:ascii="Garamond" w:hAnsi="Garamond"/>
        </w:rPr>
        <w:t>utes</w:t>
      </w:r>
      <w:r w:rsidR="00755E43" w:rsidRPr="00755E43">
        <w:rPr>
          <w:rFonts w:ascii="Garamond" w:hAnsi="Garamond"/>
        </w:rPr>
        <w:t xml:space="preserve"> later</w:t>
      </w:r>
      <w:r w:rsidR="00755E43">
        <w:rPr>
          <w:rFonts w:ascii="Garamond" w:hAnsi="Garamond"/>
        </w:rPr>
        <w:t xml:space="preserve"> (“dexamethasone-controlled corticosterone”)</w:t>
      </w:r>
      <w:r w:rsidR="00CC3773">
        <w:rPr>
          <w:rFonts w:ascii="Garamond" w:hAnsi="Garamond"/>
        </w:rPr>
        <w:fldChar w:fldCharType="begin"/>
      </w:r>
      <w:r w:rsidR="00CC3773">
        <w:rPr>
          <w:rFonts w:ascii="Garamond" w:hAnsi="Garamond"/>
        </w:rPr>
        <w:instrText xml:space="preserve"> ADDIN ZOTERO_ITEM CSL_CITATION {"citationID":"x7hru3Gs","properties":{"formattedCitation":"(Zimmer et al., 2019)","plainCitation":"(Zimmer et al., 2019)","noteIndex":0},"citationItems":[{"id":5562,"uris":["http://zotero.org/users/5430941/items/564G8BRB"],"itemData":{"id":5562,"type":"article-journal","abstract":"Individuals often vary markedly in their ability to cope with stressors, but the drivers of this variation remain poorly understood. Many studies have tested relationships among individual variation in glucocorticoid levels and the response to challenges—often finding inconsistent patterns; however, few have addressed whether variation in the capacity to terminate the stress response through negative feedback is associated with stress resilience. While conceptual models predict that interactions among different components of hypothalamic–pituitary–adrenal (HPA) axis regulation may be important predictors of the phenotypic and fitness effects of stress, we are aware of no previous experimental tests of this hypothesis. We investigate whether individual variation in HPA axis regulation is related to resilience to experimental challenges in free-living tree swallows (Tachycineta bicolor). We mimicked salient natural challenges by temporarily reducing flight efficiency or increasing perceived predation risk during incubation, and determined whether HPA axis responsiveness prior to treatments predicted resilience. Females that exhibited both a robust HPA axis activation and strong negative feedback were less likely to abandon nests during incubation. Our results suggest that exhibiting a strong HPA axis activation coupled with effective negative feedback may predict stress resilience. Therefore, the ability to turn on and then off the HPA axis efficiently may be important for fitness. Our results also suggest that the interactions between different components of the HPA axis may provide greater insight into differences in stress coping capacity. A plain language summary is available for this article.","container-title":"Functional Ecology","DOI":"10.1111/1365-2435.13281","ISSN":"1365-2435","issue":"4","language":"en","note":"_eprint: https://onlinelibrary.wiley.com/doi/pdf/10.1111/1365-2435.13281","page":"619-628","source":"Wiley Online Library","title":"On again, off again: Acute stress response and negative feedback together predict resilience to experimental challenges","title-short":"On again, off again","volume":"33","author":[{"family":"Zimmer","given":"Cedric"},{"family":"Taff","given":"Conor C."},{"family":"Ardia","given":"Daniel R."},{"family":"Ryan","given":"Thomas A."},{"family":"Winkler","given":"David W."},{"family":"Vitousek","given":"Maren N."}],"issued":{"date-parts":[["2019"]]}}}],"schema":"https://github.com/citation-style-language/schema/raw/master/csl-citation.json"} </w:instrText>
      </w:r>
      <w:r w:rsidR="00CC3773">
        <w:rPr>
          <w:rFonts w:ascii="Garamond" w:hAnsi="Garamond"/>
        </w:rPr>
        <w:fldChar w:fldCharType="separate"/>
      </w:r>
      <w:r w:rsidR="00CC3773">
        <w:rPr>
          <w:rFonts w:ascii="Garamond" w:hAnsi="Garamond"/>
          <w:noProof/>
        </w:rPr>
        <w:t>(Zimmer et al., 2019)</w:t>
      </w:r>
      <w:r w:rsidR="00CC3773">
        <w:rPr>
          <w:rFonts w:ascii="Garamond" w:hAnsi="Garamond"/>
        </w:rPr>
        <w:fldChar w:fldCharType="end"/>
      </w:r>
      <w:r w:rsidR="00755E43">
        <w:rPr>
          <w:rFonts w:ascii="Garamond" w:hAnsi="Garamond"/>
        </w:rPr>
        <w:t xml:space="preserve">. </w:t>
      </w:r>
      <w:r w:rsidR="000A3882">
        <w:rPr>
          <w:rFonts w:ascii="Garamond" w:hAnsi="Garamond"/>
        </w:rPr>
        <w:t xml:space="preserve">Within three hours erythrocytes and plasma were separated by centrifugation and stored separately at -30. </w:t>
      </w:r>
      <w:r w:rsidR="0006720B">
        <w:rPr>
          <w:rFonts w:ascii="Garamond" w:hAnsi="Garamond"/>
        </w:rPr>
        <w:t>C</w:t>
      </w:r>
      <w:r w:rsidR="000A3882">
        <w:rPr>
          <w:rFonts w:ascii="Garamond" w:hAnsi="Garamond"/>
        </w:rPr>
        <w:t xml:space="preserve">orticosterone was measured in the plasma using commercially available microplate kits that have been validated in this population </w:t>
      </w:r>
      <w:r w:rsidR="000A3882">
        <w:rPr>
          <w:rFonts w:ascii="Garamond" w:hAnsi="Garamond"/>
        </w:rPr>
        <w:fldChar w:fldCharType="begin"/>
      </w:r>
      <w:r w:rsidR="00CC3773">
        <w:rPr>
          <w:rFonts w:ascii="Garamond" w:hAnsi="Garamond"/>
        </w:rPr>
        <w:instrText xml:space="preserve"> ADDIN ZOTERO_ITEM CSL_CITATION {"citationID":"0t8T2v72","properties":{"formattedCitation":"(Zimmer et al., 2019)","plainCitation":"(Zimmer et al., 2019)","noteIndex":0},"citationItems":[{"id":5562,"uris":["http://zotero.org/users/5430941/items/564G8BRB"],"itemData":{"id":5562,"type":"article-journal","abstract":"Individuals often vary markedly in their ability to cope with stressors, but the drivers of this variation remain poorly understood. Many studies have tested relationships among individual variation in glucocorticoid levels and the response to challenges—often finding inconsistent patterns; however, few have addressed whether variation in the capacity to terminate the stress response through negative feedback is associated with stress resilience. While conceptual models predict that interactions among different components of hypothalamic–pituitary–adrenal (HPA) axis regulation may be important predictors of the phenotypic and fitness effects of stress, we are aware of no previous experimental tests of this hypothesis. We investigate whether individual variation in HPA axis regulation is related to resilience to experimental challenges in free-living tree swallows (Tachycineta bicolor). We mimicked salient natural challenges by temporarily reducing flight efficiency or increasing perceived predation risk during incubation, and determined whether HPA axis responsiveness prior to treatments predicted resilience. Females that exhibited both a robust HPA axis activation and strong negative feedback were less likely to abandon nests during incubation. Our results suggest that exhibiting a strong HPA axis activation coupled with effective negative feedback may predict stress resilience. Therefore, the ability to turn on and then off the HPA axis efficiently may be important for fitness. Our results also suggest that the interactions between different components of the HPA axis may provide greater insight into differences in stress coping capacity. A plain language summary is available for this article.","container-title":"Functional Ecology","DOI":"10.1111/1365-2435.13281","ISSN":"1365-2435","issue":"4","language":"en","note":"_eprint: https://onlinelibrary.wiley.com/doi/pdf/10.1111/1365-2435.13281","page":"619-628","source":"Wiley Online Library","title":"On again, off again: Acute stress response and negative feedback together predict resilience to experimental challenges","title-short":"On again, off again","volume":"33","author":[{"family":"Zimmer","given":"Cedric"},{"family":"Taff","given":"Conor C."},{"family":"Ardia","given":"Daniel R."},{"family":"Ryan","given":"Thomas A."},{"family":"Winkler","given":"David W."},{"family":"Vitousek","given":"Maren N."}],"issued":{"date-parts":[["2019"]]}}}],"schema":"https://github.com/citation-style-language/schema/raw/master/csl-citation.json"} </w:instrText>
      </w:r>
      <w:r w:rsidR="000A3882">
        <w:rPr>
          <w:rFonts w:ascii="Garamond" w:hAnsi="Garamond"/>
        </w:rPr>
        <w:fldChar w:fldCharType="separate"/>
      </w:r>
      <w:r w:rsidR="00CC3773">
        <w:rPr>
          <w:rFonts w:ascii="Garamond" w:hAnsi="Garamond"/>
          <w:noProof/>
        </w:rPr>
        <w:t>(Zimmer et al., 2019)</w:t>
      </w:r>
      <w:r w:rsidR="000A3882">
        <w:rPr>
          <w:rFonts w:ascii="Garamond" w:hAnsi="Garamond"/>
        </w:rPr>
        <w:fldChar w:fldCharType="end"/>
      </w:r>
      <w:r w:rsidR="000A3882">
        <w:rPr>
          <w:rFonts w:ascii="Garamond" w:hAnsi="Garamond"/>
        </w:rPr>
        <w:t xml:space="preserve">. </w:t>
      </w:r>
      <w:r w:rsidR="00B53176">
        <w:rPr>
          <w:rFonts w:ascii="Garamond" w:hAnsi="Garamond"/>
        </w:rPr>
        <w:t xml:space="preserve">Data on the behavior, microbiome, </w:t>
      </w:r>
      <w:r w:rsidR="00D113E0">
        <w:rPr>
          <w:rFonts w:ascii="Garamond" w:hAnsi="Garamond"/>
        </w:rPr>
        <w:t xml:space="preserve">corticosterone regulation, </w:t>
      </w:r>
      <w:r w:rsidR="00B53176">
        <w:rPr>
          <w:rFonts w:ascii="Garamond" w:hAnsi="Garamond"/>
        </w:rPr>
        <w:t xml:space="preserve">and reproductive success of adults in this experiment have been published previously </w:t>
      </w:r>
      <w:r w:rsidR="00B53176">
        <w:rPr>
          <w:rFonts w:ascii="Garamond" w:hAnsi="Garamond"/>
        </w:rPr>
        <w:fldChar w:fldCharType="begin"/>
      </w:r>
      <w:r w:rsidR="00416F57">
        <w:rPr>
          <w:rFonts w:ascii="Garamond" w:hAnsi="Garamond"/>
        </w:rPr>
        <w:instrText xml:space="preserve"> ADDIN ZOTERO_ITEM CSL_CITATION {"citationID":"m4ooWLmx","properties":{"formattedCitation":"(Taff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B53176">
        <w:rPr>
          <w:rFonts w:ascii="Garamond" w:hAnsi="Garamond"/>
        </w:rPr>
        <w:fldChar w:fldCharType="separate"/>
      </w:r>
      <w:r w:rsidR="00416F57">
        <w:rPr>
          <w:rFonts w:ascii="Garamond" w:hAnsi="Garamond"/>
          <w:noProof/>
        </w:rPr>
        <w:t>(Taff et al., 2021)</w:t>
      </w:r>
      <w:r w:rsidR="00B53176">
        <w:rPr>
          <w:rFonts w:ascii="Garamond" w:hAnsi="Garamond"/>
        </w:rPr>
        <w:fldChar w:fldCharType="end"/>
      </w:r>
      <w:r w:rsidR="00B53176">
        <w:rPr>
          <w:rFonts w:ascii="Garamond" w:hAnsi="Garamond"/>
        </w:rPr>
        <w:t xml:space="preserve">. Here, we </w:t>
      </w:r>
      <w:r w:rsidR="00B0664E">
        <w:rPr>
          <w:rFonts w:ascii="Garamond" w:hAnsi="Garamond"/>
        </w:rPr>
        <w:t xml:space="preserve">focus on the epigenetic effects of plumage manipulation and their connection to </w:t>
      </w:r>
      <w:r w:rsidR="00FC2445">
        <w:rPr>
          <w:rFonts w:ascii="Garamond" w:hAnsi="Garamond"/>
        </w:rPr>
        <w:t>glucocorticoid levels.</w:t>
      </w:r>
      <w:r w:rsidR="00B0664E">
        <w:rPr>
          <w:rFonts w:ascii="Garamond" w:hAnsi="Garamond"/>
        </w:rPr>
        <w:t xml:space="preserve">  </w:t>
      </w:r>
    </w:p>
    <w:p w14:paraId="366BBEC0" w14:textId="69C8659D" w:rsidR="00585A79" w:rsidRDefault="00585A79" w:rsidP="003F5D22">
      <w:pPr>
        <w:ind w:firstLine="720"/>
        <w:rPr>
          <w:rFonts w:ascii="Garamond" w:hAnsi="Garamond"/>
        </w:rPr>
      </w:pPr>
      <w:r>
        <w:rPr>
          <w:rFonts w:ascii="Garamond" w:hAnsi="Garamond"/>
        </w:rPr>
        <w:t xml:space="preserve">We </w:t>
      </w:r>
      <w:r w:rsidR="007538BD">
        <w:rPr>
          <w:rFonts w:ascii="Garamond" w:hAnsi="Garamond"/>
        </w:rPr>
        <w:t>investigated</w:t>
      </w:r>
      <w:r>
        <w:rPr>
          <w:rFonts w:ascii="Garamond" w:hAnsi="Garamond"/>
        </w:rPr>
        <w:t xml:space="preserve"> DNA methylation of four genes: </w:t>
      </w:r>
      <w:r w:rsidRPr="00585A79">
        <w:rPr>
          <w:rFonts w:ascii="Garamond" w:hAnsi="Garamond"/>
        </w:rPr>
        <w:t>Corticotropin Releasing Hormone</w:t>
      </w:r>
      <w:r>
        <w:rPr>
          <w:rFonts w:ascii="Garamond" w:hAnsi="Garamond"/>
        </w:rPr>
        <w:t xml:space="preserve"> (</w:t>
      </w:r>
      <w:r w:rsidRPr="00585A79">
        <w:rPr>
          <w:rFonts w:ascii="Garamond" w:hAnsi="Garamond"/>
        </w:rPr>
        <w:t>CRH</w:t>
      </w:r>
      <w:r>
        <w:rPr>
          <w:rFonts w:ascii="Garamond" w:hAnsi="Garamond"/>
        </w:rPr>
        <w:t xml:space="preserve">), </w:t>
      </w:r>
      <w:r w:rsidR="000B6FE3" w:rsidRPr="00585A79">
        <w:rPr>
          <w:rFonts w:ascii="Garamond" w:hAnsi="Garamond"/>
        </w:rPr>
        <w:t>Corticotropin Releasing Hormone</w:t>
      </w:r>
      <w:r w:rsidR="000B6FE3">
        <w:rPr>
          <w:rFonts w:ascii="Garamond" w:hAnsi="Garamond"/>
        </w:rPr>
        <w:t xml:space="preserve"> Receptor 1 (CRHR1), </w:t>
      </w:r>
      <w:r w:rsidRPr="00585A79">
        <w:rPr>
          <w:rFonts w:ascii="Garamond" w:hAnsi="Garamond"/>
        </w:rPr>
        <w:t>FKBP Prolyl Isomerase 5</w:t>
      </w:r>
      <w:r>
        <w:rPr>
          <w:rFonts w:ascii="Garamond" w:hAnsi="Garamond"/>
        </w:rPr>
        <w:t xml:space="preserve"> (FKBP5), and </w:t>
      </w:r>
      <w:r w:rsidR="000B6FE3">
        <w:rPr>
          <w:rFonts w:ascii="Garamond" w:hAnsi="Garamond"/>
        </w:rPr>
        <w:t>Glucocorticoid Receptor (</w:t>
      </w:r>
      <w:r>
        <w:rPr>
          <w:rFonts w:ascii="Garamond" w:hAnsi="Garamond"/>
        </w:rPr>
        <w:t>GR</w:t>
      </w:r>
      <w:r w:rsidR="00BB0D42">
        <w:rPr>
          <w:rFonts w:ascii="Garamond" w:hAnsi="Garamond"/>
        </w:rPr>
        <w:t>, also called NR3C1</w:t>
      </w:r>
      <w:r w:rsidR="000B6FE3">
        <w:rPr>
          <w:rFonts w:ascii="Garamond" w:hAnsi="Garamond"/>
        </w:rPr>
        <w:t>)</w:t>
      </w:r>
      <w:r w:rsidR="00862D04">
        <w:rPr>
          <w:rFonts w:ascii="Garamond" w:hAnsi="Garamond"/>
        </w:rPr>
        <w:t xml:space="preserve">, </w:t>
      </w:r>
      <w:r w:rsidR="004020DD">
        <w:rPr>
          <w:rFonts w:ascii="Garamond" w:hAnsi="Garamond"/>
        </w:rPr>
        <w:t xml:space="preserve">all of </w:t>
      </w:r>
      <w:r w:rsidR="00862D04">
        <w:rPr>
          <w:rFonts w:ascii="Garamond" w:hAnsi="Garamond"/>
        </w:rPr>
        <w:t xml:space="preserve">which </w:t>
      </w:r>
      <w:r w:rsidR="009C4E9F">
        <w:rPr>
          <w:rFonts w:ascii="Garamond" w:hAnsi="Garamond"/>
        </w:rPr>
        <w:t>form</w:t>
      </w:r>
      <w:r w:rsidR="00862D04">
        <w:rPr>
          <w:rFonts w:ascii="Garamond" w:hAnsi="Garamond"/>
        </w:rPr>
        <w:t xml:space="preserve"> </w:t>
      </w:r>
      <w:r w:rsidR="001113AF">
        <w:rPr>
          <w:rFonts w:ascii="Garamond" w:hAnsi="Garamond"/>
        </w:rPr>
        <w:t>part of the</w:t>
      </w:r>
      <w:r w:rsidR="00862D04">
        <w:rPr>
          <w:rFonts w:ascii="Garamond" w:hAnsi="Garamond"/>
        </w:rPr>
        <w:t xml:space="preserve"> HPA axis</w:t>
      </w:r>
      <w:r w:rsidR="0084767C">
        <w:rPr>
          <w:rFonts w:ascii="Garamond" w:hAnsi="Garamond"/>
        </w:rPr>
        <w:t xml:space="preserve">. Epigenetic dysregulation of these genes is associated with stress-related pathologies in humans and rodents </w:t>
      </w:r>
      <w:r w:rsidR="00862D04">
        <w:rPr>
          <w:rFonts w:ascii="Garamond" w:hAnsi="Garamond"/>
        </w:rPr>
        <w:fldChar w:fldCharType="begin"/>
      </w:r>
      <w:r w:rsidR="00416F57">
        <w:rPr>
          <w:rFonts w:ascii="Garamond" w:hAnsi="Garamond"/>
        </w:rPr>
        <w:instrText xml:space="preserve"> ADDIN ZOTERO_ITEM CSL_CITATION {"citationID":"PdK4T7Qx","properties":{"formattedCitation":"(Lee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862D04">
        <w:rPr>
          <w:rFonts w:ascii="Garamond" w:hAnsi="Garamond"/>
        </w:rPr>
        <w:fldChar w:fldCharType="separate"/>
      </w:r>
      <w:r w:rsidR="00416F57">
        <w:rPr>
          <w:rFonts w:ascii="Garamond" w:hAnsi="Garamond"/>
          <w:noProof/>
        </w:rPr>
        <w:t>(Lee &amp; Sawa, 2014)</w:t>
      </w:r>
      <w:r w:rsidR="00862D04">
        <w:rPr>
          <w:rFonts w:ascii="Garamond" w:hAnsi="Garamond"/>
        </w:rPr>
        <w:fldChar w:fldCharType="end"/>
      </w:r>
      <w:r>
        <w:rPr>
          <w:rFonts w:ascii="Garamond" w:hAnsi="Garamond"/>
        </w:rPr>
        <w:t xml:space="preserve">. </w:t>
      </w:r>
      <w:r w:rsidR="007A1F5C">
        <w:rPr>
          <w:rFonts w:ascii="Garamond" w:hAnsi="Garamond"/>
        </w:rPr>
        <w:t xml:space="preserve">We submitted extracted DNA samples to </w:t>
      </w:r>
      <w:proofErr w:type="spellStart"/>
      <w:r w:rsidR="007A1F5C">
        <w:rPr>
          <w:rFonts w:ascii="Garamond" w:hAnsi="Garamond"/>
        </w:rPr>
        <w:t>EpigenDx</w:t>
      </w:r>
      <w:proofErr w:type="spellEnd"/>
      <w:r w:rsidR="007A1F5C">
        <w:rPr>
          <w:rFonts w:ascii="Garamond" w:hAnsi="Garamond"/>
        </w:rPr>
        <w:t xml:space="preserve"> (Worcester, MA) for methylation analysis using pyrosequencing, resulting in measures of methylation at between 11 and 19 CpG sites per gene. </w:t>
      </w:r>
      <w:r w:rsidR="00B0664E">
        <w:rPr>
          <w:rFonts w:ascii="Garamond" w:hAnsi="Garamond"/>
        </w:rPr>
        <w:t xml:space="preserve">Primer development, assay validation, and pyrosequencing was conducted at </w:t>
      </w:r>
      <w:proofErr w:type="spellStart"/>
      <w:r w:rsidR="00B0664E">
        <w:rPr>
          <w:rFonts w:ascii="Garamond" w:hAnsi="Garamond"/>
        </w:rPr>
        <w:t>EpigenDX</w:t>
      </w:r>
      <w:proofErr w:type="spellEnd"/>
      <w:r w:rsidR="007A1F5C">
        <w:rPr>
          <w:rFonts w:ascii="Garamond" w:hAnsi="Garamond"/>
        </w:rPr>
        <w:t xml:space="preserve"> (see Appendix)</w:t>
      </w:r>
      <w:r w:rsidR="00B0664E">
        <w:rPr>
          <w:rFonts w:ascii="Garamond" w:hAnsi="Garamond"/>
        </w:rPr>
        <w:t xml:space="preserve">. </w:t>
      </w:r>
      <w:r w:rsidR="007538BD" w:rsidRPr="00CC3773">
        <w:rPr>
          <w:rFonts w:ascii="Garamond" w:hAnsi="Garamond" w:cs="Times New Roman (Body CS)"/>
          <w:strike/>
        </w:rPr>
        <w:t>Methylation was quantified using pyrosequencing at between 11 and 19 CpG sites per gene</w:t>
      </w:r>
      <w:r w:rsidR="00AF2440" w:rsidRPr="00CC3773">
        <w:rPr>
          <w:rFonts w:ascii="Garamond" w:hAnsi="Garamond" w:cs="Times New Roman (Body CS)"/>
          <w:strike/>
        </w:rPr>
        <w:t xml:space="preserve"> (</w:t>
      </w:r>
      <w:commentRangeStart w:id="0"/>
      <w:commentRangeStart w:id="1"/>
      <w:r w:rsidR="00AF2440" w:rsidRPr="00CC3773">
        <w:rPr>
          <w:rFonts w:ascii="Garamond" w:hAnsi="Garamond" w:cs="Times New Roman (Body CS)"/>
          <w:strike/>
        </w:rPr>
        <w:t>Appendix</w:t>
      </w:r>
      <w:commentRangeEnd w:id="0"/>
      <w:r w:rsidR="000D44A7" w:rsidRPr="00CC3773">
        <w:rPr>
          <w:rStyle w:val="CommentReference"/>
          <w:rFonts w:cs="Times New Roman (Body CS)"/>
          <w:strike/>
        </w:rPr>
        <w:commentReference w:id="0"/>
      </w:r>
      <w:commentRangeEnd w:id="1"/>
      <w:r w:rsidR="00E662ED" w:rsidRPr="00CC3773">
        <w:rPr>
          <w:rStyle w:val="CommentReference"/>
          <w:rFonts w:cs="Times New Roman (Body CS)"/>
          <w:strike/>
        </w:rPr>
        <w:commentReference w:id="1"/>
      </w:r>
      <w:r w:rsidR="00AF2440" w:rsidRPr="00CC3773">
        <w:rPr>
          <w:rFonts w:ascii="Garamond" w:hAnsi="Garamond" w:cs="Times New Roman (Body CS)"/>
          <w:strike/>
        </w:rPr>
        <w:t>)</w:t>
      </w:r>
      <w:r w:rsidR="007538BD" w:rsidRPr="00CC3773">
        <w:rPr>
          <w:rFonts w:ascii="Garamond" w:hAnsi="Garamond" w:cs="Times New Roman (Body CS)"/>
          <w:strike/>
        </w:rPr>
        <w:t>.</w:t>
      </w:r>
      <w:r w:rsidR="007538BD">
        <w:rPr>
          <w:rFonts w:ascii="Garamond" w:hAnsi="Garamond"/>
        </w:rPr>
        <w:t xml:space="preserve"> </w:t>
      </w:r>
    </w:p>
    <w:p w14:paraId="4E0B0220" w14:textId="77777777" w:rsidR="008C56C6" w:rsidRDefault="008C56C6" w:rsidP="00585A79">
      <w:pPr>
        <w:rPr>
          <w:rFonts w:ascii="Garamond" w:hAnsi="Garamond"/>
        </w:rPr>
      </w:pPr>
    </w:p>
    <w:p w14:paraId="3746F2E4" w14:textId="6F140D5C" w:rsidR="00A97206" w:rsidRPr="00A97206" w:rsidRDefault="00A97206">
      <w:pPr>
        <w:rPr>
          <w:rFonts w:ascii="Garamond" w:hAnsi="Garamond"/>
          <w:i/>
          <w:iCs/>
        </w:rPr>
      </w:pPr>
      <w:r>
        <w:rPr>
          <w:rFonts w:ascii="Garamond" w:hAnsi="Garamond"/>
          <w:i/>
          <w:iCs/>
        </w:rPr>
        <w:t xml:space="preserve">Analysis </w:t>
      </w:r>
    </w:p>
    <w:p w14:paraId="1528A827" w14:textId="22E8440B" w:rsidR="002D3895" w:rsidRPr="008467BD" w:rsidRDefault="003F69B1">
      <w:pPr>
        <w:rPr>
          <w:rFonts w:ascii="Garamond" w:hAnsi="Garamond"/>
        </w:rPr>
      </w:pPr>
      <w:r>
        <w:rPr>
          <w:rFonts w:ascii="Garamond" w:hAnsi="Garamond"/>
        </w:rPr>
        <w:t xml:space="preserve">We modeled methylation </w:t>
      </w:r>
      <w:r w:rsidR="00362056">
        <w:rPr>
          <w:rFonts w:ascii="Garamond" w:hAnsi="Garamond"/>
        </w:rPr>
        <w:t>in</w:t>
      </w:r>
      <w:r w:rsidR="00114608">
        <w:rPr>
          <w:rFonts w:ascii="Garamond" w:hAnsi="Garamond"/>
        </w:rPr>
        <w:t xml:space="preserve"> </w:t>
      </w:r>
      <w:r>
        <w:rPr>
          <w:rFonts w:ascii="Garamond" w:hAnsi="Garamond"/>
        </w:rPr>
        <w:t>each gene separately</w:t>
      </w:r>
      <w:r w:rsidR="00710B80">
        <w:rPr>
          <w:rFonts w:ascii="Garamond" w:hAnsi="Garamond"/>
        </w:rPr>
        <w:t xml:space="preserve"> using linear mixed </w:t>
      </w:r>
      <w:r w:rsidR="001702D6">
        <w:rPr>
          <w:rFonts w:ascii="Garamond" w:hAnsi="Garamond"/>
        </w:rPr>
        <w:t xml:space="preserve">effects </w:t>
      </w:r>
      <w:r w:rsidR="00710B80">
        <w:rPr>
          <w:rFonts w:ascii="Garamond" w:hAnsi="Garamond"/>
        </w:rPr>
        <w:t>models</w:t>
      </w:r>
      <w:r w:rsidR="001702D6">
        <w:rPr>
          <w:rFonts w:ascii="Garamond" w:hAnsi="Garamond"/>
        </w:rPr>
        <w:t xml:space="preserve"> in R (version 4.2.2</w:t>
      </w:r>
      <w:r w:rsidR="00C032AE">
        <w:rPr>
          <w:rFonts w:ascii="Garamond" w:hAnsi="Garamond"/>
        </w:rPr>
        <w:t>)</w:t>
      </w:r>
      <w:r>
        <w:rPr>
          <w:rFonts w:ascii="Garamond" w:hAnsi="Garamond"/>
        </w:rPr>
        <w:t xml:space="preserve">. Each model predicted </w:t>
      </w:r>
      <w:r w:rsidR="008A61BC">
        <w:rPr>
          <w:rFonts w:ascii="Garamond" w:hAnsi="Garamond"/>
        </w:rPr>
        <w:t xml:space="preserve">per-CpG methylation as a function of capture (pre- or post-treatment), treatment, and initial </w:t>
      </w:r>
      <w:r w:rsidR="004B1926">
        <w:rPr>
          <w:rFonts w:ascii="Garamond" w:hAnsi="Garamond"/>
        </w:rPr>
        <w:t xml:space="preserve">plumage </w:t>
      </w:r>
      <w:r w:rsidR="008A61BC">
        <w:rPr>
          <w:rFonts w:ascii="Garamond" w:hAnsi="Garamond"/>
        </w:rPr>
        <w:t>brightness. We first created an interaction model of the three main effects (</w:t>
      </w:r>
      <w:proofErr w:type="gramStart"/>
      <w:r w:rsidR="008A61BC">
        <w:rPr>
          <w:rFonts w:ascii="Garamond" w:hAnsi="Garamond"/>
        </w:rPr>
        <w:t>i.e.</w:t>
      </w:r>
      <w:proofErr w:type="gramEnd"/>
      <w:r w:rsidR="008A61BC">
        <w:rPr>
          <w:rFonts w:ascii="Garamond" w:hAnsi="Garamond"/>
        </w:rPr>
        <w:t xml:space="preserve"> capture*brightness*treatment). When interactions were not significant, they were removed</w:t>
      </w:r>
      <w:r w:rsidR="00F54F00">
        <w:rPr>
          <w:rFonts w:ascii="Garamond" w:hAnsi="Garamond"/>
        </w:rPr>
        <w:t>,</w:t>
      </w:r>
      <w:r w:rsidR="008A61BC">
        <w:rPr>
          <w:rFonts w:ascii="Garamond" w:hAnsi="Garamond"/>
        </w:rPr>
        <w:t xml:space="preserve"> and we present </w:t>
      </w:r>
      <w:r w:rsidR="00082B79">
        <w:rPr>
          <w:rFonts w:ascii="Garamond" w:hAnsi="Garamond"/>
        </w:rPr>
        <w:t xml:space="preserve">estimates from </w:t>
      </w:r>
      <w:r w:rsidR="008A61BC">
        <w:rPr>
          <w:rFonts w:ascii="Garamond" w:hAnsi="Garamond"/>
        </w:rPr>
        <w:t xml:space="preserve">the </w:t>
      </w:r>
      <w:r w:rsidR="007D11B9">
        <w:rPr>
          <w:rFonts w:ascii="Garamond" w:hAnsi="Garamond"/>
        </w:rPr>
        <w:t xml:space="preserve">additive model instead. </w:t>
      </w:r>
      <w:r w:rsidR="008A61BC">
        <w:rPr>
          <w:rFonts w:ascii="Garamond" w:hAnsi="Garamond"/>
        </w:rPr>
        <w:t>Models also included the random effect of CpG site and the random effect of individual. We logit transformed methylation data prior to modeling it</w:t>
      </w:r>
      <w:r w:rsidR="00D6353F">
        <w:rPr>
          <w:rFonts w:ascii="Garamond" w:hAnsi="Garamond"/>
        </w:rPr>
        <w:t xml:space="preserve"> following best-practices for percentage data</w:t>
      </w:r>
      <w:r w:rsidR="008A61BC">
        <w:rPr>
          <w:rFonts w:ascii="Garamond" w:hAnsi="Garamond"/>
        </w:rPr>
        <w:t xml:space="preserve"> </w:t>
      </w:r>
      <w:r w:rsidR="008A61BC">
        <w:rPr>
          <w:rFonts w:ascii="Garamond" w:hAnsi="Garamond"/>
        </w:rPr>
        <w:fldChar w:fldCharType="begin"/>
      </w:r>
      <w:r w:rsidR="00416F57">
        <w:rPr>
          <w:rFonts w:ascii="Garamond" w:hAnsi="Garamond"/>
        </w:rPr>
        <w:instrText xml:space="preserve"> ADDIN ZOTERO_ITEM CSL_CITATION {"citationID":"AIuNMHmw","properties":{"formattedCitation":"(Stevens et al., 2016; Warton &amp; Hui, 2011)","plainCitation":"(Stevens et al., 2016; Warton &amp; Hui, 2011)","noteIndex":0},"citationItems":[{"id":5752,"uris":["http://zotero.org/users/5430941/items/YQB7T464"],"itemData":{"id":5752,"type":"article-journal","abstract":"The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methods.","container-title":"Ecology","DOI":"10.1890/10-0340.1","ISSN":"1939-9170","issue":"1","language":"en","note":"_eprint: https://onlinelibrary.wiley.com/doi/pdf/10.1890/10-0340.1","page":"3-10","source":"Wiley Online Library","title":"The arcsine is asinine: the analysis of proportions in ecology","title-short":"The arcsine is asinine","volume":"92","author":[{"family":"Warton","given":"David I."},{"family":"Hui","given":"Francis K. C."}],"issued":{"date-parts":[["2011"]]}}},{"id":5748,"uris":["http://zotero.org/users/5430941/items/W9EGNWZY"],"itemData":{"id":5748,"type":"article-journal","abstract":"&lt;p&gt;Performance, satisfaction, and safety indicators are commonly measured on a percentage scale. Such indicators are often subject to ceiling or floor effects and performance may be inherently non-linear. For example, improving from 85% to 95% might be more difficult and need more effort than improving from 55% to 65%. As such, analysis of these indicators is not always straightforward and standard linear analysis could be problematic. We present the most common approach to dealing with this problem: a logit transformation of the score, following which standard linear analysis can be conducted on the transformed score. We also demonstrate how estimates can be back-transformed to percentages for easier communication of findings. In this paper, we discuss the benefits of this method, use algebra to describe the relevant steps in the transformation process, provide guidance on interpretation, and provide a tool for analysis.&lt;/p&gt;","container-title":"BMJ","DOI":"10.1136/bmj.i1114","ISSN":"1756-1833","journalAbbreviation":"BMJ","language":"en","license":"Published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Research Methods &amp;amp; Reporting\nPMID: 26964829","page":"i1114","source":"www.bmj.com","title":"Analysing indicators of performance, satisfaction, or safety using empirical logit transformation","volume":"352","author":[{"family":"Stevens","given":"Sarah"},{"family":"Valderas","given":"Jose M."},{"family":"Doran","given":"Tim"},{"family":"Perera","given":"Rafael"},{"family":"Kontopantelis","given":"Evangelos"}],"issued":{"date-parts":[["2016",3,10]]}}}],"schema":"https://github.com/citation-style-language/schema/raw/master/csl-citation.json"} </w:instrText>
      </w:r>
      <w:r w:rsidR="008A61BC">
        <w:rPr>
          <w:rFonts w:ascii="Garamond" w:hAnsi="Garamond"/>
        </w:rPr>
        <w:fldChar w:fldCharType="separate"/>
      </w:r>
      <w:r w:rsidR="00416F57">
        <w:rPr>
          <w:rFonts w:ascii="Garamond" w:hAnsi="Garamond"/>
          <w:noProof/>
        </w:rPr>
        <w:t>(Stevens et al., 2016; Warton &amp; Hui, 2011)</w:t>
      </w:r>
      <w:r w:rsidR="008A61BC">
        <w:rPr>
          <w:rFonts w:ascii="Garamond" w:hAnsi="Garamond"/>
        </w:rPr>
        <w:fldChar w:fldCharType="end"/>
      </w:r>
      <w:r w:rsidR="008A61BC">
        <w:rPr>
          <w:rFonts w:ascii="Garamond" w:hAnsi="Garamond"/>
        </w:rPr>
        <w:t xml:space="preserve">. </w:t>
      </w:r>
      <w:r w:rsidR="0036531F">
        <w:rPr>
          <w:rFonts w:ascii="Garamond" w:hAnsi="Garamond"/>
        </w:rPr>
        <w:t xml:space="preserve">We partitioned the variance in methylation among the fixed effects and random effects using </w:t>
      </w:r>
      <w:proofErr w:type="spellStart"/>
      <w:r w:rsidR="0036531F">
        <w:rPr>
          <w:rFonts w:ascii="Garamond" w:hAnsi="Garamond"/>
        </w:rPr>
        <w:t>rptR</w:t>
      </w:r>
      <w:proofErr w:type="spellEnd"/>
      <w:r w:rsidR="0036531F">
        <w:rPr>
          <w:rFonts w:ascii="Garamond" w:hAnsi="Garamond"/>
        </w:rPr>
        <w:t xml:space="preserve"> </w:t>
      </w:r>
      <w:r w:rsidR="0036531F">
        <w:rPr>
          <w:rFonts w:ascii="Garamond" w:hAnsi="Garamond"/>
        </w:rPr>
        <w:fldChar w:fldCharType="begin"/>
      </w:r>
      <w:r w:rsidR="0036531F">
        <w:rPr>
          <w:rFonts w:ascii="Garamond" w:hAnsi="Garamond"/>
        </w:rPr>
        <w:instrText xml:space="preserve"> ADDIN ZOTERO_ITEM CSL_CITATION {"citationID":"6QkXvC5R","properties":{"formattedCitation":"(Stoffel et al., 2017)","plainCitation":"(Stoffel et al., 2017)","noteIndex":0},"citationItems":[{"id":5853,"uris":["http://zotero.org/users/5430941/items/HW37QNRJ"],"itemData":{"id":5853,"type":"article-journal","container-title":"Methods in Ecology and Evolution","DOI":"10.1111/2041-210X.12797","ISSN":"2041-210X, 2041-210X","issue":"11","journalAbbreviation":"Methods Ecol Evol","language":"en","page":"1639-1644","source":"DOI.org (Crossref)","title":"rptR: repeatability estimation and variance decomposition by generalized linear mixed</w:instrText>
      </w:r>
      <w:r w:rsidR="0036531F">
        <w:rPr>
          <w:rFonts w:ascii="Cambria Math" w:hAnsi="Cambria Math" w:cs="Cambria Math"/>
        </w:rPr>
        <w:instrText>‐</w:instrText>
      </w:r>
      <w:r w:rsidR="0036531F">
        <w:rPr>
          <w:rFonts w:ascii="Garamond" w:hAnsi="Garamond"/>
        </w:rPr>
        <w:instrText xml:space="preserve">effects models","title-short":"rptR","volume":"8","author":[{"family":"Stoffel","given":"Martin A."},{"family":"Nakagawa","given":"Shinichi"},{"family":"Schielzeth","given":"Holger"}],"editor":[{"family":"Goslee","given":"Sarah"}],"issued":{"date-parts":[["2017",11]]}}}],"schema":"https://github.com/citation-style-language/schema/raw/master/csl-citation.json"} </w:instrText>
      </w:r>
      <w:r w:rsidR="0036531F">
        <w:rPr>
          <w:rFonts w:ascii="Garamond" w:hAnsi="Garamond"/>
        </w:rPr>
        <w:fldChar w:fldCharType="separate"/>
      </w:r>
      <w:r w:rsidR="0036531F">
        <w:rPr>
          <w:rFonts w:ascii="Garamond" w:hAnsi="Garamond"/>
          <w:noProof/>
        </w:rPr>
        <w:t>(Stoffel et al., 2017)</w:t>
      </w:r>
      <w:r w:rsidR="0036531F">
        <w:rPr>
          <w:rFonts w:ascii="Garamond" w:hAnsi="Garamond"/>
        </w:rPr>
        <w:fldChar w:fldCharType="end"/>
      </w:r>
      <w:r w:rsidR="0036531F">
        <w:rPr>
          <w:rFonts w:ascii="Garamond" w:hAnsi="Garamond"/>
        </w:rPr>
        <w:t xml:space="preserve">. </w:t>
      </w:r>
      <w:r w:rsidR="00FC2445">
        <w:rPr>
          <w:rFonts w:ascii="Garamond" w:hAnsi="Garamond"/>
        </w:rPr>
        <w:t>Next, we</w:t>
      </w:r>
      <w:r w:rsidR="00544BF7">
        <w:rPr>
          <w:rFonts w:ascii="Garamond" w:hAnsi="Garamond"/>
        </w:rPr>
        <w:t xml:space="preserve"> tested for a relationship between corticosterone levels and methylation </w:t>
      </w:r>
      <w:r w:rsidR="00135F4D">
        <w:rPr>
          <w:rFonts w:ascii="Garamond" w:hAnsi="Garamond"/>
        </w:rPr>
        <w:t xml:space="preserve">at each gene </w:t>
      </w:r>
      <w:r w:rsidR="00544BF7">
        <w:rPr>
          <w:rFonts w:ascii="Garamond" w:hAnsi="Garamond"/>
        </w:rPr>
        <w:t>by modeling methylation as a function of corticosterone</w:t>
      </w:r>
      <w:r w:rsidR="00884308">
        <w:rPr>
          <w:rFonts w:ascii="Garamond" w:hAnsi="Garamond"/>
        </w:rPr>
        <w:t>, using methylation and corticosterone data from both captures</w:t>
      </w:r>
      <w:r w:rsidR="00135F4D">
        <w:rPr>
          <w:rFonts w:ascii="Garamond" w:hAnsi="Garamond"/>
        </w:rPr>
        <w:t>. These models included the random effects of individual and CpG</w:t>
      </w:r>
      <w:r w:rsidR="00A467C9">
        <w:rPr>
          <w:rFonts w:ascii="Garamond" w:hAnsi="Garamond"/>
        </w:rPr>
        <w:t xml:space="preserve"> identity</w:t>
      </w:r>
      <w:r w:rsidR="00135F4D">
        <w:rPr>
          <w:rFonts w:ascii="Garamond" w:hAnsi="Garamond"/>
        </w:rPr>
        <w:t xml:space="preserve">. </w:t>
      </w:r>
      <w:r w:rsidR="004448CA">
        <w:rPr>
          <w:rFonts w:ascii="Garamond" w:hAnsi="Garamond"/>
        </w:rPr>
        <w:t>Conceptually, we predicted that</w:t>
      </w:r>
      <w:r w:rsidR="00B10AFA">
        <w:rPr>
          <w:rFonts w:ascii="Garamond" w:hAnsi="Garamond"/>
        </w:rPr>
        <w:t xml:space="preserve"> DNA methylation </w:t>
      </w:r>
      <w:r w:rsidR="004D7D58">
        <w:rPr>
          <w:rFonts w:ascii="Garamond" w:hAnsi="Garamond"/>
        </w:rPr>
        <w:t>controls</w:t>
      </w:r>
      <w:r w:rsidR="00B10AFA">
        <w:rPr>
          <w:rFonts w:ascii="Garamond" w:hAnsi="Garamond"/>
        </w:rPr>
        <w:t xml:space="preserve"> gene expression in the HPA axis and thus</w:t>
      </w:r>
      <w:r w:rsidR="004448CA">
        <w:rPr>
          <w:rFonts w:ascii="Garamond" w:hAnsi="Garamond"/>
        </w:rPr>
        <w:t xml:space="preserve"> affects</w:t>
      </w:r>
      <w:r w:rsidR="00B10AFA">
        <w:rPr>
          <w:rFonts w:ascii="Garamond" w:hAnsi="Garamond"/>
        </w:rPr>
        <w:t xml:space="preserve"> blood corticosterone levels (</w:t>
      </w:r>
      <w:proofErr w:type="gramStart"/>
      <w:r w:rsidR="00B10AFA">
        <w:rPr>
          <w:rFonts w:ascii="Garamond" w:hAnsi="Garamond"/>
        </w:rPr>
        <w:t>i.e.</w:t>
      </w:r>
      <w:proofErr w:type="gramEnd"/>
      <w:r w:rsidR="00B10AFA">
        <w:rPr>
          <w:rFonts w:ascii="Garamond" w:hAnsi="Garamond"/>
        </w:rPr>
        <w:t xml:space="preserve"> corticosterone </w:t>
      </w:r>
      <w:r w:rsidR="00FC2445">
        <w:rPr>
          <w:rFonts w:ascii="Garamond" w:hAnsi="Garamond"/>
        </w:rPr>
        <w:t>depends</w:t>
      </w:r>
      <w:r w:rsidR="00B10AFA">
        <w:rPr>
          <w:rFonts w:ascii="Garamond" w:hAnsi="Garamond"/>
        </w:rPr>
        <w:t xml:space="preserve"> on DNA methylation). However, due to the </w:t>
      </w:r>
      <w:r w:rsidR="00875CC0">
        <w:rPr>
          <w:rFonts w:ascii="Garamond" w:hAnsi="Garamond"/>
        </w:rPr>
        <w:t xml:space="preserve">hierarchical </w:t>
      </w:r>
      <w:r w:rsidR="00B10AFA">
        <w:rPr>
          <w:rFonts w:ascii="Garamond" w:hAnsi="Garamond"/>
        </w:rPr>
        <w:t>structure of the data, we found it more appropriate to model DNA methylation as the dependent variable</w:t>
      </w:r>
      <w:r w:rsidR="00E37303">
        <w:rPr>
          <w:rFonts w:ascii="Garamond" w:hAnsi="Garamond"/>
        </w:rPr>
        <w:t xml:space="preserve"> </w:t>
      </w:r>
      <w:r w:rsidR="0088665B">
        <w:rPr>
          <w:rFonts w:ascii="Garamond" w:hAnsi="Garamond"/>
        </w:rPr>
        <w:t xml:space="preserve">(with corticosterone as a fixed effect and CpG as a random effect). </w:t>
      </w:r>
      <w:r w:rsidR="002D3895">
        <w:rPr>
          <w:rFonts w:ascii="Garamond" w:hAnsi="Garamond"/>
          <w:b/>
          <w:bCs/>
        </w:rPr>
        <w:t xml:space="preserve"> </w:t>
      </w:r>
    </w:p>
    <w:p w14:paraId="6FC1BBB4" w14:textId="77777777" w:rsidR="002D3895" w:rsidRDefault="002D3895">
      <w:pPr>
        <w:rPr>
          <w:rFonts w:ascii="Garamond" w:hAnsi="Garamond"/>
          <w:b/>
          <w:bCs/>
        </w:rPr>
      </w:pPr>
    </w:p>
    <w:p w14:paraId="76832621" w14:textId="6F74F546" w:rsidR="001E3803" w:rsidRDefault="001E3803">
      <w:pPr>
        <w:rPr>
          <w:rFonts w:ascii="Garamond" w:hAnsi="Garamond"/>
          <w:b/>
          <w:bCs/>
        </w:rPr>
      </w:pPr>
      <w:r w:rsidRPr="001E3803">
        <w:rPr>
          <w:rFonts w:ascii="Garamond" w:hAnsi="Garamond"/>
          <w:b/>
          <w:bCs/>
        </w:rPr>
        <w:lastRenderedPageBreak/>
        <w:t xml:space="preserve">Results: </w:t>
      </w:r>
    </w:p>
    <w:p w14:paraId="4AC8D950" w14:textId="76C47258" w:rsidR="003B41A3" w:rsidRDefault="00FF5147">
      <w:pPr>
        <w:rPr>
          <w:rFonts w:ascii="Garamond" w:hAnsi="Garamond"/>
        </w:rPr>
      </w:pPr>
      <w:r>
        <w:rPr>
          <w:rFonts w:ascii="Garamond" w:hAnsi="Garamond"/>
        </w:rPr>
        <w:t>We q</w:t>
      </w:r>
      <w:r w:rsidR="002E370D">
        <w:rPr>
          <w:rFonts w:ascii="Garamond" w:hAnsi="Garamond"/>
        </w:rPr>
        <w:t>uantified methylation data at 56 CpG sites in the four focal genes</w:t>
      </w:r>
      <w:r w:rsidR="00546748">
        <w:rPr>
          <w:rFonts w:ascii="Garamond" w:hAnsi="Garamond"/>
        </w:rPr>
        <w:t xml:space="preserve"> (</w:t>
      </w:r>
      <w:r w:rsidR="006737FE">
        <w:rPr>
          <w:rFonts w:ascii="Garamond" w:hAnsi="Garamond"/>
        </w:rPr>
        <w:t>C</w:t>
      </w:r>
      <w:r w:rsidR="00546748">
        <w:rPr>
          <w:rFonts w:ascii="Garamond" w:hAnsi="Garamond"/>
        </w:rPr>
        <w:t xml:space="preserve">RH, </w:t>
      </w:r>
      <w:r w:rsidR="00470C22">
        <w:rPr>
          <w:rFonts w:ascii="Garamond" w:hAnsi="Garamond"/>
        </w:rPr>
        <w:t>FKBP5</w:t>
      </w:r>
      <w:r w:rsidR="00546748">
        <w:rPr>
          <w:rFonts w:ascii="Garamond" w:hAnsi="Garamond"/>
        </w:rPr>
        <w:t>, GR, and GRHR1)</w:t>
      </w:r>
      <w:r w:rsidR="002E370D">
        <w:rPr>
          <w:rFonts w:ascii="Garamond" w:hAnsi="Garamond"/>
        </w:rPr>
        <w:t>.</w:t>
      </w:r>
      <w:r w:rsidR="00B16658">
        <w:rPr>
          <w:rFonts w:ascii="Garamond" w:hAnsi="Garamond"/>
        </w:rPr>
        <w:t xml:space="preserve"> </w:t>
      </w:r>
      <w:r>
        <w:rPr>
          <w:rFonts w:ascii="Garamond" w:hAnsi="Garamond"/>
        </w:rPr>
        <w:t xml:space="preserve">After </w:t>
      </w:r>
      <w:commentRangeStart w:id="2"/>
      <w:commentRangeStart w:id="3"/>
      <w:r>
        <w:rPr>
          <w:rFonts w:ascii="Garamond" w:hAnsi="Garamond"/>
        </w:rPr>
        <w:t>filtering</w:t>
      </w:r>
      <w:commentRangeEnd w:id="2"/>
      <w:r w:rsidR="006C5C90">
        <w:rPr>
          <w:rStyle w:val="CommentReference"/>
        </w:rPr>
        <w:commentReference w:id="2"/>
      </w:r>
      <w:commentRangeEnd w:id="3"/>
      <w:r w:rsidR="00102DA1">
        <w:rPr>
          <w:rStyle w:val="CommentReference"/>
        </w:rPr>
        <w:commentReference w:id="3"/>
      </w:r>
      <w:r w:rsidR="00B16658">
        <w:rPr>
          <w:rFonts w:ascii="Garamond" w:hAnsi="Garamond"/>
        </w:rPr>
        <w:t xml:space="preserve">, we had methylation data from between </w:t>
      </w:r>
      <w:r w:rsidR="00AF7B1E">
        <w:rPr>
          <w:rFonts w:ascii="Garamond" w:hAnsi="Garamond"/>
        </w:rPr>
        <w:t>85 and 120</w:t>
      </w:r>
      <w:r w:rsidR="00B16658">
        <w:rPr>
          <w:rFonts w:ascii="Garamond" w:hAnsi="Garamond"/>
        </w:rPr>
        <w:t xml:space="preserve"> </w:t>
      </w:r>
      <w:r w:rsidR="00A70619">
        <w:rPr>
          <w:rFonts w:ascii="Garamond" w:hAnsi="Garamond"/>
        </w:rPr>
        <w:t>samples</w:t>
      </w:r>
      <w:r>
        <w:rPr>
          <w:rFonts w:ascii="Garamond" w:hAnsi="Garamond"/>
        </w:rPr>
        <w:t xml:space="preserve"> at each CpG</w:t>
      </w:r>
      <w:r w:rsidR="000E3AAB">
        <w:rPr>
          <w:rFonts w:ascii="Garamond" w:hAnsi="Garamond"/>
        </w:rPr>
        <w:t xml:space="preserve"> (Table S1)</w:t>
      </w:r>
      <w:r w:rsidR="00B16658">
        <w:rPr>
          <w:rFonts w:ascii="Garamond" w:hAnsi="Garamond"/>
        </w:rPr>
        <w:t>. The mean methylation per site varied from 2.6% to 76.8% (</w:t>
      </w:r>
      <w:r w:rsidR="001D00C8">
        <w:rPr>
          <w:rFonts w:ascii="Garamond" w:hAnsi="Garamond"/>
        </w:rPr>
        <w:t>Table S1</w:t>
      </w:r>
      <w:r w:rsidR="00B16658">
        <w:rPr>
          <w:rFonts w:ascii="Garamond" w:hAnsi="Garamond"/>
        </w:rPr>
        <w:t>).</w:t>
      </w:r>
    </w:p>
    <w:p w14:paraId="69582172" w14:textId="0AF0B715" w:rsidR="00A42E95" w:rsidRDefault="00A42E95" w:rsidP="00546748">
      <w:pPr>
        <w:ind w:firstLine="720"/>
        <w:rPr>
          <w:rFonts w:ascii="Garamond" w:hAnsi="Garamond"/>
        </w:rPr>
      </w:pPr>
      <w:r>
        <w:rPr>
          <w:rFonts w:ascii="Garamond" w:hAnsi="Garamond"/>
        </w:rPr>
        <w:t xml:space="preserve">Methylation </w:t>
      </w:r>
      <w:r w:rsidR="006737FE">
        <w:rPr>
          <w:rFonts w:ascii="Garamond" w:hAnsi="Garamond"/>
        </w:rPr>
        <w:t xml:space="preserve">of </w:t>
      </w:r>
      <w:r>
        <w:rPr>
          <w:rFonts w:ascii="Garamond" w:hAnsi="Garamond"/>
        </w:rPr>
        <w:t>the CRH gene did not significantly differ between treatments or between captures and was not associated with initial female brightness (</w:t>
      </w:r>
      <w:r w:rsidR="006F360F">
        <w:rPr>
          <w:rFonts w:ascii="Garamond" w:hAnsi="Garamond"/>
        </w:rPr>
        <w:t xml:space="preserve">Figure 1, </w:t>
      </w:r>
      <w:r w:rsidR="00862B7D">
        <w:rPr>
          <w:rFonts w:ascii="Garamond" w:hAnsi="Garamond"/>
        </w:rPr>
        <w:t>Table S2</w:t>
      </w:r>
      <w:r>
        <w:rPr>
          <w:rFonts w:ascii="Garamond" w:hAnsi="Garamond"/>
        </w:rPr>
        <w:t xml:space="preserve">). Methylation in the </w:t>
      </w:r>
      <w:r w:rsidR="006737FE">
        <w:rPr>
          <w:rFonts w:ascii="Garamond" w:hAnsi="Garamond"/>
        </w:rPr>
        <w:t xml:space="preserve">FKBP5 </w:t>
      </w:r>
      <w:r>
        <w:rPr>
          <w:rFonts w:ascii="Garamond" w:hAnsi="Garamond"/>
        </w:rPr>
        <w:t>gene was significantly higher</w:t>
      </w:r>
      <w:r w:rsidR="002E488E">
        <w:rPr>
          <w:rFonts w:ascii="Garamond" w:hAnsi="Garamond"/>
        </w:rPr>
        <w:t xml:space="preserve"> pre-treatment compared to post-treatment (Fig</w:t>
      </w:r>
      <w:r w:rsidR="003652BF">
        <w:rPr>
          <w:rFonts w:ascii="Garamond" w:hAnsi="Garamond"/>
        </w:rPr>
        <w:t>ure</w:t>
      </w:r>
      <w:r w:rsidR="002E488E">
        <w:rPr>
          <w:rFonts w:ascii="Garamond" w:hAnsi="Garamond"/>
        </w:rPr>
        <w:t xml:space="preserve"> </w:t>
      </w:r>
      <w:r w:rsidR="003652BF">
        <w:rPr>
          <w:rFonts w:ascii="Garamond" w:hAnsi="Garamond"/>
        </w:rPr>
        <w:t>1</w:t>
      </w:r>
      <w:r w:rsidR="00860089">
        <w:rPr>
          <w:rFonts w:ascii="Garamond" w:hAnsi="Garamond"/>
        </w:rPr>
        <w:t>, Table S3</w:t>
      </w:r>
      <w:r w:rsidR="002E488E">
        <w:rPr>
          <w:rFonts w:ascii="Garamond" w:hAnsi="Garamond"/>
        </w:rPr>
        <w:t>). However, there was no significant difference between treatments, and no relationship between initial brightness and methylation. In contrast, methylation in the GR gene was significantly lower pre-treatment compared to post-treatment (Fig</w:t>
      </w:r>
      <w:r w:rsidR="00860089">
        <w:rPr>
          <w:rFonts w:ascii="Garamond" w:hAnsi="Garamond"/>
        </w:rPr>
        <w:t>ure 1, Table S4</w:t>
      </w:r>
      <w:r w:rsidR="002E488E">
        <w:rPr>
          <w:rFonts w:ascii="Garamond" w:hAnsi="Garamond"/>
        </w:rPr>
        <w:t xml:space="preserve">). Again, methylation did not significantly differ between treatments and was uncorrelated with initial brightness. Finally, we found that methylation of the </w:t>
      </w:r>
      <w:r w:rsidR="006737FE">
        <w:rPr>
          <w:rFonts w:ascii="Garamond" w:hAnsi="Garamond"/>
        </w:rPr>
        <w:t>C</w:t>
      </w:r>
      <w:r w:rsidR="002E488E">
        <w:rPr>
          <w:rFonts w:ascii="Garamond" w:hAnsi="Garamond"/>
        </w:rPr>
        <w:t>RHR1 gene depended on the three-way interaction between treatment, capture, and brightness (Fig</w:t>
      </w:r>
      <w:r w:rsidR="00860089">
        <w:rPr>
          <w:rFonts w:ascii="Garamond" w:hAnsi="Garamond"/>
        </w:rPr>
        <w:t>ure 2</w:t>
      </w:r>
      <w:r w:rsidR="002E488E">
        <w:rPr>
          <w:rFonts w:ascii="Garamond" w:hAnsi="Garamond"/>
        </w:rPr>
        <w:t xml:space="preserve">, </w:t>
      </w:r>
      <w:r w:rsidR="00860089">
        <w:rPr>
          <w:rFonts w:ascii="Garamond" w:hAnsi="Garamond"/>
        </w:rPr>
        <w:t>Table S5</w:t>
      </w:r>
      <w:r w:rsidR="002E488E">
        <w:rPr>
          <w:rFonts w:ascii="Garamond" w:hAnsi="Garamond"/>
        </w:rPr>
        <w:t xml:space="preserve">). Females in the dulled treatment tended to lose methylation </w:t>
      </w:r>
      <w:r w:rsidR="0054740D">
        <w:rPr>
          <w:rFonts w:ascii="Garamond" w:hAnsi="Garamond"/>
        </w:rPr>
        <w:t xml:space="preserve">in </w:t>
      </w:r>
      <w:r w:rsidR="006737FE">
        <w:rPr>
          <w:rFonts w:ascii="Garamond" w:hAnsi="Garamond"/>
        </w:rPr>
        <w:t xml:space="preserve">CRHR1 </w:t>
      </w:r>
      <w:r w:rsidR="005005E6">
        <w:rPr>
          <w:rFonts w:ascii="Garamond" w:hAnsi="Garamond"/>
        </w:rPr>
        <w:t>following experimental dulling</w:t>
      </w:r>
      <w:r w:rsidR="002E488E">
        <w:rPr>
          <w:rFonts w:ascii="Garamond" w:hAnsi="Garamond"/>
        </w:rPr>
        <w:t>. The decrease in methylation post-treatment was</w:t>
      </w:r>
      <w:r w:rsidR="0054740D">
        <w:rPr>
          <w:rFonts w:ascii="Garamond" w:hAnsi="Garamond"/>
        </w:rPr>
        <w:t xml:space="preserve"> strongest </w:t>
      </w:r>
      <w:r w:rsidR="002E488E">
        <w:rPr>
          <w:rFonts w:ascii="Garamond" w:hAnsi="Garamond"/>
        </w:rPr>
        <w:t xml:space="preserve">for females that were originally bright. In contrast, for females in the control group, methylation tended to increase slightly post-treatment and did not depend on initial brightness. </w:t>
      </w:r>
    </w:p>
    <w:p w14:paraId="5FCD76CF" w14:textId="3952EF9A" w:rsidR="00C54984" w:rsidRDefault="0020644C" w:rsidP="00546748">
      <w:pPr>
        <w:ind w:firstLine="720"/>
        <w:rPr>
          <w:rFonts w:ascii="Garamond" w:hAnsi="Garamond"/>
        </w:rPr>
      </w:pPr>
      <w:r>
        <w:rPr>
          <w:rFonts w:ascii="Garamond" w:hAnsi="Garamond"/>
        </w:rPr>
        <w:t xml:space="preserve">In all genes the </w:t>
      </w:r>
      <w:r w:rsidR="00AD08AD">
        <w:rPr>
          <w:rFonts w:ascii="Garamond" w:hAnsi="Garamond"/>
        </w:rPr>
        <w:t>random</w:t>
      </w:r>
      <w:r>
        <w:rPr>
          <w:rFonts w:ascii="Garamond" w:hAnsi="Garamond"/>
        </w:rPr>
        <w:t xml:space="preserve"> effects of individual and CpG explained substantially more variation than did the </w:t>
      </w:r>
      <w:r w:rsidR="00AD08AD">
        <w:rPr>
          <w:rFonts w:ascii="Garamond" w:hAnsi="Garamond"/>
        </w:rPr>
        <w:t xml:space="preserve">fixed </w:t>
      </w:r>
      <w:r>
        <w:rPr>
          <w:rFonts w:ascii="Garamond" w:hAnsi="Garamond"/>
        </w:rPr>
        <w:t>effects of treatment, capture number, and initial brightness (</w:t>
      </w:r>
      <w:proofErr w:type="gramStart"/>
      <w:r>
        <w:rPr>
          <w:rFonts w:ascii="Garamond" w:hAnsi="Garamond"/>
        </w:rPr>
        <w:t>i.e.</w:t>
      </w:r>
      <w:proofErr w:type="gramEnd"/>
      <w:r>
        <w:rPr>
          <w:rFonts w:ascii="Garamond" w:hAnsi="Garamond"/>
        </w:rPr>
        <w:t xml:space="preserve"> Conditional R</w:t>
      </w:r>
      <w:r w:rsidRPr="0020644C">
        <w:rPr>
          <w:rFonts w:ascii="Garamond" w:hAnsi="Garamond"/>
          <w:vertAlign w:val="superscript"/>
        </w:rPr>
        <w:t>2</w:t>
      </w:r>
      <w:r>
        <w:rPr>
          <w:rFonts w:ascii="Garamond" w:hAnsi="Garamond"/>
        </w:rPr>
        <w:t xml:space="preserve"> &gt;&gt; Marginal R</w:t>
      </w:r>
      <w:r w:rsidRPr="0020644C">
        <w:rPr>
          <w:rFonts w:ascii="Garamond" w:hAnsi="Garamond"/>
          <w:vertAlign w:val="superscript"/>
        </w:rPr>
        <w:t>2</w:t>
      </w:r>
      <w:r>
        <w:rPr>
          <w:rFonts w:ascii="Garamond" w:hAnsi="Garamond"/>
        </w:rPr>
        <w:t xml:space="preserve">; Tables S2 – S5). </w:t>
      </w:r>
      <w:r w:rsidR="00C54984">
        <w:rPr>
          <w:rFonts w:ascii="Garamond" w:hAnsi="Garamond"/>
        </w:rPr>
        <w:t xml:space="preserve">Individual bird identity </w:t>
      </w:r>
      <w:r w:rsidR="00535D27">
        <w:rPr>
          <w:rFonts w:ascii="Garamond" w:hAnsi="Garamond"/>
        </w:rPr>
        <w:t xml:space="preserve">alone </w:t>
      </w:r>
      <w:r w:rsidR="00C54984">
        <w:rPr>
          <w:rFonts w:ascii="Garamond" w:hAnsi="Garamond"/>
        </w:rPr>
        <w:t xml:space="preserve">explained between 2.9% and 48% of variation in methylation at each gene (Tables S2 – S5).  </w:t>
      </w:r>
    </w:p>
    <w:p w14:paraId="1FA5543C" w14:textId="724DE6AC" w:rsidR="00BB09CF" w:rsidRDefault="0027064C" w:rsidP="00407B76">
      <w:pPr>
        <w:ind w:firstLine="720"/>
        <w:rPr>
          <w:rFonts w:ascii="Garamond" w:hAnsi="Garamond"/>
        </w:rPr>
      </w:pPr>
      <w:r>
        <w:rPr>
          <w:rFonts w:ascii="Garamond" w:hAnsi="Garamond"/>
        </w:rPr>
        <w:t>M</w:t>
      </w:r>
      <w:r w:rsidR="00896D26">
        <w:rPr>
          <w:rFonts w:ascii="Garamond" w:hAnsi="Garamond"/>
        </w:rPr>
        <w:t xml:space="preserve">ethylation of </w:t>
      </w:r>
      <w:r w:rsidR="006737FE">
        <w:rPr>
          <w:rFonts w:ascii="Garamond" w:hAnsi="Garamond"/>
        </w:rPr>
        <w:t xml:space="preserve">CRHR1 </w:t>
      </w:r>
      <w:r w:rsidR="00896D26">
        <w:rPr>
          <w:rFonts w:ascii="Garamond" w:hAnsi="Garamond"/>
        </w:rPr>
        <w:t xml:space="preserve">was significantly associated with </w:t>
      </w:r>
      <w:r>
        <w:rPr>
          <w:rFonts w:ascii="Garamond" w:hAnsi="Garamond"/>
        </w:rPr>
        <w:t xml:space="preserve">baseline </w:t>
      </w:r>
      <w:r w:rsidR="00896D26">
        <w:rPr>
          <w:rFonts w:ascii="Garamond" w:hAnsi="Garamond"/>
        </w:rPr>
        <w:t>corticosterone levels.</w:t>
      </w:r>
      <w:r w:rsidR="00F453BF">
        <w:rPr>
          <w:rFonts w:ascii="Garamond" w:hAnsi="Garamond"/>
        </w:rPr>
        <w:t xml:space="preserve"> </w:t>
      </w:r>
      <w:r w:rsidR="00A467C9">
        <w:rPr>
          <w:rFonts w:ascii="Garamond" w:hAnsi="Garamond"/>
        </w:rPr>
        <w:t>There was a</w:t>
      </w:r>
      <w:r w:rsidR="00C603F1">
        <w:rPr>
          <w:rFonts w:ascii="Garamond" w:hAnsi="Garamond"/>
        </w:rPr>
        <w:t xml:space="preserve"> significant</w:t>
      </w:r>
      <w:r w:rsidR="00A467C9">
        <w:rPr>
          <w:rFonts w:ascii="Garamond" w:hAnsi="Garamond"/>
        </w:rPr>
        <w:t xml:space="preserve"> negative relationship between baseline cort</w:t>
      </w:r>
      <w:r w:rsidR="006737FE">
        <w:rPr>
          <w:rFonts w:ascii="Garamond" w:hAnsi="Garamond"/>
        </w:rPr>
        <w:t>icosterone</w:t>
      </w:r>
      <w:r w:rsidR="00A467C9">
        <w:rPr>
          <w:rFonts w:ascii="Garamond" w:hAnsi="Garamond"/>
        </w:rPr>
        <w:t xml:space="preserve"> and methylation in </w:t>
      </w:r>
      <w:r w:rsidR="006737FE">
        <w:rPr>
          <w:rFonts w:ascii="Garamond" w:hAnsi="Garamond"/>
        </w:rPr>
        <w:t xml:space="preserve">CRHR1 </w:t>
      </w:r>
      <w:r w:rsidR="00A467C9">
        <w:rPr>
          <w:rFonts w:ascii="Garamond" w:hAnsi="Garamond"/>
        </w:rPr>
        <w:t>(</w:t>
      </w:r>
      <w:r w:rsidR="00A7662C">
        <w:rPr>
          <w:rFonts w:ascii="Garamond" w:hAnsi="Garamond"/>
        </w:rPr>
        <w:t xml:space="preserve">LMM P &lt; 0.001; </w:t>
      </w:r>
      <w:r w:rsidR="00A467C9">
        <w:rPr>
          <w:rFonts w:ascii="Garamond" w:hAnsi="Garamond"/>
        </w:rPr>
        <w:t xml:space="preserve">Figure </w:t>
      </w:r>
      <w:r w:rsidR="00651B9D">
        <w:rPr>
          <w:rFonts w:ascii="Garamond" w:hAnsi="Garamond"/>
        </w:rPr>
        <w:t>2</w:t>
      </w:r>
      <w:r w:rsidR="00B664B4">
        <w:rPr>
          <w:rFonts w:ascii="Garamond" w:hAnsi="Garamond"/>
        </w:rPr>
        <w:t xml:space="preserve">; Table </w:t>
      </w:r>
      <w:r w:rsidR="000F63F7">
        <w:rPr>
          <w:rFonts w:ascii="Garamond" w:hAnsi="Garamond"/>
        </w:rPr>
        <w:t>S</w:t>
      </w:r>
      <w:r w:rsidR="002464D4">
        <w:rPr>
          <w:rFonts w:ascii="Garamond" w:hAnsi="Garamond"/>
        </w:rPr>
        <w:t>6</w:t>
      </w:r>
      <w:r w:rsidR="00A467C9">
        <w:rPr>
          <w:rFonts w:ascii="Garamond" w:hAnsi="Garamond"/>
        </w:rPr>
        <w:t xml:space="preserve">). </w:t>
      </w:r>
      <w:r>
        <w:rPr>
          <w:rFonts w:ascii="Garamond" w:hAnsi="Garamond"/>
        </w:rPr>
        <w:t>Baseline corticosterone</w:t>
      </w:r>
      <w:r w:rsidR="00A467C9">
        <w:rPr>
          <w:rFonts w:ascii="Garamond" w:hAnsi="Garamond"/>
        </w:rPr>
        <w:t xml:space="preserve"> was not associated with methylation of any other of the three genes</w:t>
      </w:r>
      <w:r w:rsidR="000F63F7">
        <w:rPr>
          <w:rFonts w:ascii="Garamond" w:hAnsi="Garamond"/>
        </w:rPr>
        <w:t xml:space="preserve"> (Tables S</w:t>
      </w:r>
      <w:r w:rsidR="002464D4">
        <w:rPr>
          <w:rFonts w:ascii="Garamond" w:hAnsi="Garamond"/>
        </w:rPr>
        <w:t>7</w:t>
      </w:r>
      <w:r w:rsidR="007C4AAC">
        <w:rPr>
          <w:rFonts w:ascii="Garamond" w:hAnsi="Garamond"/>
        </w:rPr>
        <w:t xml:space="preserve"> – S</w:t>
      </w:r>
      <w:r w:rsidR="002464D4">
        <w:rPr>
          <w:rFonts w:ascii="Garamond" w:hAnsi="Garamond"/>
        </w:rPr>
        <w:t>9</w:t>
      </w:r>
      <w:r w:rsidR="007C4AAC">
        <w:rPr>
          <w:rFonts w:ascii="Garamond" w:hAnsi="Garamond"/>
        </w:rPr>
        <w:t>)</w:t>
      </w:r>
      <w:r w:rsidR="00A467C9">
        <w:rPr>
          <w:rFonts w:ascii="Garamond" w:hAnsi="Garamond"/>
        </w:rPr>
        <w:t xml:space="preserve">. </w:t>
      </w:r>
      <w:r>
        <w:rPr>
          <w:rFonts w:ascii="Garamond" w:hAnsi="Garamond"/>
        </w:rPr>
        <w:t>There was no significant association between pre-treatment stress-induced corticosterone and methylation of any of the four genes (Tables S1</w:t>
      </w:r>
      <w:r w:rsidR="00A7662C">
        <w:rPr>
          <w:rFonts w:ascii="Garamond" w:hAnsi="Garamond"/>
        </w:rPr>
        <w:t>0</w:t>
      </w:r>
      <w:r>
        <w:rPr>
          <w:rFonts w:ascii="Garamond" w:hAnsi="Garamond"/>
        </w:rPr>
        <w:t xml:space="preserve"> – S1</w:t>
      </w:r>
      <w:r w:rsidR="00A7662C">
        <w:rPr>
          <w:rFonts w:ascii="Garamond" w:hAnsi="Garamond"/>
        </w:rPr>
        <w:t>3</w:t>
      </w:r>
      <w:r>
        <w:rPr>
          <w:rFonts w:ascii="Garamond" w:hAnsi="Garamond"/>
        </w:rPr>
        <w:t>). There was also no significant association between pre-treatment dexamethasone-controlled corticosterone and methylation in any of the four genes (Tables S1</w:t>
      </w:r>
      <w:r w:rsidR="00A7662C">
        <w:rPr>
          <w:rFonts w:ascii="Garamond" w:hAnsi="Garamond"/>
        </w:rPr>
        <w:t>4</w:t>
      </w:r>
      <w:r>
        <w:rPr>
          <w:rFonts w:ascii="Garamond" w:hAnsi="Garamond"/>
        </w:rPr>
        <w:t xml:space="preserve"> – S1</w:t>
      </w:r>
      <w:r w:rsidR="00A7662C">
        <w:rPr>
          <w:rFonts w:ascii="Garamond" w:hAnsi="Garamond"/>
        </w:rPr>
        <w:t>7</w:t>
      </w:r>
      <w:r>
        <w:rPr>
          <w:rFonts w:ascii="Garamond" w:hAnsi="Garamond"/>
        </w:rPr>
        <w:t xml:space="preserve">). </w:t>
      </w:r>
    </w:p>
    <w:p w14:paraId="7412006F" w14:textId="270F7E45" w:rsidR="00544BF7" w:rsidRDefault="00544BF7">
      <w:pPr>
        <w:rPr>
          <w:rFonts w:ascii="Garamond" w:hAnsi="Garamond"/>
        </w:rPr>
      </w:pPr>
    </w:p>
    <w:p w14:paraId="186BE021" w14:textId="7471FBAB" w:rsidR="00B52C35" w:rsidRDefault="00B52C35">
      <w:pPr>
        <w:rPr>
          <w:rFonts w:ascii="Garamond" w:hAnsi="Garamond"/>
          <w:b/>
          <w:bCs/>
        </w:rPr>
      </w:pPr>
      <w:r>
        <w:rPr>
          <w:rFonts w:ascii="Garamond" w:hAnsi="Garamond"/>
          <w:b/>
          <w:bCs/>
        </w:rPr>
        <w:t>Discussion</w:t>
      </w:r>
    </w:p>
    <w:p w14:paraId="522A142E" w14:textId="2B3CECB5" w:rsidR="00BC7990" w:rsidRDefault="006874F8" w:rsidP="0027064C">
      <w:pPr>
        <w:rPr>
          <w:rFonts w:ascii="Garamond" w:hAnsi="Garamond"/>
        </w:rPr>
      </w:pPr>
      <w:r>
        <w:rPr>
          <w:rFonts w:ascii="Garamond" w:hAnsi="Garamond"/>
        </w:rPr>
        <w:t>In this study we tested the effects of manipulating a key social plumage signal on</w:t>
      </w:r>
      <w:r w:rsidR="00C50878">
        <w:rPr>
          <w:rFonts w:ascii="Garamond" w:hAnsi="Garamond"/>
        </w:rPr>
        <w:t xml:space="preserve"> HPA-axis methylation </w:t>
      </w:r>
      <w:r w:rsidR="00C66878">
        <w:rPr>
          <w:rFonts w:ascii="Garamond" w:hAnsi="Garamond"/>
        </w:rPr>
        <w:t xml:space="preserve">in tree swallows. </w:t>
      </w:r>
      <w:r w:rsidR="00E048BB">
        <w:rPr>
          <w:rFonts w:ascii="Garamond" w:hAnsi="Garamond"/>
        </w:rPr>
        <w:t xml:space="preserve">We found that experimentally dulling the white breast plumage of tree swallows </w:t>
      </w:r>
      <w:r w:rsidR="00111BEE">
        <w:rPr>
          <w:rFonts w:ascii="Garamond" w:hAnsi="Garamond"/>
        </w:rPr>
        <w:t>resulted in</w:t>
      </w:r>
      <w:r w:rsidR="00E048BB">
        <w:rPr>
          <w:rFonts w:ascii="Garamond" w:hAnsi="Garamond"/>
        </w:rPr>
        <w:t xml:space="preserve"> changes in the methylation of the </w:t>
      </w:r>
      <w:r w:rsidR="00C50878">
        <w:rPr>
          <w:rFonts w:ascii="Garamond" w:hAnsi="Garamond"/>
        </w:rPr>
        <w:t>corticotropin releasing hormone receptor 1 (</w:t>
      </w:r>
      <w:r w:rsidR="009702AF">
        <w:rPr>
          <w:rFonts w:ascii="Garamond" w:hAnsi="Garamond"/>
        </w:rPr>
        <w:t>CRHR1</w:t>
      </w:r>
      <w:r w:rsidR="00C50878">
        <w:rPr>
          <w:rFonts w:ascii="Garamond" w:hAnsi="Garamond"/>
        </w:rPr>
        <w:t>)</w:t>
      </w:r>
      <w:r w:rsidR="00E048BB">
        <w:rPr>
          <w:rFonts w:ascii="Garamond" w:hAnsi="Garamond"/>
        </w:rPr>
        <w:t xml:space="preserve"> gene. </w:t>
      </w:r>
      <w:r w:rsidR="0035386E">
        <w:rPr>
          <w:rFonts w:ascii="Garamond" w:hAnsi="Garamond"/>
        </w:rPr>
        <w:t xml:space="preserve">The effect of dulling on methylation was strongest for females who were initially bright, suggesting that high-status females experienced the </w:t>
      </w:r>
      <w:r w:rsidR="00CC3773">
        <w:rPr>
          <w:rFonts w:ascii="Garamond" w:hAnsi="Garamond"/>
        </w:rPr>
        <w:t xml:space="preserve">strongest </w:t>
      </w:r>
      <w:r w:rsidR="0035386E">
        <w:rPr>
          <w:rFonts w:ascii="Garamond" w:hAnsi="Garamond"/>
        </w:rPr>
        <w:t>consequences of social environment change.</w:t>
      </w:r>
      <w:r w:rsidR="0027064C">
        <w:rPr>
          <w:rFonts w:ascii="Garamond" w:hAnsi="Garamond"/>
        </w:rPr>
        <w:t xml:space="preserve"> </w:t>
      </w:r>
      <w:r w:rsidR="00C50878">
        <w:rPr>
          <w:rFonts w:ascii="Garamond" w:hAnsi="Garamond"/>
        </w:rPr>
        <w:t>CRHR1</w:t>
      </w:r>
      <w:r w:rsidR="00691227">
        <w:rPr>
          <w:rFonts w:ascii="Garamond" w:hAnsi="Garamond"/>
        </w:rPr>
        <w:t xml:space="preserve"> binds corticotropin releasing </w:t>
      </w:r>
      <w:r w:rsidR="006924D0">
        <w:rPr>
          <w:rFonts w:ascii="Garamond" w:hAnsi="Garamond"/>
        </w:rPr>
        <w:t>hormone</w:t>
      </w:r>
      <w:r w:rsidR="00691227">
        <w:rPr>
          <w:rFonts w:ascii="Garamond" w:hAnsi="Garamond"/>
        </w:rPr>
        <w:t xml:space="preserve"> (</w:t>
      </w:r>
      <w:r w:rsidR="006924D0">
        <w:rPr>
          <w:rFonts w:ascii="Garamond" w:hAnsi="Garamond"/>
        </w:rPr>
        <w:t>CRH</w:t>
      </w:r>
      <w:r w:rsidR="00691227">
        <w:rPr>
          <w:rFonts w:ascii="Garamond" w:hAnsi="Garamond"/>
        </w:rPr>
        <w:t>), triggering the release of the adrenocorticotropic hormone</w:t>
      </w:r>
      <w:r w:rsidR="0022311C">
        <w:rPr>
          <w:rFonts w:ascii="Garamond" w:hAnsi="Garamond"/>
        </w:rPr>
        <w:t xml:space="preserve"> which leads</w:t>
      </w:r>
      <w:r w:rsidR="00691227">
        <w:rPr>
          <w:rFonts w:ascii="Garamond" w:hAnsi="Garamond"/>
        </w:rPr>
        <w:t xml:space="preserve"> to the</w:t>
      </w:r>
      <w:r w:rsidR="008467BD">
        <w:rPr>
          <w:rFonts w:ascii="Garamond" w:hAnsi="Garamond"/>
        </w:rPr>
        <w:t xml:space="preserve"> release </w:t>
      </w:r>
      <w:r w:rsidR="00691227">
        <w:rPr>
          <w:rFonts w:ascii="Garamond" w:hAnsi="Garamond"/>
        </w:rPr>
        <w:t xml:space="preserve">of </w:t>
      </w:r>
      <w:r w:rsidR="006A6531">
        <w:rPr>
          <w:rFonts w:ascii="Garamond" w:hAnsi="Garamond"/>
        </w:rPr>
        <w:t>corticosteroids</w:t>
      </w:r>
      <w:r w:rsidR="00691227">
        <w:rPr>
          <w:rFonts w:ascii="Garamond" w:hAnsi="Garamond"/>
        </w:rPr>
        <w:t xml:space="preserve"> </w:t>
      </w:r>
      <w:r w:rsidR="00691227">
        <w:rPr>
          <w:rFonts w:ascii="Garamond" w:hAnsi="Garamond"/>
        </w:rPr>
        <w:fldChar w:fldCharType="begin"/>
      </w:r>
      <w:r w:rsidR="00416F57">
        <w:rPr>
          <w:rFonts w:ascii="Garamond" w:hAnsi="Garamond"/>
        </w:rPr>
        <w:instrText xml:space="preserve"> ADDIN ZOTERO_ITEM CSL_CITATION {"citationID":"uySJiyWA","properties":{"formattedCitation":"(Schartner et al., 2017)","plainCitation":"(Schartner et al., 2017)","noteIndex":0},"citationItems":[{"id":5768,"uris":["http://zotero.org/users/5430941/items/IHPUNF3P"],"itemData":{"id":5768,"type":"article-journal","container-title":"European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schema":"https://github.com/citation-style-language/schema/raw/master/csl-citation.json"} </w:instrText>
      </w:r>
      <w:r w:rsidR="00691227">
        <w:rPr>
          <w:rFonts w:ascii="Garamond" w:hAnsi="Garamond"/>
        </w:rPr>
        <w:fldChar w:fldCharType="separate"/>
      </w:r>
      <w:r w:rsidR="00416F57">
        <w:rPr>
          <w:rFonts w:ascii="Garamond" w:hAnsi="Garamond"/>
          <w:noProof/>
        </w:rPr>
        <w:t>(Schartner et al., 2017)</w:t>
      </w:r>
      <w:r w:rsidR="00691227">
        <w:rPr>
          <w:rFonts w:ascii="Garamond" w:hAnsi="Garamond"/>
        </w:rPr>
        <w:fldChar w:fldCharType="end"/>
      </w:r>
      <w:r w:rsidR="00691227">
        <w:rPr>
          <w:rFonts w:ascii="Garamond" w:hAnsi="Garamond"/>
        </w:rPr>
        <w:t xml:space="preserve">. </w:t>
      </w:r>
      <w:r w:rsidR="00BC7990">
        <w:rPr>
          <w:rFonts w:ascii="Garamond" w:hAnsi="Garamond"/>
        </w:rPr>
        <w:t xml:space="preserve">Decreased methylation of CRHR1 and associated upregulation of this gene are associated with anxiety-related phenotypes in humans and </w:t>
      </w:r>
      <w:r w:rsidR="008E0506">
        <w:rPr>
          <w:rFonts w:ascii="Garamond" w:hAnsi="Garamond"/>
        </w:rPr>
        <w:t>rodent</w:t>
      </w:r>
      <w:r w:rsidR="00BC7990">
        <w:rPr>
          <w:rFonts w:ascii="Garamond" w:hAnsi="Garamond"/>
        </w:rPr>
        <w:t xml:space="preserve"> models </w:t>
      </w:r>
      <w:r w:rsidR="00BC7990">
        <w:rPr>
          <w:rFonts w:ascii="Garamond" w:hAnsi="Garamond"/>
        </w:rPr>
        <w:fldChar w:fldCharType="begin"/>
      </w:r>
      <w:r w:rsidR="00416F57">
        <w:rPr>
          <w:rFonts w:ascii="Garamond" w:hAnsi="Garamond"/>
        </w:rPr>
        <w:instrText xml:space="preserve"> ADDIN ZOTERO_ITEM CSL_CITATION {"citationID":"4vxzjaAc","properties":{"formattedCitation":"(Plank et al., 2021; Schartner et al., 2017; Sotnikov &amp; Markt, 2014)","plainCitation":"(Plank et al., 2021; Schartner et al., 2017; Sotnikov &amp; Markt, 2014)","noteIndex":0},"citationItems":[{"id":5771,"uris":["http://zotero.org/users/5430941/items/WXIAT6UP"],"itemData":{"id":5771,"type":"article-journal","abstract":"In our previous study, we found that prenatal trauma exposure leads to an anxiety phenotype in mouse pups, characterized by increased corticosterone levels and increased anxiety-like behavior. In order to understand the mechanisms by which aversive in utero experience leads to these long-lasting behavioral and neuroendocrine changes, we investigated stress reactivity of prenatally traumatized (PT) mice, as well as the expression and methylation levels of several key regulatory genes of the stress axis in the dorsal hippocampus (dHPC) of the PT embryo and adult mice. We detected increased corticotropin-releasing hormone receptor 1 (Crhr1) and decreased FK506 binding protein 5 (Fkbp5) mRNA levels in the left dHPC of adult PT mice. These alterations were accompanied by a decreased methylation status of the Crhr1 promoter and an increased methylation status of the Fkbp5 promoter, respectively. Interestingly, the changes in Fkbp5 and Crhr1 mRNA levels were not detected in the embryonic dHPC of PT mice. Together, our ﬁndings provide evidence that prenatal trauma has a long-term impact on stress axis function and anxiety phenotype associated with altered Crhr1 and Fkbp5 transcripts and promoter methylation.","container-title":"Translational Psychiatry","DOI":"10.1038/s41398-021-01293-y","ISSN":"2158-3188","issue":"1","journalAbbreviation":"Transl Psychiatry","language":"en","page":"183","source":"DOI.org (Crossref)","title":"Prenatally traumatized mice reveal hippocampal methylation and expression changes of the stress-related genes Crhr1 and Fkbp5","volume":"11","author":[{"family":"Plank","given":"Anne-Christine"},{"family":"Frey","given":"Stefan"},{"family":"Basedow","given":"Lukas Andreas"},{"family":"Solati","given":"Jalal"},{"family":"Canneva","given":"Fabio"},{"family":"Hörsten","given":"Stephan","non-dropping-particle":"von"},{"family":"Kratz","given":"Oliver"},{"family":"Moll","given":"Gunther H."},{"family":"Golub","given":"Yulia"}],"issued":{"date-parts":[["2021",3,23]]}}},{"id":5768,"uris":["http://zotero.org/users/5430941/items/IHPUNF3P"],"itemData":{"id":5768,"type":"article-journal","container-title":"European Neuropsychopharmacology","DOI":"10.1016/j.euroneuro.2017.01.005","ISSN":"0924977X","issue":"4","journalAbbreviation":"European Neuropsychopharmacology","language":"en","page":"360-371","source":"DOI.org (Crossref)","title":"CRHR1 promoter hypomethylation: An epigenetic readout of panic disorder?","title-short":"CRHR1 promoter hypomethylation","volume":"27","author":[{"family":"Schartner","given":"Christoph"},{"family":"Ziegler","given":"Christiane"},{"family":"Schiele","given":"Miriam A."},{"family":"Kollert","given":"Leonie"},{"family":"Weber","given":"Heike"},{"family":"Zwanzger","given":"Peter"},{"family":"Arolt","given":"Volker"},{"family":"Pauli","given":"Paul"},{"family":"Deckert","given":"Jürgen"},{"family":"Reif","given":"Andreas"},{"family":"Domschke","given":"Katharina"}],"issued":{"date-parts":[["2017",4]]}}},{"id":5772,"uris":["http://zotero.org/users/5430941/items/KCLPPMM7"],"itemData":{"id":5772,"type":"article-journal","container-title":"Receptors &amp; Clinical Investigation","DOI":"10.14800/rci.175","ISSN":"23300566","journalAbbreviation":"Receptor Clin Invest","language":"en","source":"DOI.org (Crossref)","title":"Epigenetic regulation of corticotropin-releasing hormone receptor 1: implication for anxiety-related disorders","title-short":"Epigenetic regulation of corticotropin-releasing hormone receptor 1","URL":"http://www.smartscitech.com/index.php/rci/article/view/175","author":[{"family":"Sotnikov","given":"Sergey V."},{"family":"Markt","given":"Patrick O."}],"accessed":{"date-parts":[["2023",2,5]]},"issued":{"date-parts":[["2014",7,1]]}}}],"schema":"https://github.com/citation-style-language/schema/raw/master/csl-citation.json"} </w:instrText>
      </w:r>
      <w:r w:rsidR="00BC7990">
        <w:rPr>
          <w:rFonts w:ascii="Garamond" w:hAnsi="Garamond"/>
        </w:rPr>
        <w:fldChar w:fldCharType="separate"/>
      </w:r>
      <w:r w:rsidR="00416F57">
        <w:rPr>
          <w:rFonts w:ascii="Garamond" w:hAnsi="Garamond" w:cs="Times New Roman"/>
        </w:rPr>
        <w:t>(Plank et al., 2021; Schartner et al., 2017; Sotnikov &amp; Markt, 2014)</w:t>
      </w:r>
      <w:r w:rsidR="00BC7990">
        <w:rPr>
          <w:rFonts w:ascii="Garamond" w:hAnsi="Garamond"/>
        </w:rPr>
        <w:fldChar w:fldCharType="end"/>
      </w:r>
      <w:r w:rsidR="00BC7990">
        <w:rPr>
          <w:rFonts w:ascii="Garamond" w:hAnsi="Garamond"/>
        </w:rPr>
        <w:t xml:space="preserve">. </w:t>
      </w:r>
      <w:r w:rsidR="009B62FE">
        <w:rPr>
          <w:rFonts w:ascii="Garamond" w:hAnsi="Garamond"/>
        </w:rPr>
        <w:t>B</w:t>
      </w:r>
      <w:r w:rsidR="00BC7990">
        <w:rPr>
          <w:rFonts w:ascii="Garamond" w:hAnsi="Garamond"/>
        </w:rPr>
        <w:t xml:space="preserve">aseline corticosterone </w:t>
      </w:r>
      <w:r w:rsidR="009B62FE">
        <w:rPr>
          <w:rFonts w:ascii="Garamond" w:hAnsi="Garamond"/>
        </w:rPr>
        <w:t xml:space="preserve">values in our tree swallows were </w:t>
      </w:r>
      <w:r w:rsidR="00BC7990">
        <w:rPr>
          <w:rFonts w:ascii="Garamond" w:hAnsi="Garamond"/>
        </w:rPr>
        <w:t xml:space="preserve">negatively associated with methylation across this gene. Thus, the decrease in methylation that we observed in females is consistent with the </w:t>
      </w:r>
      <w:r w:rsidR="00C50878">
        <w:rPr>
          <w:rFonts w:ascii="Garamond" w:hAnsi="Garamond"/>
        </w:rPr>
        <w:t xml:space="preserve">upregulation of this gene </w:t>
      </w:r>
      <w:r w:rsidR="0027064C">
        <w:rPr>
          <w:rFonts w:ascii="Garamond" w:hAnsi="Garamond"/>
        </w:rPr>
        <w:t xml:space="preserve">and </w:t>
      </w:r>
      <w:commentRangeStart w:id="4"/>
      <w:r w:rsidR="0027064C">
        <w:rPr>
          <w:rFonts w:ascii="Garamond" w:hAnsi="Garamond"/>
        </w:rPr>
        <w:t xml:space="preserve">activation of the HPA-axis </w:t>
      </w:r>
      <w:commentRangeEnd w:id="4"/>
      <w:r w:rsidR="0027064C">
        <w:rPr>
          <w:rStyle w:val="CommentReference"/>
        </w:rPr>
        <w:commentReference w:id="4"/>
      </w:r>
      <w:r w:rsidR="00BC7990">
        <w:rPr>
          <w:rFonts w:ascii="Garamond" w:hAnsi="Garamond"/>
        </w:rPr>
        <w:t>in response to</w:t>
      </w:r>
      <w:r w:rsidR="00F16054">
        <w:rPr>
          <w:rFonts w:ascii="Garamond" w:hAnsi="Garamond"/>
        </w:rPr>
        <w:t xml:space="preserve"> plumage dulling</w:t>
      </w:r>
      <w:r w:rsidR="00ED6CFD">
        <w:rPr>
          <w:rFonts w:ascii="Garamond" w:hAnsi="Garamond"/>
        </w:rPr>
        <w:t xml:space="preserve"> </w:t>
      </w:r>
      <w:r w:rsidR="00F16054">
        <w:rPr>
          <w:rFonts w:ascii="Garamond" w:hAnsi="Garamond"/>
        </w:rPr>
        <w:t xml:space="preserve">and </w:t>
      </w:r>
      <w:r w:rsidR="00ED6CFD">
        <w:rPr>
          <w:rFonts w:ascii="Garamond" w:hAnsi="Garamond"/>
        </w:rPr>
        <w:t xml:space="preserve">the </w:t>
      </w:r>
      <w:r w:rsidR="00F16054">
        <w:rPr>
          <w:rFonts w:ascii="Garamond" w:hAnsi="Garamond"/>
        </w:rPr>
        <w:t xml:space="preserve">concomitant changes to the social environment </w:t>
      </w:r>
      <w:r w:rsidR="00F16054">
        <w:rPr>
          <w:rFonts w:ascii="Garamond" w:hAnsi="Garamond"/>
        </w:rPr>
        <w:fldChar w:fldCharType="begin"/>
      </w:r>
      <w:r w:rsidR="00F16054">
        <w:rPr>
          <w:rFonts w:ascii="Garamond" w:hAnsi="Garamond"/>
        </w:rPr>
        <w:instrText xml:space="preserve"> ADDIN ZOTERO_ITEM CSL_CITATION {"citationID":"4XxP8epj","properties":{"formattedCitation":"(Taff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F16054">
        <w:rPr>
          <w:rFonts w:ascii="Garamond" w:hAnsi="Garamond"/>
        </w:rPr>
        <w:fldChar w:fldCharType="separate"/>
      </w:r>
      <w:r w:rsidR="00F16054">
        <w:rPr>
          <w:rFonts w:ascii="Garamond" w:hAnsi="Garamond"/>
          <w:noProof/>
        </w:rPr>
        <w:t>(Taff et al., 2021)</w:t>
      </w:r>
      <w:r w:rsidR="00F16054">
        <w:rPr>
          <w:rFonts w:ascii="Garamond" w:hAnsi="Garamond"/>
        </w:rPr>
        <w:fldChar w:fldCharType="end"/>
      </w:r>
      <w:r w:rsidR="00F16054">
        <w:rPr>
          <w:rFonts w:ascii="Garamond" w:hAnsi="Garamond"/>
        </w:rPr>
        <w:t xml:space="preserve">. </w:t>
      </w:r>
    </w:p>
    <w:p w14:paraId="16DB388F" w14:textId="73EA2A18" w:rsidR="00D804DD" w:rsidRDefault="00B6138D" w:rsidP="00D804DD">
      <w:pPr>
        <w:ind w:firstLine="720"/>
        <w:rPr>
          <w:rFonts w:ascii="Garamond" w:hAnsi="Garamond"/>
        </w:rPr>
      </w:pPr>
      <w:r>
        <w:rPr>
          <w:rFonts w:ascii="Garamond" w:hAnsi="Garamond"/>
        </w:rPr>
        <w:t>In contrast, the m</w:t>
      </w:r>
      <w:r w:rsidR="00C33025">
        <w:rPr>
          <w:rFonts w:ascii="Garamond" w:hAnsi="Garamond"/>
        </w:rPr>
        <w:t xml:space="preserve">ethylation of the other three genes we studied (GR, FKBP5, and </w:t>
      </w:r>
      <w:r w:rsidR="00C33025" w:rsidRPr="00585A79">
        <w:rPr>
          <w:rFonts w:ascii="Garamond" w:hAnsi="Garamond"/>
        </w:rPr>
        <w:t>CRH</w:t>
      </w:r>
      <w:r w:rsidR="00C33025">
        <w:rPr>
          <w:rFonts w:ascii="Garamond" w:hAnsi="Garamond"/>
        </w:rPr>
        <w:t xml:space="preserve">) was not </w:t>
      </w:r>
      <w:r w:rsidR="00111BEE">
        <w:rPr>
          <w:rFonts w:ascii="Garamond" w:hAnsi="Garamond"/>
        </w:rPr>
        <w:t>significantly associated</w:t>
      </w:r>
      <w:r w:rsidR="00C33025">
        <w:rPr>
          <w:rFonts w:ascii="Garamond" w:hAnsi="Garamond"/>
        </w:rPr>
        <w:t xml:space="preserve"> with treatment. </w:t>
      </w:r>
      <w:r w:rsidR="00C50878">
        <w:rPr>
          <w:rFonts w:ascii="Garamond" w:hAnsi="Garamond"/>
        </w:rPr>
        <w:t>We chose these candidate genes as targets because they have known epigenetic associations with stress</w:t>
      </w:r>
      <w:r w:rsidR="00D62BC3">
        <w:rPr>
          <w:rFonts w:ascii="Garamond" w:hAnsi="Garamond"/>
        </w:rPr>
        <w:t xml:space="preserve"> in humans and model organisms</w:t>
      </w:r>
      <w:r w:rsidR="00C50878">
        <w:rPr>
          <w:rFonts w:ascii="Garamond" w:hAnsi="Garamond"/>
        </w:rPr>
        <w:t xml:space="preserve"> </w:t>
      </w:r>
      <w:r w:rsidR="00C50878">
        <w:rPr>
          <w:rFonts w:ascii="Garamond" w:hAnsi="Garamond"/>
        </w:rPr>
        <w:fldChar w:fldCharType="begin"/>
      </w:r>
      <w:r w:rsidR="00416F57">
        <w:rPr>
          <w:rFonts w:ascii="Garamond" w:hAnsi="Garamond"/>
        </w:rPr>
        <w:instrText xml:space="preserve"> ADDIN ZOTERO_ITEM CSL_CITATION {"citationID":"9wVxJxpm","properties":{"formattedCitation":"(Lee &amp; Sawa, 2014)","plainCitation":"(Lee &amp; Sawa, 2014)","noteIndex":0},"citationItems":[{"id":5801,"uris":["http://zotero.org/users/5430941/items/596UG6FQ"],"itemData":{"id":5801,"type":"article-journal","abstract":"In this review, we provide a brief summary of several key studies that broaden our understanding of stress and its epigenetic control of the function and behavior of the hypothalamic-pituitary-adrenal (HPA) axis. Clinical and animal studies suggest a link among exposure to stress, dysregulation of the HPA axis, and susceptibility to neuropsychiatric illnesses. Recent studies have supported the notion that exposure to glucocorticoids and stress in various forms, durations, and intensities during different periods of development leads to long-lasting maladaptive HPA axis response in the brain. They demonstrate that this maladaptive response is comprised of persistent epigenetic changes in the function of HPA axis-associated genes that govern homeostatic levels of glucocorticoids. Stressors and/or disruption of glucocorticoid dynamics also target genes such as &lt;i&gt;brain-derived neurotrophic factor&lt;/i&gt;&lt;i&gt;(BDNF)&lt;/i&gt; and &lt;i&gt;tyrosine hydroxylase&lt;/i&gt;&lt;i&gt;(TH)&lt;/i&gt; that are important for neuronal function and behavior. While a definitive role for epigenetic mechanisms remains unclear, these emerging studies implicate glucocorticoid signaling and its ability to alter the epigenetic landscape as one of the key mechanisms that alter the function of the HPA axis and its associated cascades. We also suggest some of the requisite studies and techniques that are important, such as additional candidate gene approaches, genome-wide epigenomic screens, and innovative functional and behavioral studies, in order to further explore and define the relationship between epigenetics and HPA axis biology. Additional studies examining stress-induced epigenetic changes of HPA axis genes, aided by innovative techniques and methodologies, are needed to advance our understanding of this relationship and lead to better preventive, diagnostic, and corrective measures.","container-title":"Neuroendocrinology","DOI":"10.1159/000369585","ISSN":"0028-3835, 1423-0194","issue":"4","journalAbbreviation":"Neuroendocrinology","language":"en","page":"278-287","source":"DOI.org (Crossref)","title":"Environmental Stressors and Epigenetic Control of the Hypothalamic-Pituitary-Adrenal Axis","volume":"100","author":[{"family":"Lee","given":"Richard S."},{"family":"Sawa","given":"Akira"}],"issued":{"date-parts":[["2014"]]}}}],"schema":"https://github.com/citation-style-language/schema/raw/master/csl-citation.json"} </w:instrText>
      </w:r>
      <w:r w:rsidR="00C50878">
        <w:rPr>
          <w:rFonts w:ascii="Garamond" w:hAnsi="Garamond"/>
        </w:rPr>
        <w:fldChar w:fldCharType="separate"/>
      </w:r>
      <w:r w:rsidR="00416F57">
        <w:rPr>
          <w:rFonts w:ascii="Garamond" w:hAnsi="Garamond"/>
          <w:noProof/>
        </w:rPr>
        <w:t>(Lee &amp; Sawa, 2014)</w:t>
      </w:r>
      <w:r w:rsidR="00C50878">
        <w:rPr>
          <w:rFonts w:ascii="Garamond" w:hAnsi="Garamond"/>
        </w:rPr>
        <w:fldChar w:fldCharType="end"/>
      </w:r>
      <w:r w:rsidR="00C50878">
        <w:rPr>
          <w:rFonts w:ascii="Garamond" w:hAnsi="Garamond"/>
        </w:rPr>
        <w:t>. Still, w</w:t>
      </w:r>
      <w:r w:rsidR="000E740C">
        <w:rPr>
          <w:rFonts w:ascii="Garamond" w:hAnsi="Garamond"/>
        </w:rPr>
        <w:t>e interrogated relatively few sites across these</w:t>
      </w:r>
      <w:r w:rsidR="00F45E11">
        <w:rPr>
          <w:rFonts w:ascii="Garamond" w:hAnsi="Garamond"/>
        </w:rPr>
        <w:t xml:space="preserve"> specific</w:t>
      </w:r>
      <w:r w:rsidR="000E740C">
        <w:rPr>
          <w:rFonts w:ascii="Garamond" w:hAnsi="Garamond"/>
        </w:rPr>
        <w:t xml:space="preserve"> genes and so it is possible that we did not detect some of the epigenetic effects of </w:t>
      </w:r>
      <w:r w:rsidR="00C50878">
        <w:rPr>
          <w:rFonts w:ascii="Garamond" w:hAnsi="Garamond"/>
        </w:rPr>
        <w:t xml:space="preserve">the </w:t>
      </w:r>
      <w:r w:rsidR="000E740C">
        <w:rPr>
          <w:rFonts w:ascii="Garamond" w:hAnsi="Garamond"/>
        </w:rPr>
        <w:t xml:space="preserve">plumage manipulation. </w:t>
      </w:r>
      <w:r w:rsidR="00EC1F73">
        <w:rPr>
          <w:rFonts w:ascii="Garamond" w:hAnsi="Garamond"/>
        </w:rPr>
        <w:t>Previous analys</w:t>
      </w:r>
      <w:r w:rsidR="0092265C">
        <w:rPr>
          <w:rFonts w:ascii="Garamond" w:hAnsi="Garamond"/>
        </w:rPr>
        <w:t>e</w:t>
      </w:r>
      <w:r w:rsidR="00EC1F73">
        <w:rPr>
          <w:rFonts w:ascii="Garamond" w:hAnsi="Garamond"/>
        </w:rPr>
        <w:t xml:space="preserve">s of this experiment found that plumage dulling altered social interactions and had physiological effects </w:t>
      </w:r>
      <w:r w:rsidR="00EC1F73">
        <w:rPr>
          <w:rFonts w:ascii="Garamond" w:hAnsi="Garamond"/>
        </w:rPr>
        <w:lastRenderedPageBreak/>
        <w:t xml:space="preserve">on microbiome diversity and glucose levels of female birds </w:t>
      </w:r>
      <w:r w:rsidR="00EC1F73">
        <w:rPr>
          <w:rFonts w:ascii="Garamond" w:hAnsi="Garamond"/>
        </w:rPr>
        <w:fldChar w:fldCharType="begin"/>
      </w:r>
      <w:r w:rsidR="00EC1F73">
        <w:rPr>
          <w:rFonts w:ascii="Garamond" w:hAnsi="Garamond"/>
        </w:rPr>
        <w:instrText xml:space="preserve"> ADDIN ZOTERO_ITEM CSL_CITATION {"citationID":"qkI3bsRk","properties":{"formattedCitation":"(Taff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C1F73">
        <w:rPr>
          <w:rFonts w:ascii="Garamond" w:hAnsi="Garamond"/>
        </w:rPr>
        <w:fldChar w:fldCharType="separate"/>
      </w:r>
      <w:r w:rsidR="00EC1F73">
        <w:rPr>
          <w:rFonts w:ascii="Garamond" w:hAnsi="Garamond"/>
          <w:noProof/>
        </w:rPr>
        <w:t>(Taff et al., 2021)</w:t>
      </w:r>
      <w:r w:rsidR="00EC1F73">
        <w:rPr>
          <w:rFonts w:ascii="Garamond" w:hAnsi="Garamond"/>
        </w:rPr>
        <w:fldChar w:fldCharType="end"/>
      </w:r>
      <w:r w:rsidR="00EC1F73">
        <w:rPr>
          <w:rFonts w:ascii="Garamond" w:hAnsi="Garamond"/>
        </w:rPr>
        <w:t xml:space="preserve">. However, there was no significant effect of treatment on </w:t>
      </w:r>
      <w:r w:rsidR="00D804DD">
        <w:rPr>
          <w:rFonts w:ascii="Garamond" w:hAnsi="Garamond"/>
        </w:rPr>
        <w:t xml:space="preserve">corticosterone levels </w:t>
      </w:r>
      <w:r w:rsidR="00EC1F73">
        <w:rPr>
          <w:rFonts w:ascii="Garamond" w:hAnsi="Garamond"/>
        </w:rPr>
        <w:fldChar w:fldCharType="begin"/>
      </w:r>
      <w:r w:rsidR="00D804DD">
        <w:rPr>
          <w:rFonts w:ascii="Garamond" w:hAnsi="Garamond"/>
        </w:rPr>
        <w:instrText xml:space="preserve"> ADDIN ZOTERO_ITEM CSL_CITATION {"citationID":"k2q1Puq7","properties":{"formattedCitation":"(Taff et al., 2021)","plainCitation":"(Taff et al., 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N."}],"issued":{"date-parts":[["2021",8,1]]}}}],"schema":"https://github.com/citation-style-language/schema/raw/master/csl-citation.json"} </w:instrText>
      </w:r>
      <w:r w:rsidR="00EC1F73">
        <w:rPr>
          <w:rFonts w:ascii="Garamond" w:hAnsi="Garamond"/>
        </w:rPr>
        <w:fldChar w:fldCharType="separate"/>
      </w:r>
      <w:r w:rsidR="00EC1F73">
        <w:rPr>
          <w:rFonts w:ascii="Garamond" w:hAnsi="Garamond"/>
          <w:noProof/>
        </w:rPr>
        <w:t>(Taff et al., 2021)</w:t>
      </w:r>
      <w:r w:rsidR="00EC1F73">
        <w:rPr>
          <w:rFonts w:ascii="Garamond" w:hAnsi="Garamond"/>
        </w:rPr>
        <w:fldChar w:fldCharType="end"/>
      </w:r>
      <w:r w:rsidR="00EC1F73">
        <w:rPr>
          <w:rFonts w:ascii="Garamond" w:hAnsi="Garamond"/>
        </w:rPr>
        <w:t>.</w:t>
      </w:r>
      <w:r w:rsidR="00D804DD">
        <w:rPr>
          <w:rFonts w:ascii="Garamond" w:hAnsi="Garamond"/>
        </w:rPr>
        <w:t xml:space="preserve"> Thus, the fact that we similarly saw no treatment effect on methylation in three of the four genes we studied suggests that plumage manipulation had relatively minor effects on HPA-axis activity. Analysis of behavioral changes in response to plumage dulling suggested that manipulation of this signal affects the social landscape in subtle and complex ways. Indeed, many of the effects of treatment identified by Taff et al.</w:t>
      </w:r>
      <w:r w:rsidR="00D804DD" w:rsidRPr="004E709C">
        <w:rPr>
          <w:rFonts w:ascii="Garamond" w:hAnsi="Garamond"/>
        </w:rPr>
        <w:t xml:space="preserve"> </w:t>
      </w:r>
      <w:r w:rsidR="00D804DD">
        <w:rPr>
          <w:rFonts w:ascii="Garamond" w:hAnsi="Garamond"/>
        </w:rPr>
        <w:fldChar w:fldCharType="begin"/>
      </w:r>
      <w:r w:rsidR="00D804DD">
        <w:rPr>
          <w:rFonts w:ascii="Garamond" w:hAnsi="Garamond"/>
        </w:rPr>
        <w:instrText xml:space="preserve"> ADDIN ZOTERO_ITEM CSL_CITATION {"citationID":"yyF8ZPKW","properties":{"formattedCitation":"(2021)","plainCitation":"(2021)","noteIndex":0},"citationItems":[{"id":5453,"uris":["http://zotero.org/users/5430941/items/TZWW2SXR"],"itemData":{"id":5453,"type":"article-journal","abstract":"Signals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N."}],"issued":{"date-parts":[["2021",8,1]]}},"label":"page","suppress-author":true}],"schema":"https://github.com/citation-style-language/schema/raw/master/csl-citation.json"} </w:instrText>
      </w:r>
      <w:r w:rsidR="00D804DD">
        <w:rPr>
          <w:rFonts w:ascii="Garamond" w:hAnsi="Garamond"/>
        </w:rPr>
        <w:fldChar w:fldCharType="separate"/>
      </w:r>
      <w:r w:rsidR="00D804DD">
        <w:rPr>
          <w:rFonts w:ascii="Garamond" w:hAnsi="Garamond"/>
          <w:noProof/>
        </w:rPr>
        <w:t>(2021)</w:t>
      </w:r>
      <w:r w:rsidR="00D804DD">
        <w:rPr>
          <w:rFonts w:ascii="Garamond" w:hAnsi="Garamond"/>
        </w:rPr>
        <w:fldChar w:fldCharType="end"/>
      </w:r>
      <w:r w:rsidR="00D804DD">
        <w:rPr>
          <w:rFonts w:ascii="Garamond" w:hAnsi="Garamond"/>
        </w:rPr>
        <w:t xml:space="preserve"> were dependent on nestling stage and initial female brightness. More work is needed to understand exactly how manipulation of white plumage in tree swallows affects their social environmen</w:t>
      </w:r>
      <w:r w:rsidR="0082723F">
        <w:rPr>
          <w:rFonts w:ascii="Garamond" w:hAnsi="Garamond"/>
        </w:rPr>
        <w:t>t</w:t>
      </w:r>
      <w:r w:rsidR="0092265C">
        <w:rPr>
          <w:rFonts w:ascii="Garamond" w:hAnsi="Garamond"/>
        </w:rPr>
        <w:t xml:space="preserve">. </w:t>
      </w:r>
    </w:p>
    <w:p w14:paraId="4261D0EF" w14:textId="682BE856" w:rsidR="00D804DD" w:rsidRDefault="00EB3709" w:rsidP="00E611A6">
      <w:pPr>
        <w:ind w:firstLine="720"/>
        <w:rPr>
          <w:rFonts w:ascii="Garamond" w:hAnsi="Garamond"/>
        </w:rPr>
      </w:pPr>
      <w:r>
        <w:rPr>
          <w:rFonts w:ascii="Garamond" w:hAnsi="Garamond"/>
        </w:rPr>
        <w:t>The</w:t>
      </w:r>
      <w:r w:rsidR="00310E55">
        <w:rPr>
          <w:rFonts w:ascii="Garamond" w:hAnsi="Garamond"/>
        </w:rPr>
        <w:t xml:space="preserve"> methylation of two genes (</w:t>
      </w:r>
      <w:r w:rsidR="00E55E5C">
        <w:rPr>
          <w:rFonts w:ascii="Garamond" w:hAnsi="Garamond"/>
        </w:rPr>
        <w:t>GR</w:t>
      </w:r>
      <w:r w:rsidR="00310E55" w:rsidRPr="00C33025">
        <w:rPr>
          <w:rFonts w:ascii="Garamond" w:hAnsi="Garamond"/>
        </w:rPr>
        <w:t xml:space="preserve"> </w:t>
      </w:r>
      <w:r w:rsidR="00310E55">
        <w:rPr>
          <w:rFonts w:ascii="Garamond" w:hAnsi="Garamond"/>
        </w:rPr>
        <w:t xml:space="preserve">and </w:t>
      </w:r>
      <w:r w:rsidR="00E55E5C">
        <w:rPr>
          <w:rFonts w:ascii="Garamond" w:hAnsi="Garamond"/>
        </w:rPr>
        <w:t>FKBP5</w:t>
      </w:r>
      <w:r w:rsidR="00310E55">
        <w:rPr>
          <w:rFonts w:ascii="Garamond" w:hAnsi="Garamond"/>
        </w:rPr>
        <w:t xml:space="preserve">) </w:t>
      </w:r>
      <w:r w:rsidR="00E55E5C">
        <w:rPr>
          <w:rFonts w:ascii="Garamond" w:hAnsi="Garamond"/>
        </w:rPr>
        <w:t>were not affected by treatment</w:t>
      </w:r>
      <w:r w:rsidR="00F16054">
        <w:rPr>
          <w:rFonts w:ascii="Garamond" w:hAnsi="Garamond"/>
        </w:rPr>
        <w:t xml:space="preserve">; however, </w:t>
      </w:r>
      <w:r w:rsidR="001E4A22">
        <w:rPr>
          <w:rFonts w:ascii="Garamond" w:hAnsi="Garamond"/>
        </w:rPr>
        <w:t>methylation</w:t>
      </w:r>
      <w:r w:rsidR="00E55E5C">
        <w:rPr>
          <w:rFonts w:ascii="Garamond" w:hAnsi="Garamond"/>
        </w:rPr>
        <w:t xml:space="preserve"> did chang</w:t>
      </w:r>
      <w:r w:rsidR="009F78DD">
        <w:rPr>
          <w:rFonts w:ascii="Garamond" w:hAnsi="Garamond"/>
        </w:rPr>
        <w:t>e</w:t>
      </w:r>
      <w:r w:rsidR="00791CEA">
        <w:rPr>
          <w:rFonts w:ascii="Garamond" w:hAnsi="Garamond"/>
        </w:rPr>
        <w:t xml:space="preserve"> significantly</w:t>
      </w:r>
      <w:r w:rsidR="00310E55">
        <w:rPr>
          <w:rFonts w:ascii="Garamond" w:hAnsi="Garamond"/>
        </w:rPr>
        <w:t xml:space="preserve"> between the two time points in the study (pre-treatment: days 6-7 of incubation and post-treatment: </w:t>
      </w:r>
      <w:r w:rsidR="00765519">
        <w:rPr>
          <w:rFonts w:ascii="Garamond" w:hAnsi="Garamond"/>
        </w:rPr>
        <w:t>~ 14 days later</w:t>
      </w:r>
      <w:r w:rsidR="00310E55">
        <w:rPr>
          <w:rFonts w:ascii="Garamond" w:hAnsi="Garamond"/>
        </w:rPr>
        <w:t>).</w:t>
      </w:r>
      <w:r w:rsidR="009F78DD" w:rsidRPr="009F78DD">
        <w:rPr>
          <w:rFonts w:ascii="Garamond" w:hAnsi="Garamond"/>
        </w:rPr>
        <w:t xml:space="preserve"> </w:t>
      </w:r>
      <w:r w:rsidR="00D804DD">
        <w:rPr>
          <w:rFonts w:ascii="Garamond" w:hAnsi="Garamond"/>
        </w:rPr>
        <w:t>We do not know for sure what factors affected methylation of these genes. However, HPA axis activation can inhibit reproductive success</w:t>
      </w:r>
      <w:r w:rsidR="002075F1">
        <w:rPr>
          <w:rFonts w:ascii="Garamond" w:hAnsi="Garamond"/>
        </w:rPr>
        <w:t xml:space="preserve"> </w:t>
      </w:r>
      <w:r w:rsidR="00D804DD" w:rsidRPr="001E4A22">
        <w:rPr>
          <w:rFonts w:ascii="Garamond" w:hAnsi="Garamond"/>
        </w:rPr>
        <w:fldChar w:fldCharType="begin"/>
      </w:r>
      <w:r w:rsidR="00D804DD">
        <w:rPr>
          <w:rFonts w:ascii="Garamond" w:hAnsi="Garamond"/>
        </w:rPr>
        <w:instrText xml:space="preserve"> ADDIN ZOTERO_ITEM CSL_CITATION {"citationID":"T7cQAJZj","properties":{"formattedCitation":"(B\\uc0\\u243{}kony et al., 2009; Wingfield &amp; Sapolsky, 2003)","plainCitation":"(Bókony et al., 2009; Wingfield &amp; Sapolsky, 2003)","noteIndex":0},"citationItems":[{"id":5857,"uris":["http://zotero.org/users/5430941/items/Z3GG6HXD"],"itemData":{"id":5857,"type":"article-journal","abstract":"In vertebrates, stressors such as starvation or predator attacks stimulate the rapid elevation of circulating glucocorticoid hormones, triggering physiological and behavioral responses that aid immediate survival but simultaneously inhibit reproduction. This stress response has been proposed to serve as a physiological mediator of life</w:instrText>
      </w:r>
      <w:r w:rsidR="00D804DD">
        <w:rPr>
          <w:rFonts w:ascii="Cambria Math" w:hAnsi="Cambria Math" w:cs="Cambria Math"/>
        </w:rPr>
        <w:instrText>‐</w:instrText>
      </w:r>
      <w:r w:rsidR="00D804DD">
        <w:rPr>
          <w:rFonts w:ascii="Garamond" w:hAnsi="Garamond"/>
        </w:rPr>
        <w:instrText>history trade</w:instrText>
      </w:r>
      <w:r w:rsidR="00D804DD">
        <w:rPr>
          <w:rFonts w:ascii="Cambria Math" w:hAnsi="Cambria Math" w:cs="Cambria Math"/>
        </w:rPr>
        <w:instrText>‐</w:instrText>
      </w:r>
      <w:r w:rsidR="00D804DD">
        <w:rPr>
          <w:rFonts w:ascii="Garamond" w:hAnsi="Garamond"/>
        </w:rPr>
        <w:instrText>offs: when the value of current reproduction is high relative to the value of future reproduction and survival, a mitigated stress response is expected to enable successful breeding and maximize fitness. Using phylogenetic comparative analyses, we investigated baseline and peak stress</w:instrText>
      </w:r>
      <w:r w:rsidR="00D804DD">
        <w:rPr>
          <w:rFonts w:ascii="Cambria Math" w:hAnsi="Cambria Math" w:cs="Cambria Math"/>
        </w:rPr>
        <w:instrText>‐</w:instrText>
      </w:r>
      <w:r w:rsidR="00D804DD">
        <w:rPr>
          <w:rFonts w:ascii="Garamond" w:hAnsi="Garamond"/>
        </w:rPr>
        <w:instrText>induced plasma corticosterone levels during parental care in 64 bird species. We found that (1) species with a higher value of the current brood relative to future breeding mounted weaker corticosterone responses during acute stress, and (2) females in species with more female</w:instrText>
      </w:r>
      <w:r w:rsidR="00D804DD">
        <w:rPr>
          <w:rFonts w:ascii="Cambria Math" w:hAnsi="Cambria Math" w:cs="Cambria Math"/>
        </w:rPr>
        <w:instrText>‐</w:instrText>
      </w:r>
      <w:r w:rsidR="00D804DD">
        <w:rPr>
          <w:rFonts w:ascii="Garamond" w:hAnsi="Garamond"/>
        </w:rPr>
        <w:instrText>biased parental care had weaker corticosterone responses. These results support the brood value hypothesis, suggesting that the stress response evolves as an adaptive basis for life</w:instrText>
      </w:r>
      <w:r w:rsidR="00D804DD">
        <w:rPr>
          <w:rFonts w:ascii="Cambria Math" w:hAnsi="Cambria Math" w:cs="Cambria Math"/>
        </w:rPr>
        <w:instrText>‐</w:instrText>
      </w:r>
      <w:r w:rsidR="00D804DD">
        <w:rPr>
          <w:rFonts w:ascii="Garamond" w:hAnsi="Garamond"/>
        </w:rPr>
        <w:instrText xml:space="preserve">history strategies. Further, we found that (3) baseline corticosterone correlated positively with brood value and negatively with body mass, and (4) peak corticosterone was greater in species breeding at higher latitudes. The latter findings suggest that circulating corticosterone concentrations might be matched to the anticipated demands and risks during nesting.","container-title":"The American Naturalist","DOI":"10.1086/597610","ISSN":"0003-0147","issue":"5","note":"publisher: The University of Chicago Press","page":"589-598","source":"journals.uchicago.edu (Atypon)","title":"Stress response and the value of reproduction: Are birds prudent parents?","title-short":"Stress Response and the Value of Reproduction","volume":"173","author":[{"family":"Bókony","given":"Veronika"},{"family":"Lendvai","given":"Ádám Z."},{"family":"Liker","given":"András"},{"family":"Angelier","given":"Frédéric"},{"family":"Wingfield","given":"John C."},{"family":"Chastel","given":"Olivier"}],"issued":{"date-parts":[["2009",5]]}}},{"id":5860,"uris":["http://zotero.org/users/5430941/items/44N9SMFG"],"itemData":{"id":5860,"type":"article-journal","abstract":"Environmental and social stresses have deleterious effects on reproductive function in vertebrates. Global climate change, human disturbance and endocrine disruption from pollutants are increasingly likely to pose additional stresses that could have a major impact on human society. Nonetheless, some populations of vertebrates (from fish to mammals) are able to temporarily resist environmental and social stresses, and breed successfully. A classical trade-off of reproductive success for potential survival is involved. We define five examples. (i) Aged individuals with minimal future reproductive success that should attempt to breed despite potential acute stressors. (ii) Seasonal breeders when time for actual breeding is so short that acute stress should be resisted in favour of reproductive success. (iii) If both members of a breeding pair provide parental care, then loss of a mate should be compensated for by the remaining individual. (iv) Semelparous species in which there is only one breeding period followed by programmed death. (v) Species where, because of the transience of dominance status in a social group, individuals may only have a short window of opportunity for mating. We suggest four mechanisms underlying resistance of the gonadal axis to stress. (i) Blockade at the central nervous system level, i.e. an individual no longer perceives the perturbation as stressful. (ii) Blockade at the level of the hypothalamic-pituitary-adrenal axis (i.e. failure to increase secretion of glucocorticosteroids). (iii) Blockade at the level of the hypothalamic-pituitary-gonad axis (i.e. resistance of the reproductive system to the actions of glucocorticosteroids). (iv) Compensatory stimulation of the gonadal axis to counteract inhibitory glucocorticosteroid actions. Although these mechanisms are likely genetically determined, their expression may depend upon a complex interaction with environmental factors. Future research will provide valuable information on the biology of stress and how organisms cope. Such mechanisms would be particularly insightful as the spectre of global change continues to unfold.","container-title":"Journal of Neuroendocrinology","DOI":"10.1046/j.1365-2826.2003.01033.x","ISSN":"1365-2826","issue":"8","language":"en","note":"_eprint: https://onlinelibrary.wiley.com/doi/pdf/10.1046/j.1365-2826.2003.01033.x","page":"711-724","source":"Wiley Online Library","title":"Reproduction and resistance to stress: When and how","title-short":"Reproduction and Resistance to Stress","volume":"15","author":[{"family":"Wingfield","given":"J. C."},{"family":"Sapolsky","given":"R. M."}],"issued":{"date-parts":[["2003"]]}}}],"schema":"https://github.com/citation-style-language/schema/raw/master/csl-citation.json"} </w:instrText>
      </w:r>
      <w:r w:rsidR="00D804DD" w:rsidRPr="001E4A22">
        <w:rPr>
          <w:rFonts w:ascii="Garamond" w:hAnsi="Garamond"/>
        </w:rPr>
        <w:fldChar w:fldCharType="separate"/>
      </w:r>
      <w:r w:rsidR="00D804DD" w:rsidRPr="001E4A22">
        <w:rPr>
          <w:rFonts w:ascii="Garamond" w:hAnsi="Garamond" w:cs="Times New Roman"/>
        </w:rPr>
        <w:t>(Bókony et al., 2009; Wingfield &amp; Sapolsky, 2003)</w:t>
      </w:r>
      <w:r w:rsidR="00D804DD" w:rsidRPr="001E4A22">
        <w:rPr>
          <w:rFonts w:ascii="Garamond" w:hAnsi="Garamond"/>
        </w:rPr>
        <w:fldChar w:fldCharType="end"/>
      </w:r>
      <w:r w:rsidR="00D804DD" w:rsidRPr="001E4A22">
        <w:rPr>
          <w:rFonts w:ascii="Garamond" w:hAnsi="Garamond"/>
        </w:rPr>
        <w:t>.</w:t>
      </w:r>
      <w:r w:rsidR="00D804DD">
        <w:rPr>
          <w:rFonts w:ascii="Garamond" w:hAnsi="Garamond"/>
        </w:rPr>
        <w:t xml:space="preserve"> Thus, epigenetic shifts in these genes may have helped </w:t>
      </w:r>
      <w:r w:rsidR="00D804DD">
        <w:rPr>
          <w:rFonts w:ascii="Garamond" w:hAnsi="Garamond"/>
        </w:rPr>
        <w:t>birds downregulat</w:t>
      </w:r>
      <w:r w:rsidR="002075F1">
        <w:rPr>
          <w:rFonts w:ascii="Garamond" w:hAnsi="Garamond"/>
        </w:rPr>
        <w:t>e</w:t>
      </w:r>
      <w:r w:rsidR="00D804DD">
        <w:rPr>
          <w:rFonts w:ascii="Garamond" w:hAnsi="Garamond"/>
        </w:rPr>
        <w:t xml:space="preserve"> these genes </w:t>
      </w:r>
      <w:r w:rsidR="002075F1">
        <w:rPr>
          <w:rFonts w:ascii="Garamond" w:hAnsi="Garamond"/>
        </w:rPr>
        <w:t>over</w:t>
      </w:r>
      <w:r w:rsidR="00D804DD">
        <w:rPr>
          <w:rFonts w:ascii="Garamond" w:hAnsi="Garamond"/>
        </w:rPr>
        <w:t xml:space="preserve"> the breeding period. Indeed, </w:t>
      </w:r>
      <w:r w:rsidR="002075F1">
        <w:rPr>
          <w:rFonts w:ascii="Garamond" w:hAnsi="Garamond"/>
        </w:rPr>
        <w:t>a previous</w:t>
      </w:r>
      <w:r w:rsidR="00D804DD">
        <w:rPr>
          <w:rFonts w:ascii="Garamond" w:hAnsi="Garamond"/>
        </w:rPr>
        <w:t xml:space="preserve"> stud</w:t>
      </w:r>
      <w:r w:rsidR="002075F1">
        <w:rPr>
          <w:rFonts w:ascii="Garamond" w:hAnsi="Garamond"/>
        </w:rPr>
        <w:t>y</w:t>
      </w:r>
      <w:r w:rsidR="00D804DD">
        <w:rPr>
          <w:rFonts w:ascii="Garamond" w:hAnsi="Garamond"/>
        </w:rPr>
        <w:t xml:space="preserve"> in this population found that birds mount a weaker corticosterone </w:t>
      </w:r>
      <w:r w:rsidR="00D804DD">
        <w:rPr>
          <w:rFonts w:ascii="Garamond" w:hAnsi="Garamond"/>
        </w:rPr>
        <w:t xml:space="preserve">response to environmental stressors during provisioning compared to incubation </w:t>
      </w:r>
      <w:r w:rsidR="00D804DD">
        <w:rPr>
          <w:rFonts w:ascii="Garamond" w:hAnsi="Garamond"/>
        </w:rPr>
        <w:fldChar w:fldCharType="begin"/>
      </w:r>
      <w:r w:rsidR="00D804DD">
        <w:rPr>
          <w:rFonts w:ascii="Garamond" w:hAnsi="Garamond"/>
        </w:rPr>
        <w:instrText xml:space="preserve"> ADDIN ZOTERO_ITEM CSL_CITATION {"citationID":"QBFaq8tR","properties":{"formattedCitation":"(Vitousek et al., 2022)","plainCitation":"(Vitousek et al., 2022)","noteIndex":0},"citationItems":[{"id":5868,"uris":["http://zotero.org/users/5430941/items/8JKWNDNE"],"itemData":{"id":5868,"type":"article-journal","abstract":"As the global climate shifts, many species are imperilled by changing thermal regimes. Despite rising global temperatures, some populations must contend with more frequent or extreme cold. In these populations, the ability to cope with cold may be an important determinant of fitness. Experiments in captive animals have shown that extreme cold or rapid temperature declines typically elicit an increase in glucocorticoid hormones (mediators of the stress response); however, it is not known whether free-living adults, which may be better at buffering the effects of cold, show a similar response to ecologically relevant thermal challenges. The effects of cold on the sensitivity to future challenges are also poorly understood. Using targeted manipulations of nest temperature in free-living tree swallows Tachycineta bicolor and a long-term dataset (2,888 samples; 8 years), we tested the relationship between cold exposure and glucocorticoid levels in adults. Both natural and experimental cold exposure altered glucocorticoid regulation. This manifested primarily in terms of an upregulation in the sensitivity to future challenges (stress-induced levels). Experimental cold exposure also increased the initial speed and duration of the acute stress response. Analyses of the long-term dataset found that baseline glucocorticoids were higher in cold conditions; however, the magnitude of this effect was weak. A sliding window analysis revealed differences in the timeline over which temperature best predicted baseline and stress-induced glucocorticoids. Although unpredictability is often regarded as a defining factor of stressors, we found that recent ambient temperatures better predicted circulating corticosterone than measures of thermal unpredictability, including the degree of recent temperature change and negative prediction error (the difference between experienced temperatures and long-term averages). Together, these results suggest that thermally induced increases in the sensitivity to future challenges may prime individuals to respond more strongly or rapidly to worsening conditions, or to subsequent challenges of a different type, without incurring the costs that can result from substantial elevations in baseline glucocorticoids. This kind of preparatory response could be adaptive; however, an increased sensitivity to other challenges could also represent an overlooked cost of changing thermal regimes. Read the free Plain Language Summary for this article on the Journal blog.","container-title":"Functional Ecology","DOI":"10.1111/1365-2435.14144","ISSN":"1365-2435","issue":"10","language":"en","note":"_eprint: https://onlinelibrary.wiley.com/doi/pdf/10.1111/1365-2435.14144","page":"2531-2543","source":"Wiley Online Library","title":"Natural and experimental cold exposure in adulthood increase the sensitivity to future stressors in a free-living songbird","volume":"36","author":[{"family":"Vitousek","given":"Maren N."},{"family":"Houtz","given":"Jennifer L."},{"family":"Pipkin","given":"Monique A."},{"family":"Chang van Oordt","given":"David A."},{"family":"Hallinger","given":"Kelly K."},{"family":"Uehling","given":"Jennifer J."},{"family":"Zimmer","given":"Cedric"},{"family":"Taff","given":"Conor C."}],"issued":{"date-parts":[["2022"]]}}}],"schema":"https://github.com/citation-style-language/schema/raw/master/csl-citation.json"} </w:instrText>
      </w:r>
      <w:r w:rsidR="00D804DD">
        <w:rPr>
          <w:rFonts w:ascii="Garamond" w:hAnsi="Garamond"/>
        </w:rPr>
        <w:fldChar w:fldCharType="separate"/>
      </w:r>
      <w:r w:rsidR="00D804DD">
        <w:rPr>
          <w:rFonts w:ascii="Garamond" w:hAnsi="Garamond"/>
          <w:noProof/>
        </w:rPr>
        <w:t>(Vitousek et al., 2022)</w:t>
      </w:r>
      <w:r w:rsidR="00D804DD">
        <w:rPr>
          <w:rFonts w:ascii="Garamond" w:hAnsi="Garamond"/>
        </w:rPr>
        <w:fldChar w:fldCharType="end"/>
      </w:r>
      <w:r w:rsidR="00D804DD">
        <w:rPr>
          <w:rFonts w:ascii="Garamond" w:hAnsi="Garamond"/>
        </w:rPr>
        <w:t>.</w:t>
      </w:r>
    </w:p>
    <w:p w14:paraId="4FE34807" w14:textId="52A8CF31" w:rsidR="00E55E5C" w:rsidRDefault="000B73D9" w:rsidP="00E611A6">
      <w:pPr>
        <w:ind w:firstLine="720"/>
        <w:rPr>
          <w:rFonts w:ascii="Garamond" w:hAnsi="Garamond"/>
        </w:rPr>
      </w:pPr>
      <w:r>
        <w:rPr>
          <w:rFonts w:ascii="Garamond" w:hAnsi="Garamond"/>
        </w:rPr>
        <w:t>The glucocorticoid receptor (GR</w:t>
      </w:r>
      <w:r w:rsidR="00916768">
        <w:rPr>
          <w:rFonts w:ascii="Garamond" w:hAnsi="Garamond"/>
        </w:rPr>
        <w:t xml:space="preserve">, also called </w:t>
      </w:r>
      <w:r w:rsidR="00916768" w:rsidRPr="00916768">
        <w:rPr>
          <w:rFonts w:ascii="Garamond" w:hAnsi="Garamond"/>
        </w:rPr>
        <w:t>NR3C1</w:t>
      </w:r>
      <w:r>
        <w:rPr>
          <w:rFonts w:ascii="Garamond" w:hAnsi="Garamond"/>
        </w:rPr>
        <w:t xml:space="preserve">) is an intracellular transcription factor that mediates the expression of a number of proteins involved in the stress response </w:t>
      </w:r>
      <w:r>
        <w:rPr>
          <w:rFonts w:ascii="Garamond" w:hAnsi="Garamond"/>
        </w:rPr>
        <w:fldChar w:fldCharType="begin"/>
      </w:r>
      <w:r>
        <w:rPr>
          <w:rFonts w:ascii="Garamond" w:hAnsi="Garamond"/>
        </w:rPr>
        <w:instrText xml:space="preserve"> ADDIN ZOTERO_ITEM CSL_CITATION {"citationID":"iZbU9B2i","properties":{"formattedCitation":"(Guidotti et al., 2013; Zannas et al., 2016)","plainCitation":"(Guidotti et al., 2013; Zannas et al., 2016)","noteIndex":0},"citationItems":[{"id":5824,"uris":["http://zotero.org/users/5430941/items/8LUH4BIJ"],"itemData":{"id":5824,"type":"article-journal","abstract":"Major depression is thought to originate from the interaction between susceptibility genes and adverse environmental events, in particular stress. The hypothalamus–pituitary–adrenal (HPA) axis is the major system involved in stress response and its dysregulation is an important element in the pathogenesis of depression. The stress response is therefore finely tuned through a series of mechanisms that control the trafficking of glucocorticoid receptors (GRs) to the nucleus, including binding to the chaperone protein FKBP5 and receptor phosphorylation, suggesting that these elements may also be affected under pathologic conditions. On these bases, we investigated FKBP5 and GR expression and phosphorylation in the hippocampus (ventral and dorsal) and in the prefrontal cortex of rats exposed to chronic mild stress (CMS) and we analyzed the effect of a concomitant antidepressant treatment. We found that animals exposed to CMS show increased expression of FKBP5 as well as enhanced cytoplasmic levels of GR, primarily in ventral hippocampus and prefrontal cortex. Chronic treatment with the antidepressant duloxetine is able to normalize such alterations, mainly in the prefrontal cortex. Moreover, we demonstrate that CMS-induced alterations of GR trafficking and transcription may be sustained by changes in receptor phosphorylation, which are also modulated by pharmacological intervention. In summary, while GR-related changes after CMS might be relevant for the depressive phenotype, the ability of antidepressant treatment to correct some of these alterations may contribute to the normalization of HPA axis dysfunctions associated with stress-related disorders.","container-title":"Neuropsychopharmacology","DOI":"10.1038/npp.2012.225","ISSN":"1740-634X","issue":"4","journalAbbreviation":"Neuropsychopharmacol","language":"en","license":"2013 American College of Neuropsychopharmacology","note":"number: 4\npublisher: Nature Publishing Group","page":"616-627","source":"www.nature.com","title":"Glucocorticoid receptor and FKBP5 expression is altered following exposure to chronic stress: Modulation by antidepressant treatment","title-short":"Glucocorticoid Receptor and FKBP5 Expression Is Altered Following Exposure to Chronic Stress","volume":"38","author":[{"family":"Guidotti","given":"Gianluigi"},{"family":"Calabrese","given":"Francesca"},{"family":"Anacker","given":"Christoph"},{"family":"Racagni","given":"Giorgio"},{"family":"Pariante","given":"Carmine M."},{"family":"Riva","given":"Marco A."}],"issued":{"date-parts":[["2013",3]]}}},{"id":5822,"uris":["http://zotero.org/users/5430941/items/93C7EJRH"],"itemData":{"id":5822,"type":"article-journal","abstract":"Stress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Pr>
          <w:rFonts w:ascii="Garamond" w:hAnsi="Garamond"/>
        </w:rPr>
        <w:fldChar w:fldCharType="separate"/>
      </w:r>
      <w:r>
        <w:rPr>
          <w:rFonts w:ascii="Garamond" w:hAnsi="Garamond"/>
          <w:noProof/>
        </w:rPr>
        <w:t>(Guidotti et al., 2013; Zannas et al., 2016)</w:t>
      </w:r>
      <w:r>
        <w:rPr>
          <w:rFonts w:ascii="Garamond" w:hAnsi="Garamond"/>
        </w:rPr>
        <w:fldChar w:fldCharType="end"/>
      </w:r>
      <w:r>
        <w:rPr>
          <w:rFonts w:ascii="Garamond" w:hAnsi="Garamond"/>
        </w:rPr>
        <w:t>. Methylation of GR increased over the study period in our swallows. Since methylation is typically associated with lower gene expression, this change could signal a shift towards modulation of the HPA axis</w:t>
      </w:r>
      <w:r w:rsidR="00D804DD">
        <w:rPr>
          <w:rFonts w:ascii="Garamond" w:hAnsi="Garamond"/>
        </w:rPr>
        <w:t xml:space="preserve"> during breeding</w:t>
      </w:r>
      <w:r>
        <w:rPr>
          <w:rFonts w:ascii="Garamond" w:hAnsi="Garamond"/>
        </w:rPr>
        <w:t xml:space="preserve">. </w:t>
      </w:r>
      <w:r w:rsidR="002075F1">
        <w:rPr>
          <w:rFonts w:ascii="Garamond" w:hAnsi="Garamond"/>
        </w:rPr>
        <w:t xml:space="preserve">On the other hand, methylation of this gene could </w:t>
      </w:r>
      <w:r w:rsidR="00561BCE">
        <w:rPr>
          <w:rFonts w:ascii="Garamond" w:hAnsi="Garamond"/>
        </w:rPr>
        <w:t xml:space="preserve">also </w:t>
      </w:r>
      <w:r w:rsidR="002075F1">
        <w:rPr>
          <w:rFonts w:ascii="Garamond" w:hAnsi="Garamond"/>
        </w:rPr>
        <w:t xml:space="preserve">be related to environmental conditions. </w:t>
      </w:r>
      <w:r>
        <w:rPr>
          <w:rFonts w:ascii="Garamond" w:hAnsi="Garamond"/>
        </w:rPr>
        <w:t xml:space="preserve">A previous study of superb starlings </w:t>
      </w:r>
      <w:r w:rsidRPr="00714FD4">
        <w:rPr>
          <w:rFonts w:ascii="Garamond" w:hAnsi="Garamond"/>
        </w:rPr>
        <w:t>(</w:t>
      </w:r>
      <w:proofErr w:type="spellStart"/>
      <w:r w:rsidRPr="00714FD4">
        <w:rPr>
          <w:rFonts w:ascii="Garamond" w:hAnsi="Garamond"/>
          <w:i/>
          <w:iCs/>
        </w:rPr>
        <w:t>Lamprotornis</w:t>
      </w:r>
      <w:proofErr w:type="spellEnd"/>
      <w:r w:rsidRPr="00714FD4">
        <w:rPr>
          <w:rFonts w:ascii="Garamond" w:hAnsi="Garamond"/>
          <w:i/>
          <w:iCs/>
        </w:rPr>
        <w:t xml:space="preserve"> </w:t>
      </w:r>
      <w:proofErr w:type="spellStart"/>
      <w:r w:rsidRPr="00714FD4">
        <w:rPr>
          <w:rFonts w:ascii="Garamond" w:hAnsi="Garamond"/>
          <w:i/>
          <w:iCs/>
        </w:rPr>
        <w:t>superbus</w:t>
      </w:r>
      <w:proofErr w:type="spellEnd"/>
      <w:r w:rsidRPr="00714FD4">
        <w:rPr>
          <w:rFonts w:ascii="Garamond" w:hAnsi="Garamond"/>
        </w:rPr>
        <w:t>)</w:t>
      </w:r>
      <w:r>
        <w:rPr>
          <w:rFonts w:ascii="Garamond" w:hAnsi="Garamond"/>
        </w:rPr>
        <w:t>, found that methylation in the promoter of GR was positively correlated with environmental conditions (rainfall) early in life</w:t>
      </w:r>
      <w:r w:rsidR="00311F3F">
        <w:rPr>
          <w:rFonts w:ascii="Garamond" w:hAnsi="Garamond"/>
        </w:rPr>
        <w:t xml:space="preserve"> </w:t>
      </w:r>
      <w:r>
        <w:rPr>
          <w:rFonts w:ascii="Garamond" w:hAnsi="Garamond"/>
        </w:rPr>
        <w:fldChar w:fldCharType="begin"/>
      </w:r>
      <w:r>
        <w:rPr>
          <w:rFonts w:ascii="Garamond" w:hAnsi="Garamond"/>
        </w:rPr>
        <w:instrText xml:space="preserve"> ADDIN ZOTERO_ITEM CSL_CITATION {"citationID":"75fyGC7f","properties":{"formattedCitation":"(Rubenstein et al., 2016)","plainCitation":"(Rubenstein et al., 2016)","noteIndex":0},"citationItems":[{"id":1082,"uris":["http://zotero.org/users/5430941/items/S3LA3XB4"],"itemData":{"id":1082,"type":"article-journal","abstract":"Organisms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Pr>
          <w:rFonts w:ascii="Garamond" w:hAnsi="Garamond"/>
        </w:rPr>
        <w:fldChar w:fldCharType="separate"/>
      </w:r>
      <w:r>
        <w:rPr>
          <w:rFonts w:ascii="Garamond" w:hAnsi="Garamond"/>
          <w:noProof/>
        </w:rPr>
        <w:t>(Rubenstein et al., 2016)</w:t>
      </w:r>
      <w:r>
        <w:rPr>
          <w:rFonts w:ascii="Garamond" w:hAnsi="Garamond"/>
        </w:rPr>
        <w:fldChar w:fldCharType="end"/>
      </w:r>
      <w:r>
        <w:rPr>
          <w:rFonts w:ascii="Garamond" w:hAnsi="Garamond"/>
        </w:rPr>
        <w:t>.</w:t>
      </w:r>
      <w:r w:rsidR="00311F3F">
        <w:rPr>
          <w:rFonts w:ascii="Garamond" w:hAnsi="Garamond"/>
        </w:rPr>
        <w:t xml:space="preserve"> </w:t>
      </w:r>
      <w:r w:rsidR="002075F1">
        <w:rPr>
          <w:rFonts w:ascii="Garamond" w:hAnsi="Garamond"/>
        </w:rPr>
        <w:t xml:space="preserve">The change that we observed over our study </w:t>
      </w:r>
      <w:r>
        <w:rPr>
          <w:rFonts w:ascii="Garamond" w:hAnsi="Garamond"/>
        </w:rPr>
        <w:t>show</w:t>
      </w:r>
      <w:r w:rsidR="002075F1">
        <w:rPr>
          <w:rFonts w:ascii="Garamond" w:hAnsi="Garamond"/>
        </w:rPr>
        <w:t>s</w:t>
      </w:r>
      <w:r>
        <w:rPr>
          <w:rFonts w:ascii="Garamond" w:hAnsi="Garamond"/>
        </w:rPr>
        <w:t xml:space="preserve"> that methylation of this gene is labile</w:t>
      </w:r>
      <w:r w:rsidR="002075F1">
        <w:rPr>
          <w:rFonts w:ascii="Garamond" w:hAnsi="Garamond"/>
        </w:rPr>
        <w:t xml:space="preserve"> over relatively short periods (~ 2 weeks)</w:t>
      </w:r>
      <w:r w:rsidR="00311F3F">
        <w:rPr>
          <w:rFonts w:ascii="Garamond" w:hAnsi="Garamond"/>
        </w:rPr>
        <w:t xml:space="preserve"> in adults. Thus, methylation in this gene may help birds </w:t>
      </w:r>
      <w:r w:rsidR="00281957">
        <w:rPr>
          <w:rFonts w:ascii="Garamond" w:hAnsi="Garamond"/>
        </w:rPr>
        <w:t>adapt</w:t>
      </w:r>
      <w:r w:rsidR="00311F3F">
        <w:rPr>
          <w:rFonts w:ascii="Garamond" w:hAnsi="Garamond"/>
        </w:rPr>
        <w:t xml:space="preserve"> to variable environments both during development as well as into adulthood.</w:t>
      </w:r>
    </w:p>
    <w:p w14:paraId="7DDEE5C2" w14:textId="1A5C337D" w:rsidR="001C6746" w:rsidRDefault="006924D0" w:rsidP="002A170A">
      <w:pPr>
        <w:ind w:firstLine="720"/>
        <w:rPr>
          <w:rFonts w:ascii="Garamond" w:hAnsi="Garamond"/>
        </w:rPr>
      </w:pPr>
      <w:r>
        <w:rPr>
          <w:rFonts w:ascii="Garamond" w:hAnsi="Garamond"/>
        </w:rPr>
        <w:t xml:space="preserve">The FK506-binding protein 41 (FKBP5) is a negative regulator of GR signaling </w:t>
      </w:r>
      <w:r>
        <w:rPr>
          <w:rFonts w:ascii="Garamond" w:hAnsi="Garamond"/>
        </w:rPr>
        <w:fldChar w:fldCharType="begin"/>
      </w:r>
      <w:r w:rsidR="00416F57">
        <w:rPr>
          <w:rFonts w:ascii="Garamond" w:hAnsi="Garamond"/>
        </w:rPr>
        <w:instrText xml:space="preserve"> ADDIN ZOTERO_ITEM CSL_CITATION {"citationID":"5D9d21Um","properties":{"formattedCitation":"(Menke et al., 2013; Zannas &amp; Binder, 2014)","plainCitation":"(Menke et al., 2013; Zannas &amp; Binder, 2014)","noteIndex":0},"citationItems":[{"id":5826,"uris":["http://zotero.org/users/5430941/items/R9IIHFDA"],"itemData":{"id":5826,"type":"article-journal","abstract":"The FK506 binding protein 51 or FKBP5 has been implicated in the regulation of glucocorticoid receptor (GR) sensitivity, and genetic variants in this gene have been associated with mood and anxiety disorders. GR resistance and associated stress hormone dysregulation are among the most robust biological findings in major depression, the extent of which may be moderated by FKBP5 polymorphisms. FKBP5 mRNA expression in peripheral blood cells (baseline and following in vivo GR stimulation with 1.5 mg dexamethasone p.o.) was analyzed together with plasma cortisol, ACTH, dexamethasone levels and the FKBP5 polymorphism rs1360780 in 68 depressed patients and 87 healthy controls. We observed a significant (P = 0.02) interaction between disease status and FKBP5 risk allele carrier status (minor allele T) on GR-stimulated FKBP5 mRNA expression. Patients carrying the risk T allele, but not the CC genotype, showed a reduced induction of FKBP5 mRNA. This FKBP5 polymorphism by disease status interaction was paralleled by the extent of plasma cortisol and ACTH suppression following dexamethasone administration, with a reduced suppression only observed in depressed patients carrying the T allele. Only depressed patients carrying the FKBP5 rs1360780 risk allele showed significant GR resistance compared with healthy controls, as measured by dexamethasone-induced FKBP5 mRNA induction in peripheral blood cells and suppression of plasma cortisol and ACTH concentrations. This finding suggests that endocrine alterations in depressed patients are determined by genetic variants and may allow identification of specific subgroups.","container-title":"Genes, Brain and Behavior","DOI":"10.1111/gbb.12026","ISSN":"1601-183X","issue":"3","language":"en","note":"_eprint: https://onlinelibrary.wiley.com/doi/pdf/10.1111/gbb.12026","page":"289-296","source":"Wiley Online Library","title":"Genetic variation in FKBP5 associated with the extent of stress hormone dysregulation in major depression","volume":"12","author":[{"family":"Menke","given":"A."},{"family":"Klengel","given":"T."},{"family":"Rubel","given":"J."},{"family":"Brückl","given":"T."},{"family":"Pfister","given":"H."},{"family":"Lucae","given":"S."},{"family":"Uhr","given":"M."},{"family":"Holsboer","given":"F."},{"family":"Binder","given":"E. B."}],"issued":{"date-parts":[["2013"]]}}},{"id":5828,"uris":["http://zotero.org/users/5430941/items/8J5SHVBP"],"itemData":{"id":5828,"type":"article-journal","abstract":"Psychiatric phenotypes are multifactorial and polygenic, resulting from the complex interplay of genes and environmental factors that act cumulatively throughout an organism's lifetime. Adverse life events are strong predictors of risk for a number of psychiatric disorders and a number of studies have focused on gene–environment interactions (GxEs) occurring at genetic loci involved in the stress response. Such a locus that has received increasing attention is the gene encoding FK506 binding protein 51 (FKBP5), a heat shock protein 90 cochaperone of the steroid receptor complex that among other functions regulates sensitivity of the glucocorticoid receptor. Interactions between FKBP5 gene variants and life stressors alter the risk not only for mood and anxiety disorders, but also for a number of other disease phenotypes. In this review, we will focus on molecular and system-wide mechanisms of this GxE with the aim of establishing a framework that explains GxE interactions. We will also discuss how an understanding of the biological effects of this GxE may lead to novel therapeutic approaches.","container-title":"Genes, Brain and Behavior","DOI":"10.1111/gbb.12104","ISSN":"1601-183X","issue":"1","language":"en","note":"_eprint: https://onlinelibrary.wiley.com/doi/pdf/10.1111/gbb.12104","page":"25-37","source":"Wiley Online Library","title":"Gene–environment interactions at the FKBP5 locus: sensitive periods, mechanisms and pleiotropism","title-short":"Gene–environment interactions at the FKBP5 locus","volume":"13","author":[{"family":"Zannas","given":"A. S."},{"family":"Binder","given":"E. B."}],"issued":{"date-parts":[["2014"]]}}}],"schema":"https://github.com/citation-style-language/schema/raw/master/csl-citation.json"} </w:instrText>
      </w:r>
      <w:r>
        <w:rPr>
          <w:rFonts w:ascii="Garamond" w:hAnsi="Garamond"/>
        </w:rPr>
        <w:fldChar w:fldCharType="separate"/>
      </w:r>
      <w:r w:rsidR="00416F57">
        <w:rPr>
          <w:rFonts w:ascii="Garamond" w:hAnsi="Garamond"/>
          <w:noProof/>
        </w:rPr>
        <w:t>(Menke et al., 2013; Zannas &amp; Binder, 2014)</w:t>
      </w:r>
      <w:r>
        <w:rPr>
          <w:rFonts w:ascii="Garamond" w:hAnsi="Garamond"/>
        </w:rPr>
        <w:fldChar w:fldCharType="end"/>
      </w:r>
      <w:r>
        <w:rPr>
          <w:rFonts w:ascii="Garamond" w:hAnsi="Garamond"/>
        </w:rPr>
        <w:t xml:space="preserve">. </w:t>
      </w:r>
      <w:r w:rsidR="00ED6CFD">
        <w:rPr>
          <w:rFonts w:ascii="Garamond" w:hAnsi="Garamond"/>
        </w:rPr>
        <w:t>D</w:t>
      </w:r>
      <w:r w:rsidR="00E611A6">
        <w:rPr>
          <w:rFonts w:ascii="Garamond" w:hAnsi="Garamond"/>
        </w:rPr>
        <w:t>y</w:t>
      </w:r>
      <w:r w:rsidR="00ED6CFD">
        <w:rPr>
          <w:rFonts w:ascii="Garamond" w:hAnsi="Garamond"/>
        </w:rPr>
        <w:t xml:space="preserve">sregulation of </w:t>
      </w:r>
      <w:r w:rsidR="00646128">
        <w:rPr>
          <w:rFonts w:ascii="Garamond" w:hAnsi="Garamond"/>
        </w:rPr>
        <w:t>FBKP5 is associated with psychiatric disorders and other stress-related phenotypes</w:t>
      </w:r>
      <w:r w:rsidR="00C137F1">
        <w:rPr>
          <w:rFonts w:ascii="Garamond" w:hAnsi="Garamond"/>
        </w:rPr>
        <w:t xml:space="preserve"> in humans and laboratory models</w:t>
      </w:r>
      <w:r w:rsidR="00646128">
        <w:rPr>
          <w:rFonts w:ascii="Garamond" w:hAnsi="Garamond"/>
        </w:rPr>
        <w:t xml:space="preserve"> </w:t>
      </w:r>
      <w:r w:rsidR="00646128">
        <w:rPr>
          <w:rFonts w:ascii="Garamond" w:hAnsi="Garamond"/>
        </w:rPr>
        <w:fldChar w:fldCharType="begin"/>
      </w:r>
      <w:r w:rsidR="00646128">
        <w:rPr>
          <w:rFonts w:ascii="Garamond" w:hAnsi="Garamond"/>
        </w:rPr>
        <w:instrText xml:space="preserve"> ADDIN ZOTERO_ITEM CSL_CITATION {"citationID":"9jf5wvzl","properties":{"formattedCitation":"(Zannas et al., 2016; Zimmer et al., 2020)","plainCitation":"(Zannas et al., 2016; Zimmer et al., 2020)","noteIndex":0},"citationItems":[{"id":5822,"uris":["http://zotero.org/users/5430941/items/93C7EJRH"],"itemData":{"id":5822,"type":"article-journal","abstract":"Stress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646128">
        <w:rPr>
          <w:rFonts w:ascii="Garamond" w:hAnsi="Garamond"/>
        </w:rPr>
        <w:fldChar w:fldCharType="separate"/>
      </w:r>
      <w:r w:rsidR="00646128">
        <w:rPr>
          <w:rFonts w:ascii="Garamond" w:hAnsi="Garamond"/>
          <w:noProof/>
        </w:rPr>
        <w:t>(Zannas et al., 2016; Zimmer et al., 2020)</w:t>
      </w:r>
      <w:r w:rsidR="00646128">
        <w:rPr>
          <w:rFonts w:ascii="Garamond" w:hAnsi="Garamond"/>
        </w:rPr>
        <w:fldChar w:fldCharType="end"/>
      </w:r>
      <w:r w:rsidR="00646128">
        <w:rPr>
          <w:rFonts w:ascii="Garamond" w:hAnsi="Garamond"/>
        </w:rPr>
        <w:t xml:space="preserve">. Although data from wild organisms are limited, FKBP5 expression </w:t>
      </w:r>
      <w:r w:rsidR="00911E06">
        <w:rPr>
          <w:rFonts w:ascii="Garamond" w:hAnsi="Garamond"/>
        </w:rPr>
        <w:t>in house sparrows (</w:t>
      </w:r>
      <w:r w:rsidR="00911E06">
        <w:rPr>
          <w:rFonts w:ascii="Garamond" w:hAnsi="Garamond"/>
          <w:i/>
          <w:iCs/>
        </w:rPr>
        <w:t xml:space="preserve">Passer </w:t>
      </w:r>
      <w:proofErr w:type="spellStart"/>
      <w:r w:rsidR="00911E06">
        <w:rPr>
          <w:rFonts w:ascii="Garamond" w:hAnsi="Garamond"/>
          <w:i/>
          <w:iCs/>
        </w:rPr>
        <w:t>domesticus</w:t>
      </w:r>
      <w:proofErr w:type="spellEnd"/>
      <w:r w:rsidR="00911E06">
        <w:rPr>
          <w:rFonts w:ascii="Garamond" w:hAnsi="Garamond"/>
        </w:rPr>
        <w:t>)</w:t>
      </w:r>
      <w:r w:rsidR="00911E06">
        <w:rPr>
          <w:rFonts w:ascii="Garamond" w:hAnsi="Garamond"/>
          <w:i/>
          <w:iCs/>
        </w:rPr>
        <w:t xml:space="preserve"> </w:t>
      </w:r>
      <w:r w:rsidR="00646128">
        <w:rPr>
          <w:rFonts w:ascii="Garamond" w:hAnsi="Garamond"/>
        </w:rPr>
        <w:t xml:space="preserve">is correlated with HPA flexibility and exploratory behavior </w:t>
      </w:r>
      <w:r w:rsidR="00646128">
        <w:rPr>
          <w:rFonts w:ascii="Garamond" w:hAnsi="Garamond"/>
        </w:rPr>
        <w:fldChar w:fldCharType="begin"/>
      </w:r>
      <w:r w:rsidR="00646128">
        <w:rPr>
          <w:rFonts w:ascii="Garamond" w:hAnsi="Garamond"/>
        </w:rPr>
        <w:instrText xml:space="preserve"> ADDIN ZOTERO_ITEM CSL_CITATION {"citationID":"wrCgRpHT","properties":{"formattedCitation":"(Zimmer et al., 2021)","plainCitation":"(Zimmer et al., 2021)","noteIndex":0},"citationItems":[{"id":5848,"uris":["http://zotero.org/users/5430941/items/N8F7QFNF"],"itemData":{"id":5848,"type":"article-journal","abstract":"The hypothalamic-pituitary-adrenal (HPA) axis and its end products, the glucocorticoids, are critical to responding appropriately to stressors. Subsequently, many studies have sought relationships between glucocorticoids and measures of health or fitness, but such relationships are at best highly context dependent. Recently, some endocrinologists have started to suggest that a focus on HPA flexibility, the ability of an individual to mount appropriate responses to different stressors, could be useful. Here, we tested the hypothesis that expression of FKBP5, a cochaperone in the glucocorticoid receptor complex, is a simple and reliable proxy of HPA flexibility in a wild songbird, the house sparrow (Passer domesticus). We quantified HPA flexibility in a novel way, using guidance from research on heart rhythm regulation. As predicted, we found that adult sparrows with low stress-induced FKBP5 expression in the hypothalamus exhibited high HPA flexibility. Moreover, low FKBP5 expression was associated with greater exploratory disposition and were better at maintaining body mass under stressful conditions. Altogether, these results suggest that FKBP5 may be important in the regulation of HPA flexibility, potentially affecting how individuals cope with natural and anthropogenic adversity.","container-title":"Hormones and Behavior","DOI":"10.1016/j.yhbeh.2021.105038","ISSN":"0018-506X","journalAbbreviation":"Hormones and Behavior","language":"en","page":"105038","source":"ScienceDirect","title":"FKBP5 expression is related to HPA flexibility and the capacity to cope with stressors in female and male house sparrows","volume":"135","author":[{"family":"Zimmer","given":"Cedric"},{"family":"Hanson","given":"Haley E."},{"family":"Martin","given":"Lynn B."}],"issued":{"date-parts":[["2021",9,1]]}}}],"schema":"https://github.com/citation-style-language/schema/raw/master/csl-citation.json"} </w:instrText>
      </w:r>
      <w:r w:rsidR="00646128">
        <w:rPr>
          <w:rFonts w:ascii="Garamond" w:hAnsi="Garamond"/>
        </w:rPr>
        <w:fldChar w:fldCharType="separate"/>
      </w:r>
      <w:r w:rsidR="00646128">
        <w:rPr>
          <w:rFonts w:ascii="Garamond" w:hAnsi="Garamond"/>
          <w:noProof/>
        </w:rPr>
        <w:t>(Zimmer et al., 2021)</w:t>
      </w:r>
      <w:r w:rsidR="00646128">
        <w:rPr>
          <w:rFonts w:ascii="Garamond" w:hAnsi="Garamond"/>
        </w:rPr>
        <w:fldChar w:fldCharType="end"/>
      </w:r>
      <w:r w:rsidR="00646128">
        <w:rPr>
          <w:rFonts w:ascii="Garamond" w:hAnsi="Garamond"/>
        </w:rPr>
        <w:t>.</w:t>
      </w:r>
      <w:r w:rsidR="0000673A">
        <w:rPr>
          <w:rFonts w:ascii="Garamond" w:hAnsi="Garamond"/>
        </w:rPr>
        <w:t xml:space="preserve"> FKBP5 </w:t>
      </w:r>
      <w:r w:rsidR="00311F3F">
        <w:rPr>
          <w:rFonts w:ascii="Garamond" w:hAnsi="Garamond"/>
        </w:rPr>
        <w:t xml:space="preserve">therefore </w:t>
      </w:r>
      <w:r w:rsidR="0000673A">
        <w:rPr>
          <w:rFonts w:ascii="Garamond" w:hAnsi="Garamond"/>
        </w:rPr>
        <w:t xml:space="preserve">appears to be a key regulator of the HPA axis across many vertebrates </w:t>
      </w:r>
      <w:r w:rsidR="0000673A">
        <w:rPr>
          <w:rFonts w:ascii="Garamond" w:hAnsi="Garamond"/>
        </w:rPr>
        <w:fldChar w:fldCharType="begin"/>
      </w:r>
      <w:r w:rsidR="0000673A">
        <w:rPr>
          <w:rFonts w:ascii="Garamond" w:hAnsi="Garamond"/>
        </w:rPr>
        <w:instrText xml:space="preserve"> ADDIN ZOTERO_ITEM CSL_CITATION {"citationID":"45Te8iGO","properties":{"formattedCitation":"(Zimmer et al., 2020)","plainCitation":"(Zimmer et al., 2020)","noteIndex":0},"citationItems":[{"id":5847,"uris":["http://zotero.org/users/5430941/items/5VFSA53M"],"itemData":{"id":5847,"type":"article-journal","abstract":"Flexibility in the regulation of the hypothalamic–pituitary–adrenal (HPA) axis is an important mediator of stress resilience as it helps organisms adjust to, avoid, or compensate for acute and chronic challenges across changing environmental contexts. Glucocorticoids remain the favorite metric from medicine to conservation biology to attempt to quantify stress resilience despite the skepticism around their consistency in relation to individual health, welfare, and fitness. We suggest that a cochaperone molecule related to heat shock proteins and involved in glucocorticoid receptor activity, FKBP5, may mediate HPA flexibility and therefore stress resilience because it affects how individuals can regulate glucocorticoids and therefore capacitates their abilities to adjust phenotypes appropriately to prevailing, adverse conditions. Although the molecule is well studied in the biomedical literature, FKBP5 research in wild vertebrates is limited. In the present article, we highlight the potential major role of FKBP5 as mediator of HPA axis flexibility in response to adversity in humans and lab rodents.","container-title":"BioScience","DOI":"10.1093/biosci/biaa114","ISSN":"0006-3568","issue":"12","journalAbbreviation":"BioScience","page":"1127-1138","source":"Silverchair","title":"FKBP5: A key mediator of how vertebrates flexibly cope with adversity","title-short":"FKBP5","volume":"70","author":[{"family":"Zimmer","given":"Cedric"},{"family":"Hanson","given":"Haley E"},{"family":"Wildman","given":"Derek E"},{"family":"Uddin","given":"Monica"},{"family":"Martin","given":"Lynn B"}],"issued":{"date-parts":[["2020",12,21]]}}}],"schema":"https://github.com/citation-style-language/schema/raw/master/csl-citation.json"} </w:instrText>
      </w:r>
      <w:r w:rsidR="0000673A">
        <w:rPr>
          <w:rFonts w:ascii="Garamond" w:hAnsi="Garamond"/>
        </w:rPr>
        <w:fldChar w:fldCharType="separate"/>
      </w:r>
      <w:r w:rsidR="0000673A">
        <w:rPr>
          <w:rFonts w:ascii="Garamond" w:hAnsi="Garamond"/>
          <w:noProof/>
        </w:rPr>
        <w:t>(Zimmer et al., 2020)</w:t>
      </w:r>
      <w:r w:rsidR="0000673A">
        <w:rPr>
          <w:rFonts w:ascii="Garamond" w:hAnsi="Garamond"/>
        </w:rPr>
        <w:fldChar w:fldCharType="end"/>
      </w:r>
      <w:r w:rsidR="0000673A">
        <w:rPr>
          <w:rFonts w:ascii="Garamond" w:hAnsi="Garamond"/>
        </w:rPr>
        <w:t>.</w:t>
      </w:r>
      <w:r w:rsidR="00911E06">
        <w:rPr>
          <w:rFonts w:ascii="Garamond" w:hAnsi="Garamond"/>
        </w:rPr>
        <w:t xml:space="preserve"> </w:t>
      </w:r>
      <w:r w:rsidR="000B73D9">
        <w:rPr>
          <w:rFonts w:ascii="Garamond" w:hAnsi="Garamond"/>
        </w:rPr>
        <w:t xml:space="preserve">In our study, methylation of FKBP5 decreased over the course of the study period. Decreased methylation of FKBP5 is expected to upregulate this gene and inhibit glucocorticoid receptor signaling </w:t>
      </w:r>
      <w:r w:rsidR="000B73D9">
        <w:rPr>
          <w:rFonts w:ascii="Garamond" w:hAnsi="Garamond"/>
        </w:rPr>
        <w:fldChar w:fldCharType="begin"/>
      </w:r>
      <w:r w:rsidR="000B73D9">
        <w:rPr>
          <w:rFonts w:ascii="Garamond" w:hAnsi="Garamond"/>
        </w:rPr>
        <w:instrText xml:space="preserve"> ADDIN ZOTERO_ITEM CSL_CITATION {"citationID":"Ltzk9gSa","properties":{"formattedCitation":"(Zannas et al., 2016)","plainCitation":"(Zannas et al., 2016)","noteIndex":0},"citationItems":[{"id":5822,"uris":["http://zotero.org/users/5430941/items/93C7EJRH"],"itemData":{"id":5822,"type":"article-journal","abstract":"Stress responses and related outcomes vary markedly across individuals. Elucidating the molecular underpinnings of this variability is of great relevance for developing individualized prevention strategies and treatments for stress-related disorders. An important modulator of stress responses is the FK506-binding protein 51 (FKBP5/FKBP51). FKBP5 acts as a co-chaperone that modulates not only glucocorticoid receptor activity in response to stressors but also a multitude of other cellular processes in both the brain and periphery. Notably, the FKBP5 gene is regulated via complex interactions among environmental stressors, FKBP5 genetic variants, and epigenetic modifications of glucocorticoid-responsive genomic sites. These interactions can result in FKBP5 disinhibition that has been shown to contribute to a number of aberrant phenotypes in both rodents and humans. Consequently, FKBP5 blockade may hold promise as treatment intervention for stress-related disorders, and recently developed selective FKBP5 blockers show encouraging results in vitro and in rodent models. Although risk for stress-related disorders is conferred by multiple environmental and genetic factors, the findings related to FKBP5 illustrate how a deeper understanding of the molecular and systemic mechanisms underlying specific gene–environment interactions may provide insights into the pathogenesis of stress-related disorders.","container-title":"Neuropsychopharmacology","DOI":"10.1038/npp.2015.235","ISSN":"1740-634X","issue":"1","journalAbbreviation":"Neuropsychopharmacol","language":"en","license":"2016 American College of Neuropsychopharmacology","note":"number: 1\npublisher: Nature Publishing Group","page":"261-274","source":"www.nature.com","title":"Gene–stress–epigenetic regulation of FKBP5: Clinical and translational implications","title-short":"Gene–Stress–Epigenetic Regulation of FKBP5","volume":"41","author":[{"family":"Zannas","given":"Anthony S."},{"family":"Wiechmann","given":"Tobias"},{"family":"Gassen","given":"Nils C."},{"family":"Binder","given":"Elisabeth B."}],"issued":{"date-parts":[["2016",1]]}}}],"schema":"https://github.com/citation-style-language/schema/raw/master/csl-citation.json"} </w:instrText>
      </w:r>
      <w:r w:rsidR="000B73D9">
        <w:rPr>
          <w:rFonts w:ascii="Garamond" w:hAnsi="Garamond"/>
        </w:rPr>
        <w:fldChar w:fldCharType="separate"/>
      </w:r>
      <w:r w:rsidR="000B73D9">
        <w:rPr>
          <w:rFonts w:ascii="Garamond" w:hAnsi="Garamond"/>
          <w:noProof/>
        </w:rPr>
        <w:t>(Zannas et al., 2016)</w:t>
      </w:r>
      <w:r w:rsidR="000B73D9">
        <w:rPr>
          <w:rFonts w:ascii="Garamond" w:hAnsi="Garamond"/>
        </w:rPr>
        <w:fldChar w:fldCharType="end"/>
      </w:r>
      <w:r w:rsidR="000B73D9">
        <w:rPr>
          <w:rFonts w:ascii="Garamond" w:hAnsi="Garamond"/>
        </w:rPr>
        <w:t>. Correspondingly, the change that we observed in our birds could</w:t>
      </w:r>
      <w:r w:rsidR="00D804DD">
        <w:rPr>
          <w:rFonts w:ascii="Garamond" w:hAnsi="Garamond"/>
        </w:rPr>
        <w:t xml:space="preserve"> also</w:t>
      </w:r>
      <w:r w:rsidR="000B73D9">
        <w:rPr>
          <w:rFonts w:ascii="Garamond" w:hAnsi="Garamond"/>
        </w:rPr>
        <w:t xml:space="preserve"> be related to an effort to downregulate the stress response during breeding</w:t>
      </w:r>
      <w:r w:rsidR="00D804DD">
        <w:rPr>
          <w:rFonts w:ascii="Garamond" w:hAnsi="Garamond"/>
        </w:rPr>
        <w:t>.</w:t>
      </w:r>
      <w:r w:rsidR="00646128">
        <w:rPr>
          <w:rFonts w:ascii="Garamond" w:hAnsi="Garamond"/>
        </w:rPr>
        <w:t xml:space="preserve"> </w:t>
      </w:r>
      <w:r w:rsidR="000B73D9">
        <w:rPr>
          <w:rFonts w:ascii="Garamond" w:hAnsi="Garamond"/>
        </w:rPr>
        <w:t xml:space="preserve">FKBP5 was also notable because individual bird identity explained a substantial proportion (48%) of the variation in methylation in this gene (Table S3). The consistency in methylation of this gene across individuals suggests that perhaps some epigenetic programming of this gene occurs early in life and/or is </w:t>
      </w:r>
      <w:proofErr w:type="spellStart"/>
      <w:r w:rsidR="00646128">
        <w:rPr>
          <w:rFonts w:ascii="Garamond" w:hAnsi="Garamond"/>
        </w:rPr>
        <w:t>transgenerationally</w:t>
      </w:r>
      <w:proofErr w:type="spellEnd"/>
      <w:r w:rsidR="00646128">
        <w:rPr>
          <w:rFonts w:ascii="Garamond" w:hAnsi="Garamond"/>
        </w:rPr>
        <w:t xml:space="preserve"> </w:t>
      </w:r>
      <w:r w:rsidR="000B73D9">
        <w:rPr>
          <w:rFonts w:ascii="Garamond" w:hAnsi="Garamond"/>
        </w:rPr>
        <w:t>inherited.</w:t>
      </w:r>
      <w:r w:rsidR="00281957">
        <w:rPr>
          <w:rFonts w:ascii="Garamond" w:hAnsi="Garamond"/>
        </w:rPr>
        <w:t xml:space="preserve"> In fact, a</w:t>
      </w:r>
      <w:r w:rsidR="000B73D9">
        <w:rPr>
          <w:rFonts w:ascii="Garamond" w:hAnsi="Garamond"/>
        </w:rPr>
        <w:t xml:space="preserve">nother </w:t>
      </w:r>
      <w:r w:rsidR="002A170A">
        <w:rPr>
          <w:rFonts w:ascii="Garamond" w:hAnsi="Garamond"/>
        </w:rPr>
        <w:t xml:space="preserve">study </w:t>
      </w:r>
      <w:r w:rsidR="000B73D9">
        <w:rPr>
          <w:rFonts w:ascii="Garamond" w:hAnsi="Garamond"/>
        </w:rPr>
        <w:t>found that methylation in FKBP5 is a</w:t>
      </w:r>
      <w:r w:rsidR="002A170A">
        <w:rPr>
          <w:rFonts w:ascii="Garamond" w:hAnsi="Garamond"/>
        </w:rPr>
        <w:t xml:space="preserve"> heritable</w:t>
      </w:r>
      <w:r w:rsidR="000B73D9">
        <w:rPr>
          <w:rFonts w:ascii="Garamond" w:hAnsi="Garamond"/>
        </w:rPr>
        <w:t xml:space="preserve"> epigenetic marker of trauma in humans </w:t>
      </w:r>
      <w:r w:rsidR="000B73D9">
        <w:rPr>
          <w:rFonts w:ascii="Garamond" w:hAnsi="Garamond"/>
        </w:rPr>
        <w:fldChar w:fldCharType="begin"/>
      </w:r>
      <w:r w:rsidR="000B73D9">
        <w:rPr>
          <w:rFonts w:ascii="Garamond" w:hAnsi="Garamond"/>
        </w:rPr>
        <w:instrText xml:space="preserve"> ADDIN ZOTERO_ITEM CSL_CITATION {"citationID":"YSCYDPOm","properties":{"formattedCitation":"(Yehuda et al., 2016)","plainCitation":"(Yehuda et al., 2016)","noteIndex":0},"citationItems":[{"id":5854,"uris":["http://zotero.org/users/5430941/items/VF5BAAUY"],"itemData":{"id":5854,"type":"article-journal","abstract":"Background\nThe involvement of epigenetic mechanisms in intergenerational transmission of stress effects has been demonstrated in animals but not in humans.\nMethods\nCytosine methylation within the gene encoding for FK506 binding protein 5 (FKBP5) was measured in Holocaust survivors (n = 32), their adult offspring (n = 22), and demographically comparable parent (n = 8) and offspring (n = 9) control subjects, respectively. Cytosine-phosphate-guanine sites for analysis were chosen based on their spatial proximity to the intron 7 glucocorticoid response elements.\nResults\nHolocaust exposure had an effect on FKBP5 methylation that was observed in exposed parents as well in their offspring. These effects were observed at bin 3/site 6. Interestingly, in Holocaust survivors, methylation at this site was higher in comparison with control subjects, whereas in Holocaust offspring, methylation was lower. Methylation levels for exposed parents and their offspring were significantly correlated. In contrast to the findings at bin 3/site 6, offspring methylation at bin 2/sites 3 to 5 was associated with childhood physical and sexual abuse in interaction with an FKBP5 risk allele previously associated with vulnerability to psychological consequences of childhood adversity. The findings suggest the possibility of site specificity to environmental influences, as sites in bins 3 and 2 were differentially associated with parental trauma and the offspring’s own childhood trauma, respectively. FKBP5 methylation averaged across the three bins examined was associated with wake-up cortisol levels, indicating functional relevance of the methylation measures.\nConclusions\nThis is the first demonstration of an association of preconception parental trauma with epigenetic alterations that is evident in both exposed parent and offspring, providing potential insight into how severe psychophysiological trauma can have intergenerational effects.","collection-title":"Corticotropin-Releasing Factor, FKBP5, and Posttraumatic Stress Disorder","container-title":"Biological Psychiatry","DOI":"10.1016/j.biopsych.2015.08.005","ISSN":"0006-3223","issue":"5","journalAbbreviation":"Biological Psychiatry","language":"en","page":"372-380","source":"ScienceDirect","title":"Holocaust Exposure Induced Intergenerational Effects on FKBP5 Methylation","volume":"80","author":[{"family":"Yehuda","given":"Rachel"},{"family":"Daskalakis","given":"Nikolaos P."},{"family":"Bierer","given":"Linda M."},{"family":"Bader","given":"Heather N."},{"family":"Klengel","given":"Torsten"},{"family":"Holsboer","given":"Florian"},{"family":"Binder","given":"Elisabeth B."}],"issued":{"date-parts":[["2016",9,1]]}}}],"schema":"https://github.com/citation-style-language/schema/raw/master/csl-citation.json"} </w:instrText>
      </w:r>
      <w:r w:rsidR="000B73D9">
        <w:rPr>
          <w:rFonts w:ascii="Garamond" w:hAnsi="Garamond"/>
        </w:rPr>
        <w:fldChar w:fldCharType="separate"/>
      </w:r>
      <w:r w:rsidR="000B73D9">
        <w:rPr>
          <w:rFonts w:ascii="Garamond" w:hAnsi="Garamond"/>
          <w:noProof/>
        </w:rPr>
        <w:t>(Yehuda et al., 2016)</w:t>
      </w:r>
      <w:r w:rsidR="000B73D9">
        <w:rPr>
          <w:rFonts w:ascii="Garamond" w:hAnsi="Garamond"/>
        </w:rPr>
        <w:fldChar w:fldCharType="end"/>
      </w:r>
      <w:r w:rsidR="00281957">
        <w:rPr>
          <w:rFonts w:ascii="Garamond" w:hAnsi="Garamond"/>
        </w:rPr>
        <w:t>, supporting the idea that FKBP5 could mediate physiological effects of both current and historical stressors</w:t>
      </w:r>
      <w:r w:rsidR="000B73D9">
        <w:rPr>
          <w:rFonts w:ascii="Garamond" w:hAnsi="Garamond"/>
        </w:rPr>
        <w:t xml:space="preserve">. </w:t>
      </w:r>
    </w:p>
    <w:p w14:paraId="42730EB0" w14:textId="5FF3EA98" w:rsidR="00FE2A53" w:rsidRDefault="00D03776" w:rsidP="00DB5656">
      <w:pPr>
        <w:ind w:firstLine="720"/>
        <w:rPr>
          <w:rFonts w:ascii="Garamond" w:hAnsi="Garamond"/>
        </w:rPr>
      </w:pPr>
      <w:r>
        <w:rPr>
          <w:rFonts w:ascii="Garamond" w:hAnsi="Garamond"/>
        </w:rPr>
        <w:t xml:space="preserve">A growing number of studies </w:t>
      </w:r>
      <w:r w:rsidR="00603B67">
        <w:rPr>
          <w:rFonts w:ascii="Garamond" w:hAnsi="Garamond"/>
        </w:rPr>
        <w:t>investigate</w:t>
      </w:r>
      <w:r>
        <w:rPr>
          <w:rFonts w:ascii="Garamond" w:hAnsi="Garamond"/>
        </w:rPr>
        <w:t xml:space="preserve"> the</w:t>
      </w:r>
      <w:r w:rsidR="00FE2A53">
        <w:rPr>
          <w:rFonts w:ascii="Garamond" w:hAnsi="Garamond"/>
        </w:rPr>
        <w:t xml:space="preserve"> plasticity of DNA methylation in response to environmental conditions in free-living animals.</w:t>
      </w:r>
      <w:r>
        <w:rPr>
          <w:rFonts w:ascii="Garamond" w:hAnsi="Garamond"/>
        </w:rPr>
        <w:t xml:space="preserve"> However, m</w:t>
      </w:r>
      <w:r w:rsidR="00FE2A53">
        <w:rPr>
          <w:rFonts w:ascii="Garamond" w:hAnsi="Garamond"/>
        </w:rPr>
        <w:t xml:space="preserve">ost of these studies have focused on early life epigenetic programming </w:t>
      </w:r>
      <w:r w:rsidR="00FE2A53">
        <w:rPr>
          <w:rFonts w:ascii="Garamond" w:hAnsi="Garamond"/>
        </w:rPr>
        <w:fldChar w:fldCharType="begin"/>
      </w:r>
      <w:r w:rsidR="00416F57">
        <w:rPr>
          <w:rFonts w:ascii="Garamond" w:hAnsi="Garamond"/>
        </w:rPr>
        <w:instrText xml:space="preserve"> ADDIN ZOTERO_ITEM CSL_CITATION {"citationID":"MQ5DFuNr","properties":{"formattedCitation":"(McNew et al., 2021; Sheldon et al., 2020; Watson et al., 2019)","plainCitation":"(McNew et al., 2021; Sheldon et al., 2020; Watson et al., 2019)","noteIndex":0},"citationItems":[{"id":4448,"uris":["http://zotero.org/users/5430941/items/T28ZE4UB"],"itemData":{"id":4448,"type":"article-journal","abstract":"Anthropogenic changes to the environment challenge animal populations to adapt to new conditions and unique threats. While the study of adaptation has focused on genetic variation, epigenetic mechanisms may also be important. DNA methylation is sensitive to environmental stressors, such as parasites and pesticides, which may affect gene expression and phenotype. We studied the effects of an invasive ectoparasite, Philornis downsi, on DNA methylation of Galápagos mockingbirds (Mimus parvulus). We used the insecticide permethrin to manipulate P. downsi presence in nests of free-living mockingbirds and tested for effects of parasitism on nestling mockingbirds using epiGBS, a reduced-representation bisulfite sequencing (RRBS) approach. To distinguish the confounding effects of insecticide exposure, we conducted a matching experiment exposing captive nestling zebra finches (Taeniopygia guttata) to permethrin. We used zebra finches because they were the closest model organism to mockingbirds that we could breed in controlled conditions. We identified a limited number of differentially methylated cytosines (DMCs) in parasitized versus nonparasitized mockingbirds, but the number was not more than expected by chance. In contrast, we saw clear effects of permethrin on methylation in captive zebra finches. DMCs in zebra finches paralleled documented effects of permethrin exposure on vertebrate cellular signaling and endocrine function. Our results from captive birds indicate a role for epigenetic processes in mediating sublethal nontarget effects of pyrethroid exposure in vertebrates. Environmental conditions in the field were more variable than the laboratory, which may have made effects of both parasitism and permethrin harder to detect in mockingbirds. RRBS approaches such as epiGBS may be a cost-effective way to characterize genome-wide methylation profiles. However, our results indicate that ecological epigenetic studies in natural populations should consider the number of cytosines interrogated and the depth of sequencing in order to have adequate power to detect small and variable effects.","container-title":"Ecology and Evolution","DOI":"https://doi.org/10.1002/ece3.7606","ISSN":"2045-7758","issue":"0","language":"en","note":"_eprint: https://onlinelibrary.wiley.com/doi/pdf/10.1002/ece3.7606","page":"1:17","source":"Wiley Online Library","title":"Epigenetic effects of parasites and pesticides on captive and wild nestling birds","volume":"0","author":[{"family":"McNew","given":"Sabrina M."},{"family":"Boquete","given":"M. Teresa"},{"family":"Espinoza</w:instrText>
      </w:r>
      <w:r w:rsidR="00416F57">
        <w:rPr>
          <w:rFonts w:ascii="Cambria Math" w:hAnsi="Cambria Math" w:cs="Cambria Math"/>
        </w:rPr>
        <w:instrText>‐</w:instrText>
      </w:r>
      <w:r w:rsidR="00416F57">
        <w:rPr>
          <w:rFonts w:ascii="Garamond" w:hAnsi="Garamond"/>
        </w:rPr>
        <w:instrText xml:space="preserve">Ulloa","given":"Sebastian"},{"family":"Andres","given":"Jose A."},{"family":"Wagemaker","given":"Niels C. A. M."},{"family":"Knutie","given":"Sarah A."},{"family":"Richards","given":"Christina L."},{"family":"Clayton","given":"Dale H."}],"issued":{"date-parts":[["2021"]]}}},{"id":5831,"uris":["http://zotero.org/users/5430941/items/SEGE7HSE"],"itemData":{"id":5831,"type":"article-journal","abstract":"Epigenetic changes associated with early life conditions are known to play a significant role in shaping the adult phenotype. Studies of DNA methylation in wild animals are lacking, yet are important for understanding the fitness consequences of environmentally induced epigenetic change. In our study, we quantified variation in DNA methylation in wild, post-hatch zebra finches Taeniopygia guttata developing at seasonally variable temperatures in the Australian desert. We also compared variation in DNA methylation among captive zebra finch siblings raised in temperature controlled ‘hot’ or ‘cool’ rooms. We detected an increase in genome-wide levels of DNA methylation between day 3 and day 11 of post hatch development in wild zebra finches. In the wild, ambient temperatures were also found to affect genome-wide levels of DNA methylation and plasticity in the methylation state of individual loci. Family effects had a significant influence on DNA methylation throughout our study, and while we did not detect an effect of temperature on DNA methylation levels in non-related captive birds, our sibling pair analyses revealed that within families, elevated temperatures were associated with higher levels of DNA methylation. Our findings suggest a wide window in early development during which climatically induced variation in DNA methylation could occur. Further work is necessary to understand the potential for such variation to promote ecologically relevant variation in wild birds.","container-title":"Journal of Avian Biology","DOI":"10.1111/jav.02294","ISSN":"1600-048X","issue":"5","language":"en","note":"_eprint: https://onlinelibrary.wiley.com/doi/pdf/10.1111/jav.02294","source":"Wiley Online Library","title":"Dynamic changes in DNA methylation during postnatal development in zebra finches Taeniopygia guttata exposed to different temperatures","URL":"https://onlinelibrary.wiley.com/doi/abs/10.1111/jav.02294","volume":"51","author":[{"family":"Sheldon","given":"Elizabeth L."},{"family":"Schrey","given":"Aaron. W."},{"family":"Hurley","given":"Laura L."},{"family":"Griffith","given":"Simon C."}],"accessed":{"date-parts":[["2023",3,3]]},"issued":{"date-parts":[["2020"]]}}},{"id":5834,"uris":["http://zotero.org/users/5430941/items/7WRBL4D2"],"itemData":{"id":5834,"type":"article-journal","abstract":"DNA methylation could shape phenotypic responses to environmental cues and underlie developmental plasticity. Environmentally induced changes in DNA methylation during development can give rise to stable phenotypic traits and thus affect fitness. In the laboratory, it has been shown that the vertebrate methylome undergoes dynamic reprogramming during development, creating a critical window for environmentally induced epigenetic modifications. Studies of DNA methylation in the wild are lacking, yet are essential for understanding how genes and the environment interact to affect phenotypic development and ultimately fitness. Furthermore, our knowledge of the establishment of methylation patterns during development in birds is limited. We quantified genome-wide DNA methylation at various stages of embryonic and postnatal development in an altricial passerine bird, the great tit Parus major. While, there was no change in global DNA methylation in embryonic tissue during the second half of embryonic development, a twofold increase in DNA methylation in blood occurred between 6 and 15 days posthatch. Though not directly comparable, DNA methylation levels were higher in the blood of nestlings compared with embryonic tissue at any stage of prenatal development. This provides the first evidence that DNA methylation undergoes global change during development in a wild bird, supporting the hypothesis that methylation mediates phenotypic development. Furthermore, the plasticity of DNA methylation demonstrated during late postnatal development, in the present study, suggests a wide window during which DNA methylation could be sensitive to environmental influences. This is particularly important for our understanding of the mechanisms by which early-life conditions influence later-life performance. While, we found no evidence for differences in genome-wide methylation in relation to habitat of origin, environmental variation is likely to be an important driver of variation in methylation at specific loci.","container-title":"Ecology and Evolution","DOI":"10.1002/ece3.5480","ISSN":"2045-7758","issue":"17","language":"en","note":"_eprint: https://onlinelibrary.wiley.com/doi/pdf/10.1002/ece3.5480","page":"9580-9585","source":"Wiley Online Library","title":"Dynamic changes in DNA methylation during embryonic and postnatal development of an altricial wild bird","volume":"9","author":[{"family":"Watson","given":"Hannah"},{"family":"Salmón","given":"Pablo"},{"family":"Isaksson","given":"Caroline"}],"issued":{"date-parts":[["2019"]]}}}],"schema":"https://github.com/citation-style-language/schema/raw/master/csl-citation.json"} </w:instrText>
      </w:r>
      <w:r w:rsidR="00FE2A53">
        <w:rPr>
          <w:rFonts w:ascii="Garamond" w:hAnsi="Garamond"/>
        </w:rPr>
        <w:fldChar w:fldCharType="separate"/>
      </w:r>
      <w:r w:rsidR="00416F57">
        <w:rPr>
          <w:rFonts w:ascii="Garamond" w:hAnsi="Garamond" w:cs="Times New Roman"/>
        </w:rPr>
        <w:t>(McNew et al., 2021; Sheldon et al., 2020; Watson et al., 2019)</w:t>
      </w:r>
      <w:r w:rsidR="00FE2A53">
        <w:rPr>
          <w:rFonts w:ascii="Garamond" w:hAnsi="Garamond"/>
        </w:rPr>
        <w:fldChar w:fldCharType="end"/>
      </w:r>
      <w:r w:rsidR="00FE2A53">
        <w:rPr>
          <w:rFonts w:ascii="Garamond" w:hAnsi="Garamond"/>
        </w:rPr>
        <w:t xml:space="preserve"> and studies that sample the same individuals repeatedly are particularly rare </w:t>
      </w:r>
      <w:r w:rsidR="00FE2A53">
        <w:rPr>
          <w:rFonts w:ascii="Garamond" w:hAnsi="Garamond"/>
        </w:rPr>
        <w:fldChar w:fldCharType="begin"/>
      </w:r>
      <w:r w:rsidR="00CE52FE">
        <w:rPr>
          <w:rFonts w:ascii="Garamond" w:hAnsi="Garamond"/>
        </w:rPr>
        <w:instrText xml:space="preserve"> ADDIN ZOTERO_ITEM CSL_CITATION {"citationID":"h0VjtkTq","properties":{"formattedCitation":"(Anderson et al., 2021; Rubenstein et al., 2016)","plainCitation":"(Anderson et al., 2021; Rubenstein et al., 2016)","dontUpdate":true,"noteIndex":0},"citationItems":[{"id":5838,"uris":["http://zotero.org/users/5430941/items/U8EPSMRC"],"itemData":{"id":5838,"type":"article-journal","abstract":"Aging, for virtually all life, is inescapable. However, within populations, biological aging rates vary. Understanding sources of variation in this process is central to understanding the biodemography of natural populations. We constructed a DNA methylation-based age predictor for an intensively studied wild baboon population in Kenya. Consistent with findings in humans, the resulting ‘epigenetic clock’ closely tracks chronological age, but individuals are predicted to be somewhat older or younger than their known ages. Surprisingly, these deviations are not explained by the strongest predictors of lifespan in this population, early adversity and social integration. Instead, they are best predicted by male dominance rank: high-ranking males are predicted to be older than their true ages, and epigenetic age tracks changes in rank over time. Our results argue that achieving high rank for male baboons – the best predictor of reproductive success – imposes costs consistent with a ‘live fast, die young’ life-history strategy.","container-title":"eLife","DOI":"10.7554/eLife.66128","ISSN":"2050-084X","note":"publisher: eLife Sciences Publications, Ltd","page":"e66128","source":"eLife","title":"High social status males experience accelerated epigenetic aging in wild baboons","volume":"10","author":[{"family":"Anderson","given":"Jordan A"},{"family":"Johnston","given":"Rachel A"},{"family":"Lea","given":"Amanda J"},{"family":"Campos","given":"Fernando A"},{"family":"Voyles","given":"Tawni N"},{"family":"Akinyi","given":"Mercy Y"},{"family":"Alberts","given":"Susan C"},{"family":"Archie","given":"Elizabeth A"},{"family":"Tung","given":"Jenny"}],"editor":[{"family":"Perry","given":"George H"},{"family":"Higham","given":"James"},{"family":"Kuzawa","given":"Chris"}],"issued":{"date-parts":[["2021",4,6]]}}},{"id":1082,"uris":["http://zotero.org/users/5430941/items/S3LA3XB4"],"itemData":{"id":1082,"type":"article-journal","abstract":"Organisms can adapt to variable environments by using environmental cues to modulate developmental gene expression. In principle, maternal influences can adaptively modulate offspring phenotype when early life and adult environments match, but they may be maladaptive when future environments are not predictable. One of the best studied 'maternal effects' is through modification of the offspring's hypothalamic-pituitary-adrenal (HPA) axis, the neuroendocrine system that controls responses to stress. In addition to the direct transfer of glucocorticoids from mother to offspring, offspring HPA function and other phenotypes can also be affected by epigenetic modifications like DNA methylation of the glucocorticoid receptor promoter. Here we examine how among-year variation in rainfall is related to DNA methylation during development and fitness in adulthood in the superb starling (Lamprotornis superbus), which lives in a climatically unpredictable environment where early life and adult environments are unlikely to match. We found that DNA methylation in the putative promoter of the glucocorticoid receptor gene is reduced in chicks-particularly in males-born following drier pre-breeding periods. Additionally, DNA methylation is lower in males that become breeders than those that never breed. However, there is no relationship in females between DNA methylation and the likelihood of dispersing from the natal group to breed elsewhere. These results suggest that early life conditions may positively affect fitness in a sex-specific manner through chemical modification of an HPA-associated gene. This study is the first to show that epigenetic modifications during early life may influence the fitness of free-living organisms adapted to unpredictable environments. This article is protected by copyright. All rights reserved.","container-title":"Molecular Ecology","DOI":"10.1111/mec.13483","ISSN":"09621083","issue":"8","note":"PMID: 26588348","page":"1714-1728","title":"Sex-specific fitness effects of unpredictable early life conditions are associated with DNA methylation in the avian glucocorticoid receptor","volume":"25","author":[{"family":"Rubenstein","given":"Dustin R."},{"family":"Skolnik","given":"Hannah"},{"family":"Berrio","given":"Alejandro"},{"family":"Champagne","given":"Frances A."},{"family":"Phelps","given":"Steven"},{"family":"Solomon","given":"Joseph"}],"issued":{"date-parts":[["2016"]]}}}],"schema":"https://github.com/citation-style-language/schema/raw/master/csl-citation.json"} </w:instrText>
      </w:r>
      <w:r w:rsidR="00FE2A53">
        <w:rPr>
          <w:rFonts w:ascii="Garamond" w:hAnsi="Garamond"/>
        </w:rPr>
        <w:fldChar w:fldCharType="separate"/>
      </w:r>
      <w:r w:rsidR="00416F57">
        <w:rPr>
          <w:rFonts w:ascii="Garamond" w:hAnsi="Garamond"/>
          <w:noProof/>
        </w:rPr>
        <w:t>(</w:t>
      </w:r>
      <w:r w:rsidR="002A170A">
        <w:rPr>
          <w:rFonts w:ascii="Garamond" w:hAnsi="Garamond"/>
          <w:noProof/>
        </w:rPr>
        <w:t xml:space="preserve">e.g. </w:t>
      </w:r>
      <w:r w:rsidR="00416F57">
        <w:rPr>
          <w:rFonts w:ascii="Garamond" w:hAnsi="Garamond"/>
          <w:noProof/>
        </w:rPr>
        <w:t xml:space="preserve">Anderson et al., 2021; </w:t>
      </w:r>
      <w:r w:rsidR="00416F57">
        <w:rPr>
          <w:rFonts w:ascii="Garamond" w:hAnsi="Garamond"/>
          <w:noProof/>
        </w:rPr>
        <w:lastRenderedPageBreak/>
        <w:t>Rubenstein et al., 2016)</w:t>
      </w:r>
      <w:r w:rsidR="00FE2A53">
        <w:rPr>
          <w:rFonts w:ascii="Garamond" w:hAnsi="Garamond"/>
        </w:rPr>
        <w:fldChar w:fldCharType="end"/>
      </w:r>
      <w:r w:rsidR="00FE2A53">
        <w:rPr>
          <w:rFonts w:ascii="Garamond" w:hAnsi="Garamond"/>
        </w:rPr>
        <w:t xml:space="preserve">. </w:t>
      </w:r>
      <w:r w:rsidR="00603B67">
        <w:rPr>
          <w:rFonts w:ascii="Garamond" w:hAnsi="Garamond"/>
        </w:rPr>
        <w:t>O</w:t>
      </w:r>
      <w:r w:rsidR="00FE2A53">
        <w:rPr>
          <w:rFonts w:ascii="Garamond" w:hAnsi="Garamond"/>
        </w:rPr>
        <w:t xml:space="preserve">ur results highlight that DNA methylation patterns can change within an individual in response to specific </w:t>
      </w:r>
      <w:r w:rsidR="005E124B">
        <w:rPr>
          <w:rFonts w:ascii="Garamond" w:hAnsi="Garamond"/>
        </w:rPr>
        <w:t>experimental manipulation</w:t>
      </w:r>
      <w:r w:rsidR="001D7D35">
        <w:rPr>
          <w:rFonts w:ascii="Garamond" w:hAnsi="Garamond"/>
        </w:rPr>
        <w:t xml:space="preserve">, and </w:t>
      </w:r>
      <w:r w:rsidR="000E74E0">
        <w:rPr>
          <w:rFonts w:ascii="Garamond" w:hAnsi="Garamond"/>
        </w:rPr>
        <w:t>moreover,</w:t>
      </w:r>
      <w:r w:rsidR="001D7D35">
        <w:rPr>
          <w:rFonts w:ascii="Garamond" w:hAnsi="Garamond"/>
        </w:rPr>
        <w:t xml:space="preserve"> may be naturally labile over short periods. </w:t>
      </w:r>
      <w:r w:rsidR="00434AD4">
        <w:rPr>
          <w:rFonts w:ascii="Garamond" w:hAnsi="Garamond"/>
        </w:rPr>
        <w:t>Although we did not see changes across all the genes we studied</w:t>
      </w:r>
      <w:r w:rsidR="00C70010">
        <w:rPr>
          <w:rFonts w:ascii="Garamond" w:hAnsi="Garamond"/>
        </w:rPr>
        <w:t xml:space="preserve"> in response to plumage dulling</w:t>
      </w:r>
      <w:r w:rsidR="00434AD4">
        <w:rPr>
          <w:rFonts w:ascii="Garamond" w:hAnsi="Garamond"/>
        </w:rPr>
        <w:t xml:space="preserve">, the change in methylation in CRHR1 suggests that </w:t>
      </w:r>
      <w:r w:rsidR="00DB5656">
        <w:rPr>
          <w:rFonts w:ascii="Garamond" w:hAnsi="Garamond"/>
        </w:rPr>
        <w:t xml:space="preserve">epigenetic mechanisms may mediate the effects of social environment on the physiology of free-living social birds. </w:t>
      </w:r>
    </w:p>
    <w:p w14:paraId="2C3C3029" w14:textId="77777777" w:rsidR="007F1D06" w:rsidRDefault="007F1D06">
      <w:pPr>
        <w:rPr>
          <w:rFonts w:ascii="Garamond" w:hAnsi="Garamond"/>
        </w:rPr>
      </w:pPr>
    </w:p>
    <w:p w14:paraId="33DF85FC" w14:textId="02ECA1A1" w:rsidR="00904A64" w:rsidRDefault="00D276CD" w:rsidP="00C92EFD">
      <w:pPr>
        <w:pStyle w:val="NoSpacing"/>
        <w:rPr>
          <w:rFonts w:ascii="Garamond" w:hAnsi="Garamond"/>
          <w:b/>
          <w:bCs/>
        </w:rPr>
      </w:pPr>
      <w:r>
        <w:rPr>
          <w:rFonts w:ascii="Garamond" w:hAnsi="Garamond"/>
          <w:b/>
          <w:bCs/>
        </w:rPr>
        <w:t>DATA AVAILABILITY</w:t>
      </w:r>
    </w:p>
    <w:p w14:paraId="4B015B01" w14:textId="5D581F31" w:rsidR="00D276CD" w:rsidRPr="00D276CD" w:rsidRDefault="00D276CD" w:rsidP="00C92EFD">
      <w:pPr>
        <w:pStyle w:val="NoSpacing"/>
        <w:rPr>
          <w:rFonts w:ascii="Garamond" w:hAnsi="Garamond"/>
        </w:rPr>
      </w:pPr>
      <w:r>
        <w:rPr>
          <w:rFonts w:ascii="Garamond" w:hAnsi="Garamond"/>
        </w:rPr>
        <w:t xml:space="preserve">Data and scripts used in the analysis are available at </w:t>
      </w:r>
      <w:hyperlink r:id="rId12" w:history="1">
        <w:r w:rsidRPr="006C3E24">
          <w:rPr>
            <w:rStyle w:val="Hyperlink"/>
            <w:rFonts w:ascii="Garamond" w:hAnsi="Garamond"/>
          </w:rPr>
          <w:t>https://github.com/smcnew/tres_pryo</w:t>
        </w:r>
      </w:hyperlink>
      <w:r>
        <w:rPr>
          <w:rFonts w:ascii="Garamond" w:hAnsi="Garamond"/>
        </w:rPr>
        <w:t xml:space="preserve"> and will be archived permanently on </w:t>
      </w:r>
      <w:proofErr w:type="spellStart"/>
      <w:r>
        <w:rPr>
          <w:rFonts w:ascii="Garamond" w:hAnsi="Garamond"/>
        </w:rPr>
        <w:t>zenodo</w:t>
      </w:r>
      <w:proofErr w:type="spellEnd"/>
      <w:r>
        <w:rPr>
          <w:rFonts w:ascii="Garamond" w:hAnsi="Garamond"/>
        </w:rPr>
        <w:t xml:space="preserve"> upon acceptance. </w:t>
      </w:r>
    </w:p>
    <w:p w14:paraId="2754E321" w14:textId="77777777" w:rsidR="007F1D06" w:rsidRPr="007F1D06" w:rsidRDefault="007F1D06">
      <w:pPr>
        <w:rPr>
          <w:rFonts w:ascii="Garamond" w:hAnsi="Garamond"/>
          <w:b/>
          <w:bCs/>
        </w:rPr>
      </w:pPr>
    </w:p>
    <w:p w14:paraId="032AEE83" w14:textId="781F3C08" w:rsidR="00CC2E12" w:rsidRDefault="00CC2E12">
      <w:pPr>
        <w:rPr>
          <w:rFonts w:ascii="Garamond" w:hAnsi="Garamond"/>
          <w:b/>
          <w:bCs/>
        </w:rPr>
      </w:pPr>
      <w:r>
        <w:rPr>
          <w:rFonts w:ascii="Garamond" w:hAnsi="Garamond"/>
          <w:b/>
          <w:bCs/>
        </w:rPr>
        <w:t>ACKNOWLEDGEMENTS</w:t>
      </w:r>
    </w:p>
    <w:p w14:paraId="62758748" w14:textId="50600A73" w:rsidR="00D276CD" w:rsidRPr="00DC747B" w:rsidRDefault="000A2581" w:rsidP="00D276CD">
      <w:pPr>
        <w:pStyle w:val="NoSpacing"/>
        <w:rPr>
          <w:rFonts w:ascii="Garamond" w:hAnsi="Garamond"/>
        </w:rPr>
      </w:pPr>
      <w:r>
        <w:rPr>
          <w:rFonts w:ascii="Garamond" w:hAnsi="Garamond"/>
        </w:rPr>
        <w:t xml:space="preserve">We thank Cedric Zimmer, Thomas Ryan, </w:t>
      </w:r>
      <w:proofErr w:type="spellStart"/>
      <w:r w:rsidR="007110DB" w:rsidRPr="007110DB">
        <w:rPr>
          <w:rFonts w:ascii="Garamond" w:hAnsi="Garamond"/>
        </w:rPr>
        <w:t>Gerickson</w:t>
      </w:r>
      <w:proofErr w:type="spellEnd"/>
      <w:r w:rsidR="007110DB" w:rsidRPr="007110DB">
        <w:rPr>
          <w:rFonts w:ascii="Garamond" w:hAnsi="Garamond"/>
        </w:rPr>
        <w:t xml:space="preserve"> Lopez, Deanna </w:t>
      </w:r>
      <w:proofErr w:type="spellStart"/>
      <w:r w:rsidR="007110DB" w:rsidRPr="007110DB">
        <w:rPr>
          <w:rFonts w:ascii="Garamond" w:hAnsi="Garamond"/>
        </w:rPr>
        <w:t>Myskiw</w:t>
      </w:r>
      <w:proofErr w:type="spellEnd"/>
      <w:r w:rsidR="007110DB" w:rsidRPr="007110DB">
        <w:rPr>
          <w:rFonts w:ascii="Garamond" w:hAnsi="Garamond"/>
        </w:rPr>
        <w:t xml:space="preserve">, Odile </w:t>
      </w:r>
      <w:proofErr w:type="spellStart"/>
      <w:r w:rsidR="007110DB" w:rsidRPr="007110DB">
        <w:rPr>
          <w:rFonts w:ascii="Garamond" w:hAnsi="Garamond"/>
        </w:rPr>
        <w:t>Maurelli</w:t>
      </w:r>
      <w:proofErr w:type="spellEnd"/>
      <w:r w:rsidR="007110DB" w:rsidRPr="007110DB">
        <w:rPr>
          <w:rFonts w:ascii="Garamond" w:hAnsi="Garamond"/>
        </w:rPr>
        <w:t xml:space="preserve">, Aaron </w:t>
      </w:r>
      <w:proofErr w:type="spellStart"/>
      <w:r w:rsidR="007110DB" w:rsidRPr="007110DB">
        <w:rPr>
          <w:rFonts w:ascii="Garamond" w:hAnsi="Garamond"/>
        </w:rPr>
        <w:t>Yrizarry</w:t>
      </w:r>
      <w:proofErr w:type="spellEnd"/>
      <w:r w:rsidR="007110DB" w:rsidRPr="007110DB">
        <w:rPr>
          <w:rFonts w:ascii="Garamond" w:hAnsi="Garamond"/>
        </w:rPr>
        <w:t>-Medina, Danica Lee,</w:t>
      </w:r>
      <w:r w:rsidR="007110DB">
        <w:rPr>
          <w:rFonts w:ascii="Garamond" w:hAnsi="Garamond"/>
        </w:rPr>
        <w:t xml:space="preserve"> </w:t>
      </w:r>
      <w:r w:rsidR="007110DB" w:rsidRPr="007110DB">
        <w:rPr>
          <w:rFonts w:ascii="Garamond" w:hAnsi="Garamond"/>
        </w:rPr>
        <w:t>Jason Yeung</w:t>
      </w:r>
      <w:r w:rsidR="007110DB">
        <w:rPr>
          <w:rFonts w:ascii="Garamond" w:hAnsi="Garamond"/>
        </w:rPr>
        <w:t>, and</w:t>
      </w:r>
      <w:r w:rsidR="007110DB" w:rsidRPr="007110DB">
        <w:rPr>
          <w:rFonts w:ascii="Garamond" w:hAnsi="Garamond"/>
        </w:rPr>
        <w:t xml:space="preserve"> David Scheck</w:t>
      </w:r>
      <w:r w:rsidR="007110DB">
        <w:rPr>
          <w:rFonts w:ascii="Garamond" w:hAnsi="Garamond"/>
        </w:rPr>
        <w:t xml:space="preserve"> </w:t>
      </w:r>
      <w:r>
        <w:rPr>
          <w:rFonts w:ascii="Garamond" w:hAnsi="Garamond"/>
        </w:rPr>
        <w:t xml:space="preserve">for assistance with data collection. </w:t>
      </w:r>
      <w:r w:rsidR="007110DB">
        <w:rPr>
          <w:rFonts w:ascii="Garamond" w:hAnsi="Garamond"/>
        </w:rPr>
        <w:t>We thank Leo</w:t>
      </w:r>
      <w:r w:rsidR="009B62FE">
        <w:rPr>
          <w:rFonts w:ascii="Garamond" w:hAnsi="Garamond"/>
        </w:rPr>
        <w:t>nardo</w:t>
      </w:r>
      <w:r w:rsidR="007110DB">
        <w:rPr>
          <w:rFonts w:ascii="Garamond" w:hAnsi="Garamond"/>
        </w:rPr>
        <w:t xml:space="preserve"> Campagna for assistance designing </w:t>
      </w:r>
      <w:r w:rsidR="009B62FE">
        <w:rPr>
          <w:rFonts w:ascii="Garamond" w:hAnsi="Garamond"/>
        </w:rPr>
        <w:t>sequencing targets</w:t>
      </w:r>
      <w:r w:rsidR="007110DB">
        <w:rPr>
          <w:rFonts w:ascii="Garamond" w:hAnsi="Garamond"/>
        </w:rPr>
        <w:t xml:space="preserve">. </w:t>
      </w:r>
      <w:r w:rsidR="00D276CD" w:rsidRPr="00DC747B">
        <w:rPr>
          <w:rFonts w:ascii="Garamond" w:hAnsi="Garamond"/>
        </w:rPr>
        <w:t>Work was conducted under federal and state scientific collecting permits to MNV (</w:t>
      </w:r>
      <w:r w:rsidR="00D276CD">
        <w:rPr>
          <w:rFonts w:ascii="Garamond" w:hAnsi="Garamond"/>
        </w:rPr>
        <w:t xml:space="preserve">USGS </w:t>
      </w:r>
      <w:r w:rsidR="00D276CD" w:rsidRPr="00D6230D">
        <w:rPr>
          <w:rFonts w:ascii="Garamond" w:hAnsi="Garamond"/>
        </w:rPr>
        <w:t>24129</w:t>
      </w:r>
      <w:r w:rsidR="00D276CD">
        <w:rPr>
          <w:rFonts w:ascii="Garamond" w:hAnsi="Garamond"/>
        </w:rPr>
        <w:t xml:space="preserve">, USFWS </w:t>
      </w:r>
      <w:r w:rsidR="00D276CD" w:rsidRPr="00D6230D">
        <w:rPr>
          <w:rFonts w:ascii="Garamond" w:hAnsi="Garamond"/>
        </w:rPr>
        <w:t>MB42428C</w:t>
      </w:r>
      <w:r w:rsidR="00D276CD" w:rsidRPr="00DC747B">
        <w:rPr>
          <w:rFonts w:ascii="Garamond" w:hAnsi="Garamond"/>
        </w:rPr>
        <w:t xml:space="preserve">; </w:t>
      </w:r>
      <w:r w:rsidR="00D276CD">
        <w:rPr>
          <w:rFonts w:ascii="Garamond" w:hAnsi="Garamond"/>
        </w:rPr>
        <w:t>New York State 215 and 2350</w:t>
      </w:r>
      <w:r w:rsidR="00D276CD" w:rsidRPr="00DC747B">
        <w:rPr>
          <w:rFonts w:ascii="Garamond" w:hAnsi="Garamond"/>
        </w:rPr>
        <w:t>).</w:t>
      </w:r>
      <w:r w:rsidR="007F1D06">
        <w:rPr>
          <w:rFonts w:ascii="Garamond" w:hAnsi="Garamond"/>
        </w:rPr>
        <w:t xml:space="preserve"> A</w:t>
      </w:r>
      <w:r w:rsidR="007F1D06" w:rsidRPr="00DC747B">
        <w:rPr>
          <w:rFonts w:ascii="Garamond" w:hAnsi="Garamond"/>
        </w:rPr>
        <w:t xml:space="preserve">ll procedures were approved by the Cornell University Institutional Animal Care &amp; Use Board (IACUC protocol </w:t>
      </w:r>
      <w:r w:rsidR="007F1D06" w:rsidRPr="00D6230D">
        <w:rPr>
          <w:rFonts w:ascii="Garamond" w:hAnsi="Garamond"/>
        </w:rPr>
        <w:t>2019-0023 and 2001-0051</w:t>
      </w:r>
      <w:r w:rsidR="007F1D06" w:rsidRPr="00DC747B">
        <w:rPr>
          <w:rFonts w:ascii="Garamond" w:hAnsi="Garamond"/>
        </w:rPr>
        <w:t>).</w:t>
      </w:r>
    </w:p>
    <w:p w14:paraId="6727B2B1" w14:textId="3FCA5AF4" w:rsidR="00860089" w:rsidRDefault="00860089">
      <w:pPr>
        <w:rPr>
          <w:rFonts w:ascii="Garamond" w:hAnsi="Garamond"/>
        </w:rPr>
      </w:pPr>
    </w:p>
    <w:p w14:paraId="51101BCE" w14:textId="0F94D741" w:rsidR="007F1D06" w:rsidRDefault="007F1D06">
      <w:pPr>
        <w:rPr>
          <w:rFonts w:ascii="Garamond" w:hAnsi="Garamond"/>
          <w:b/>
          <w:bCs/>
        </w:rPr>
      </w:pPr>
      <w:r>
        <w:rPr>
          <w:rFonts w:ascii="Garamond" w:hAnsi="Garamond"/>
          <w:b/>
          <w:bCs/>
        </w:rPr>
        <w:t xml:space="preserve">FUNDING STATEMENT </w:t>
      </w:r>
    </w:p>
    <w:p w14:paraId="25BA3B42" w14:textId="19596F01" w:rsidR="007F1D06" w:rsidRDefault="007F1D06" w:rsidP="007F1D06">
      <w:pPr>
        <w:rPr>
          <w:rFonts w:ascii="Garamond" w:hAnsi="Garamond"/>
        </w:rPr>
      </w:pPr>
      <w:r>
        <w:rPr>
          <w:rFonts w:ascii="Garamond" w:hAnsi="Garamond"/>
        </w:rPr>
        <w:t xml:space="preserve">S.M.M. and C.C.T. were funded by Edward Rose postdoctoral fellowships from the Cornell Lab of Ornithology. Funding for this research was also provided by </w:t>
      </w:r>
      <w:r w:rsidRPr="0082084C">
        <w:rPr>
          <w:rFonts w:ascii="Garamond" w:hAnsi="Garamond"/>
        </w:rPr>
        <w:t>U.S. Department of Defense, Defense Advanced Research Projects Agency (DARPA D17AP00033), the U.S. National Science Foundation (NSF IOS 1457151) and the U.S. National Institute of Food and Agriculture (NIFA Hatch 1017321) to M.V. The views, opinions and/or findings expressed are those of the authors and should not be interpreted as representing the official views or policies of the U.S. Department of Defense or the U.S. Government.</w:t>
      </w:r>
    </w:p>
    <w:p w14:paraId="5C1283EC" w14:textId="74800D7E" w:rsidR="007F1D06" w:rsidRPr="007F1D06" w:rsidRDefault="007F1D06">
      <w:pPr>
        <w:rPr>
          <w:rFonts w:ascii="Garamond" w:hAnsi="Garamond"/>
          <w:b/>
          <w:bCs/>
        </w:rPr>
      </w:pPr>
    </w:p>
    <w:p w14:paraId="5FB1B71A" w14:textId="77777777" w:rsidR="007F1D06" w:rsidRDefault="007F1D06">
      <w:pPr>
        <w:rPr>
          <w:rFonts w:ascii="Garamond" w:hAnsi="Garamond"/>
        </w:rPr>
      </w:pPr>
    </w:p>
    <w:p w14:paraId="0D8688A6" w14:textId="5FA6EC77" w:rsidR="007F1D06" w:rsidRDefault="007F1D06">
      <w:pPr>
        <w:rPr>
          <w:rFonts w:ascii="Garamond" w:hAnsi="Garamond"/>
          <w:b/>
          <w:bCs/>
        </w:rPr>
      </w:pPr>
      <w:r>
        <w:rPr>
          <w:rFonts w:ascii="Garamond" w:hAnsi="Garamond"/>
          <w:b/>
          <w:bCs/>
        </w:rPr>
        <w:t xml:space="preserve">REFERENCES </w:t>
      </w:r>
    </w:p>
    <w:p w14:paraId="21CA73EA" w14:textId="77777777" w:rsidR="007F1D06" w:rsidRDefault="007F1D06">
      <w:pPr>
        <w:rPr>
          <w:rFonts w:ascii="Garamond" w:hAnsi="Garamond"/>
          <w:b/>
          <w:bCs/>
        </w:rPr>
      </w:pPr>
    </w:p>
    <w:p w14:paraId="15E66E00" w14:textId="77777777" w:rsidR="00CC3773" w:rsidRPr="00CC3773" w:rsidRDefault="007F1D06" w:rsidP="00CC3773">
      <w:pPr>
        <w:pStyle w:val="Bibliography"/>
        <w:rPr>
          <w:rFonts w:ascii="Calibri" w:cs="Calibri"/>
        </w:rPr>
      </w:pPr>
      <w:r>
        <w:rPr>
          <w:rFonts w:ascii="Garamond" w:hAnsi="Garamond"/>
          <w:b/>
          <w:bCs/>
        </w:rPr>
        <w:fldChar w:fldCharType="begin"/>
      </w:r>
      <w:r>
        <w:rPr>
          <w:rFonts w:ascii="Garamond" w:hAnsi="Garamond"/>
          <w:b/>
          <w:bCs/>
        </w:rPr>
        <w:instrText xml:space="preserve"> ADDIN ZOTERO_BIBL {"uncited":[],"omitted":[],"custom":[]} CSL_BIBLIOGRAPHY </w:instrText>
      </w:r>
      <w:r>
        <w:rPr>
          <w:rFonts w:ascii="Garamond" w:hAnsi="Garamond"/>
          <w:b/>
          <w:bCs/>
        </w:rPr>
        <w:fldChar w:fldCharType="separate"/>
      </w:r>
      <w:r w:rsidR="00CC3773" w:rsidRPr="00CC3773">
        <w:rPr>
          <w:rFonts w:ascii="Calibri" w:cs="Calibri"/>
        </w:rPr>
        <w:t xml:space="preserve">Alwin, D. F., &amp; Wray, L. A. (2005). A life-span developmental perspective on social status and health. </w:t>
      </w:r>
      <w:r w:rsidR="00CC3773" w:rsidRPr="00CC3773">
        <w:rPr>
          <w:rFonts w:ascii="Calibri" w:cs="Calibri"/>
          <w:i/>
          <w:iCs/>
        </w:rPr>
        <w:t>The Journals of Gerontology: Series B</w:t>
      </w:r>
      <w:r w:rsidR="00CC3773" w:rsidRPr="00CC3773">
        <w:rPr>
          <w:rFonts w:ascii="Calibri" w:cs="Calibri"/>
        </w:rPr>
        <w:t xml:space="preserve">, </w:t>
      </w:r>
      <w:r w:rsidR="00CC3773" w:rsidRPr="00CC3773">
        <w:rPr>
          <w:rFonts w:ascii="Calibri" w:cs="Calibri"/>
          <w:i/>
          <w:iCs/>
        </w:rPr>
        <w:t>60</w:t>
      </w:r>
      <w:r w:rsidR="00CC3773" w:rsidRPr="00CC3773">
        <w:rPr>
          <w:rFonts w:ascii="Calibri" w:cs="Calibri"/>
        </w:rPr>
        <w:t>(Special_Issue_2), S7–S14. https://doi.org/10.1093/geronb/60.Special_Issue_2.S7</w:t>
      </w:r>
    </w:p>
    <w:p w14:paraId="4416B89D" w14:textId="77777777" w:rsidR="00CC3773" w:rsidRPr="00CC3773" w:rsidRDefault="00CC3773" w:rsidP="00CC3773">
      <w:pPr>
        <w:pStyle w:val="Bibliography"/>
        <w:rPr>
          <w:rFonts w:ascii="Calibri" w:cs="Calibri"/>
        </w:rPr>
      </w:pPr>
      <w:r w:rsidRPr="00CC3773">
        <w:rPr>
          <w:rFonts w:ascii="Calibri" w:cs="Calibri"/>
        </w:rPr>
        <w:t xml:space="preserve">Anderson, J. A., Johnston, R. A., Lea, A. J., Campos, F. A., Voyles, T. N., </w:t>
      </w:r>
      <w:proofErr w:type="spellStart"/>
      <w:r w:rsidRPr="00CC3773">
        <w:rPr>
          <w:rFonts w:ascii="Calibri" w:cs="Calibri"/>
        </w:rPr>
        <w:t>Akinyi</w:t>
      </w:r>
      <w:proofErr w:type="spellEnd"/>
      <w:r w:rsidRPr="00CC3773">
        <w:rPr>
          <w:rFonts w:ascii="Calibri" w:cs="Calibri"/>
        </w:rPr>
        <w:t xml:space="preserve">, M. Y., Alberts, S. C., Archie, E. A., &amp; Tung, J. (2021). High social status males experience accelerated epigenetic aging in wild baboons. </w:t>
      </w:r>
      <w:proofErr w:type="spellStart"/>
      <w:r w:rsidRPr="00CC3773">
        <w:rPr>
          <w:rFonts w:ascii="Calibri" w:cs="Calibri"/>
          <w:i/>
          <w:iCs/>
        </w:rPr>
        <w:t>ELife</w:t>
      </w:r>
      <w:proofErr w:type="spellEnd"/>
      <w:r w:rsidRPr="00CC3773">
        <w:rPr>
          <w:rFonts w:ascii="Calibri" w:cs="Calibri"/>
        </w:rPr>
        <w:t xml:space="preserve">, </w:t>
      </w:r>
      <w:r w:rsidRPr="00CC3773">
        <w:rPr>
          <w:rFonts w:ascii="Calibri" w:cs="Calibri"/>
          <w:i/>
          <w:iCs/>
        </w:rPr>
        <w:t>10</w:t>
      </w:r>
      <w:r w:rsidRPr="00CC3773">
        <w:rPr>
          <w:rFonts w:ascii="Calibri" w:cs="Calibri"/>
        </w:rPr>
        <w:t>, e66128. https://doi.org/10.7554/eLife.66128</w:t>
      </w:r>
    </w:p>
    <w:p w14:paraId="36B524DF" w14:textId="77777777" w:rsidR="00CC3773" w:rsidRPr="00CC3773" w:rsidRDefault="00CC3773" w:rsidP="00CC3773">
      <w:pPr>
        <w:pStyle w:val="Bibliography"/>
        <w:rPr>
          <w:rFonts w:ascii="Calibri" w:cs="Calibri"/>
        </w:rPr>
      </w:pPr>
      <w:r w:rsidRPr="00CC3773">
        <w:rPr>
          <w:rFonts w:ascii="Calibri" w:cs="Calibri"/>
        </w:rPr>
        <w:t xml:space="preserve">Beck, M. L., Hopkins, W. A., &amp; Hawley, D. M. (2015). Relationships among plumage coloration, blood selenium concentrations and immune responses of adult and nestling tree </w:t>
      </w:r>
      <w:r w:rsidRPr="00CC3773">
        <w:rPr>
          <w:rFonts w:ascii="Calibri" w:cs="Calibri"/>
        </w:rPr>
        <w:lastRenderedPageBreak/>
        <w:t xml:space="preserve">swallows. </w:t>
      </w:r>
      <w:r w:rsidRPr="00CC3773">
        <w:rPr>
          <w:rFonts w:ascii="Calibri" w:cs="Calibri"/>
          <w:i/>
          <w:iCs/>
        </w:rPr>
        <w:t>The Journal of Experimental Biology</w:t>
      </w:r>
      <w:r w:rsidRPr="00CC3773">
        <w:rPr>
          <w:rFonts w:ascii="Calibri" w:cs="Calibri"/>
        </w:rPr>
        <w:t xml:space="preserve">, </w:t>
      </w:r>
      <w:r w:rsidRPr="00CC3773">
        <w:rPr>
          <w:rFonts w:ascii="Calibri" w:cs="Calibri"/>
          <w:i/>
          <w:iCs/>
        </w:rPr>
        <w:t>218</w:t>
      </w:r>
      <w:r w:rsidRPr="00CC3773">
        <w:rPr>
          <w:rFonts w:ascii="Calibri" w:cs="Calibri"/>
        </w:rPr>
        <w:t>(Pt 21), 3415–3424. https://doi.org/10.1242/jeb.123794</w:t>
      </w:r>
    </w:p>
    <w:p w14:paraId="5E543D93" w14:textId="77777777" w:rsidR="00CC3773" w:rsidRPr="00CC3773" w:rsidRDefault="00CC3773" w:rsidP="00CC3773">
      <w:pPr>
        <w:pStyle w:val="Bibliography"/>
        <w:rPr>
          <w:rFonts w:ascii="Calibri" w:cs="Calibri"/>
        </w:rPr>
      </w:pPr>
      <w:r w:rsidRPr="00CC3773">
        <w:rPr>
          <w:rFonts w:ascii="Calibri" w:cs="Calibri"/>
        </w:rPr>
        <w:t xml:space="preserve">Bentz, A. B., George, E. M., Wolf, S. E., </w:t>
      </w:r>
      <w:proofErr w:type="spellStart"/>
      <w:r w:rsidRPr="00CC3773">
        <w:rPr>
          <w:rFonts w:ascii="Calibri" w:cs="Calibri"/>
        </w:rPr>
        <w:t>Rusch</w:t>
      </w:r>
      <w:proofErr w:type="spellEnd"/>
      <w:r w:rsidRPr="00CC3773">
        <w:rPr>
          <w:rFonts w:ascii="Calibri" w:cs="Calibri"/>
        </w:rPr>
        <w:t xml:space="preserve">, D. B., </w:t>
      </w:r>
      <w:proofErr w:type="spellStart"/>
      <w:r w:rsidRPr="00CC3773">
        <w:rPr>
          <w:rFonts w:ascii="Calibri" w:cs="Calibri"/>
        </w:rPr>
        <w:t>Podicheti</w:t>
      </w:r>
      <w:proofErr w:type="spellEnd"/>
      <w:r w:rsidRPr="00CC3773">
        <w:rPr>
          <w:rFonts w:ascii="Calibri" w:cs="Calibri"/>
        </w:rPr>
        <w:t xml:space="preserve">, R., </w:t>
      </w:r>
      <w:proofErr w:type="spellStart"/>
      <w:r w:rsidRPr="00CC3773">
        <w:rPr>
          <w:rFonts w:ascii="Calibri" w:cs="Calibri"/>
        </w:rPr>
        <w:t>Buechlein</w:t>
      </w:r>
      <w:proofErr w:type="spellEnd"/>
      <w:r w:rsidRPr="00CC3773">
        <w:rPr>
          <w:rFonts w:ascii="Calibri" w:cs="Calibri"/>
        </w:rPr>
        <w:t xml:space="preserve">, A., Nephew, K. P., &amp; </w:t>
      </w:r>
      <w:proofErr w:type="spellStart"/>
      <w:r w:rsidRPr="00CC3773">
        <w:rPr>
          <w:rFonts w:ascii="Calibri" w:cs="Calibri"/>
        </w:rPr>
        <w:t>Rosvall</w:t>
      </w:r>
      <w:proofErr w:type="spellEnd"/>
      <w:r w:rsidRPr="00CC3773">
        <w:rPr>
          <w:rFonts w:ascii="Calibri" w:cs="Calibri"/>
        </w:rPr>
        <w:t xml:space="preserve">, K. A. (2021). Experimental competition induces immediate and lasting effects on the </w:t>
      </w:r>
      <w:proofErr w:type="spellStart"/>
      <w:r w:rsidRPr="00CC3773">
        <w:rPr>
          <w:rFonts w:ascii="Calibri" w:cs="Calibri"/>
        </w:rPr>
        <w:t>neurogenome</w:t>
      </w:r>
      <w:proofErr w:type="spellEnd"/>
      <w:r w:rsidRPr="00CC3773">
        <w:rPr>
          <w:rFonts w:ascii="Calibri" w:cs="Calibri"/>
        </w:rPr>
        <w:t xml:space="preserve"> in free-living female birds. </w:t>
      </w:r>
      <w:r w:rsidRPr="00CC3773">
        <w:rPr>
          <w:rFonts w:ascii="Calibri" w:cs="Calibri"/>
          <w:i/>
          <w:iCs/>
        </w:rPr>
        <w:t>Proceedings of the National Academy of Sciences</w:t>
      </w:r>
      <w:r w:rsidRPr="00CC3773">
        <w:rPr>
          <w:rFonts w:ascii="Calibri" w:cs="Calibri"/>
        </w:rPr>
        <w:t xml:space="preserve">, </w:t>
      </w:r>
      <w:r w:rsidRPr="00CC3773">
        <w:rPr>
          <w:rFonts w:ascii="Calibri" w:cs="Calibri"/>
          <w:i/>
          <w:iCs/>
        </w:rPr>
        <w:t>118</w:t>
      </w:r>
      <w:r w:rsidRPr="00CC3773">
        <w:rPr>
          <w:rFonts w:ascii="Calibri" w:cs="Calibri"/>
        </w:rPr>
        <w:t>(13), e2016154118. https://doi.org/10.1073/pnas.2016154118</w:t>
      </w:r>
    </w:p>
    <w:p w14:paraId="60CB23F1" w14:textId="77777777" w:rsidR="00CC3773" w:rsidRPr="00CC3773" w:rsidRDefault="00CC3773" w:rsidP="00CC3773">
      <w:pPr>
        <w:pStyle w:val="Bibliography"/>
        <w:rPr>
          <w:rFonts w:ascii="Calibri" w:cs="Calibri"/>
        </w:rPr>
      </w:pPr>
      <w:proofErr w:type="spellStart"/>
      <w:r w:rsidRPr="00CC3773">
        <w:rPr>
          <w:rFonts w:ascii="Calibri" w:cs="Calibri"/>
        </w:rPr>
        <w:t>Bókony</w:t>
      </w:r>
      <w:proofErr w:type="spellEnd"/>
      <w:r w:rsidRPr="00CC3773">
        <w:rPr>
          <w:rFonts w:ascii="Calibri" w:cs="Calibri"/>
        </w:rPr>
        <w:t xml:space="preserve">, V., </w:t>
      </w:r>
      <w:proofErr w:type="spellStart"/>
      <w:r w:rsidRPr="00CC3773">
        <w:rPr>
          <w:rFonts w:ascii="Calibri" w:cs="Calibri"/>
        </w:rPr>
        <w:t>Lendvai</w:t>
      </w:r>
      <w:proofErr w:type="spellEnd"/>
      <w:r w:rsidRPr="00CC3773">
        <w:rPr>
          <w:rFonts w:ascii="Calibri" w:cs="Calibri"/>
        </w:rPr>
        <w:t xml:space="preserve">, Á. Z., Liker, A., </w:t>
      </w:r>
      <w:proofErr w:type="spellStart"/>
      <w:r w:rsidRPr="00CC3773">
        <w:rPr>
          <w:rFonts w:ascii="Calibri" w:cs="Calibri"/>
        </w:rPr>
        <w:t>Angelier</w:t>
      </w:r>
      <w:proofErr w:type="spellEnd"/>
      <w:r w:rsidRPr="00CC3773">
        <w:rPr>
          <w:rFonts w:ascii="Calibri" w:cs="Calibri"/>
        </w:rPr>
        <w:t xml:space="preserve">, F., Wingfield, J. C., &amp; </w:t>
      </w:r>
      <w:proofErr w:type="spellStart"/>
      <w:r w:rsidRPr="00CC3773">
        <w:rPr>
          <w:rFonts w:ascii="Calibri" w:cs="Calibri"/>
        </w:rPr>
        <w:t>Chastel</w:t>
      </w:r>
      <w:proofErr w:type="spellEnd"/>
      <w:r w:rsidRPr="00CC3773">
        <w:rPr>
          <w:rFonts w:ascii="Calibri" w:cs="Calibri"/>
        </w:rPr>
        <w:t xml:space="preserve">, O. (2009). Stress response and the value of reproduction: Are </w:t>
      </w:r>
      <w:proofErr w:type="gramStart"/>
      <w:r w:rsidRPr="00CC3773">
        <w:rPr>
          <w:rFonts w:ascii="Calibri" w:cs="Calibri"/>
        </w:rPr>
        <w:t>birds</w:t>
      </w:r>
      <w:proofErr w:type="gramEnd"/>
      <w:r w:rsidRPr="00CC3773">
        <w:rPr>
          <w:rFonts w:ascii="Calibri" w:cs="Calibri"/>
        </w:rPr>
        <w:t xml:space="preserve"> prudent parents? </w:t>
      </w:r>
      <w:r w:rsidRPr="00CC3773">
        <w:rPr>
          <w:rFonts w:ascii="Calibri" w:cs="Calibri"/>
          <w:i/>
          <w:iCs/>
        </w:rPr>
        <w:t>The American Naturalist</w:t>
      </w:r>
      <w:r w:rsidRPr="00CC3773">
        <w:rPr>
          <w:rFonts w:ascii="Calibri" w:cs="Calibri"/>
        </w:rPr>
        <w:t xml:space="preserve">, </w:t>
      </w:r>
      <w:r w:rsidRPr="00CC3773">
        <w:rPr>
          <w:rFonts w:ascii="Calibri" w:cs="Calibri"/>
          <w:i/>
          <w:iCs/>
        </w:rPr>
        <w:t>173</w:t>
      </w:r>
      <w:r w:rsidRPr="00CC3773">
        <w:rPr>
          <w:rFonts w:ascii="Calibri" w:cs="Calibri"/>
        </w:rPr>
        <w:t>(5), 589–598. https://doi.org/10.1086/597610</w:t>
      </w:r>
    </w:p>
    <w:p w14:paraId="6C2EB1D6" w14:textId="77777777" w:rsidR="00CC3773" w:rsidRPr="00CC3773" w:rsidRDefault="00CC3773" w:rsidP="00CC3773">
      <w:pPr>
        <w:pStyle w:val="Bibliography"/>
        <w:rPr>
          <w:rFonts w:ascii="Calibri" w:cs="Calibri"/>
        </w:rPr>
      </w:pPr>
      <w:r w:rsidRPr="00CC3773">
        <w:rPr>
          <w:rFonts w:ascii="Calibri" w:cs="Calibri"/>
        </w:rPr>
        <w:t xml:space="preserve">Creel, S., </w:t>
      </w:r>
      <w:proofErr w:type="spellStart"/>
      <w:r w:rsidRPr="00CC3773">
        <w:rPr>
          <w:rFonts w:ascii="Calibri" w:cs="Calibri"/>
        </w:rPr>
        <w:t>Dantzer</w:t>
      </w:r>
      <w:proofErr w:type="spellEnd"/>
      <w:r w:rsidRPr="00CC3773">
        <w:rPr>
          <w:rFonts w:ascii="Calibri" w:cs="Calibri"/>
        </w:rPr>
        <w:t xml:space="preserve">, B., </w:t>
      </w:r>
      <w:proofErr w:type="spellStart"/>
      <w:r w:rsidRPr="00CC3773">
        <w:rPr>
          <w:rFonts w:ascii="Calibri" w:cs="Calibri"/>
        </w:rPr>
        <w:t>Goymann</w:t>
      </w:r>
      <w:proofErr w:type="spellEnd"/>
      <w:r w:rsidRPr="00CC3773">
        <w:rPr>
          <w:rFonts w:ascii="Calibri" w:cs="Calibri"/>
        </w:rPr>
        <w:t xml:space="preserve">, W., &amp; Rubenstein, D. R. (2013). The ecology of stress: Effects of the social environment. </w:t>
      </w:r>
      <w:r w:rsidRPr="00CC3773">
        <w:rPr>
          <w:rFonts w:ascii="Calibri" w:cs="Calibri"/>
          <w:i/>
          <w:iCs/>
        </w:rPr>
        <w:t>Functional Ecology</w:t>
      </w:r>
      <w:r w:rsidRPr="00CC3773">
        <w:rPr>
          <w:rFonts w:ascii="Calibri" w:cs="Calibri"/>
        </w:rPr>
        <w:t xml:space="preserve">, </w:t>
      </w:r>
      <w:r w:rsidRPr="00CC3773">
        <w:rPr>
          <w:rFonts w:ascii="Calibri" w:cs="Calibri"/>
          <w:i/>
          <w:iCs/>
        </w:rPr>
        <w:t>27</w:t>
      </w:r>
      <w:r w:rsidRPr="00CC3773">
        <w:rPr>
          <w:rFonts w:ascii="Calibri" w:cs="Calibri"/>
        </w:rPr>
        <w:t>(1), 66–80. https://doi.org/10.1111/j.1365-2435.2012.02029.x</w:t>
      </w:r>
    </w:p>
    <w:p w14:paraId="56693E0D" w14:textId="77777777" w:rsidR="00CC3773" w:rsidRPr="00CC3773" w:rsidRDefault="00CC3773" w:rsidP="00CC3773">
      <w:pPr>
        <w:pStyle w:val="Bibliography"/>
        <w:rPr>
          <w:rFonts w:ascii="Calibri" w:cs="Calibri"/>
        </w:rPr>
      </w:pPr>
      <w:proofErr w:type="spellStart"/>
      <w:r w:rsidRPr="00CC3773">
        <w:rPr>
          <w:rFonts w:ascii="Calibri" w:cs="Calibri"/>
        </w:rPr>
        <w:t>Deviche</w:t>
      </w:r>
      <w:proofErr w:type="spellEnd"/>
      <w:r w:rsidRPr="00CC3773">
        <w:rPr>
          <w:rFonts w:ascii="Calibri" w:cs="Calibri"/>
        </w:rPr>
        <w:t xml:space="preserve">, P., </w:t>
      </w:r>
      <w:proofErr w:type="spellStart"/>
      <w:r w:rsidRPr="00CC3773">
        <w:rPr>
          <w:rFonts w:ascii="Calibri" w:cs="Calibri"/>
        </w:rPr>
        <w:t>Beouche</w:t>
      </w:r>
      <w:proofErr w:type="spellEnd"/>
      <w:r w:rsidRPr="00CC3773">
        <w:rPr>
          <w:rFonts w:ascii="Calibri" w:cs="Calibri"/>
        </w:rPr>
        <w:t xml:space="preserve">-Helias, B., Davies, S., Gao, S., Lane, S., &amp; Valle, S. (2014). Regulation of plasma testosterone, corticosterone, and metabolites in response to stress, reproductive stage, and social challenges in a desert male songbird. </w:t>
      </w:r>
      <w:r w:rsidRPr="00CC3773">
        <w:rPr>
          <w:rFonts w:ascii="Calibri" w:cs="Calibri"/>
          <w:i/>
          <w:iCs/>
        </w:rPr>
        <w:t>General and Comparative Endocrinology</w:t>
      </w:r>
      <w:r w:rsidRPr="00CC3773">
        <w:rPr>
          <w:rFonts w:ascii="Calibri" w:cs="Calibri"/>
        </w:rPr>
        <w:t xml:space="preserve">, </w:t>
      </w:r>
      <w:r w:rsidRPr="00CC3773">
        <w:rPr>
          <w:rFonts w:ascii="Calibri" w:cs="Calibri"/>
          <w:i/>
          <w:iCs/>
        </w:rPr>
        <w:t>203</w:t>
      </w:r>
      <w:r w:rsidRPr="00CC3773">
        <w:rPr>
          <w:rFonts w:ascii="Calibri" w:cs="Calibri"/>
        </w:rPr>
        <w:t>, 120–131. https://doi.org/10.1016/j.ygcen.2014.01.010</w:t>
      </w:r>
    </w:p>
    <w:p w14:paraId="1E7E545D" w14:textId="77777777" w:rsidR="00CC3773" w:rsidRPr="00CC3773" w:rsidRDefault="00CC3773" w:rsidP="00CC3773">
      <w:pPr>
        <w:pStyle w:val="Bibliography"/>
        <w:rPr>
          <w:rFonts w:ascii="Calibri" w:cs="Calibri"/>
        </w:rPr>
      </w:pPr>
      <w:proofErr w:type="spellStart"/>
      <w:r w:rsidRPr="00CC3773">
        <w:rPr>
          <w:rFonts w:ascii="Calibri" w:cs="Calibri"/>
        </w:rPr>
        <w:t>Engh</w:t>
      </w:r>
      <w:proofErr w:type="spellEnd"/>
      <w:r w:rsidRPr="00CC3773">
        <w:rPr>
          <w:rFonts w:ascii="Calibri" w:cs="Calibri"/>
        </w:rPr>
        <w:t xml:space="preserve">, A. L., </w:t>
      </w:r>
      <w:proofErr w:type="spellStart"/>
      <w:r w:rsidRPr="00CC3773">
        <w:rPr>
          <w:rFonts w:ascii="Calibri" w:cs="Calibri"/>
        </w:rPr>
        <w:t>Beehner</w:t>
      </w:r>
      <w:proofErr w:type="spellEnd"/>
      <w:r w:rsidRPr="00CC3773">
        <w:rPr>
          <w:rFonts w:ascii="Calibri" w:cs="Calibri"/>
        </w:rPr>
        <w:t xml:space="preserve">, J. C., Bergman, T. J., Whitten, P. L., Hoffmeier, R. R., Seyfarth, R. M., &amp; Cheney, D. L. (2006). </w:t>
      </w:r>
      <w:proofErr w:type="spellStart"/>
      <w:r w:rsidRPr="00CC3773">
        <w:rPr>
          <w:rFonts w:ascii="Calibri" w:cs="Calibri"/>
        </w:rPr>
        <w:t>Behavioural</w:t>
      </w:r>
      <w:proofErr w:type="spellEnd"/>
      <w:r w:rsidRPr="00CC3773">
        <w:rPr>
          <w:rFonts w:ascii="Calibri" w:cs="Calibri"/>
        </w:rPr>
        <w:t xml:space="preserve"> and hormonal responses to predation in female chacma baboons (</w:t>
      </w:r>
      <w:proofErr w:type="spellStart"/>
      <w:r w:rsidRPr="00CC3773">
        <w:rPr>
          <w:rFonts w:ascii="Calibri" w:cs="Calibri"/>
        </w:rPr>
        <w:t>Papio</w:t>
      </w:r>
      <w:proofErr w:type="spellEnd"/>
      <w:r w:rsidRPr="00CC3773">
        <w:rPr>
          <w:rFonts w:ascii="Calibri" w:cs="Calibri"/>
        </w:rPr>
        <w:t xml:space="preserve"> hamadryas ursinus). </w:t>
      </w:r>
      <w:r w:rsidRPr="00CC3773">
        <w:rPr>
          <w:rFonts w:ascii="Calibri" w:cs="Calibri"/>
          <w:i/>
          <w:iCs/>
        </w:rPr>
        <w:t>Proceedings of the Royal Society B: Biological Sciences</w:t>
      </w:r>
      <w:r w:rsidRPr="00CC3773">
        <w:rPr>
          <w:rFonts w:ascii="Calibri" w:cs="Calibri"/>
        </w:rPr>
        <w:t xml:space="preserve">, </w:t>
      </w:r>
      <w:r w:rsidRPr="00CC3773">
        <w:rPr>
          <w:rFonts w:ascii="Calibri" w:cs="Calibri"/>
          <w:i/>
          <w:iCs/>
        </w:rPr>
        <w:t>273</w:t>
      </w:r>
      <w:r w:rsidRPr="00CC3773">
        <w:rPr>
          <w:rFonts w:ascii="Calibri" w:cs="Calibri"/>
        </w:rPr>
        <w:t>(1587), 707–712. https://doi.org/10.1098/rspb.2005.3378</w:t>
      </w:r>
    </w:p>
    <w:p w14:paraId="6F772CE1" w14:textId="77777777" w:rsidR="00CC3773" w:rsidRPr="00CC3773" w:rsidRDefault="00CC3773" w:rsidP="00CC3773">
      <w:pPr>
        <w:pStyle w:val="Bibliography"/>
        <w:rPr>
          <w:rFonts w:ascii="Calibri" w:cs="Calibri"/>
        </w:rPr>
      </w:pPr>
      <w:proofErr w:type="spellStart"/>
      <w:r w:rsidRPr="00CC3773">
        <w:rPr>
          <w:rFonts w:ascii="Calibri" w:cs="Calibri"/>
          <w:lang w:val="es-ES"/>
        </w:rPr>
        <w:t>Guidotti</w:t>
      </w:r>
      <w:proofErr w:type="spellEnd"/>
      <w:r w:rsidRPr="00CC3773">
        <w:rPr>
          <w:rFonts w:ascii="Calibri" w:cs="Calibri"/>
          <w:lang w:val="es-ES"/>
        </w:rPr>
        <w:t xml:space="preserve">, G., Calabrese, F., </w:t>
      </w:r>
      <w:proofErr w:type="spellStart"/>
      <w:r w:rsidRPr="00CC3773">
        <w:rPr>
          <w:rFonts w:ascii="Calibri" w:cs="Calibri"/>
          <w:lang w:val="es-ES"/>
        </w:rPr>
        <w:t>Anacker</w:t>
      </w:r>
      <w:proofErr w:type="spellEnd"/>
      <w:r w:rsidRPr="00CC3773">
        <w:rPr>
          <w:rFonts w:ascii="Calibri" w:cs="Calibri"/>
          <w:lang w:val="es-ES"/>
        </w:rPr>
        <w:t xml:space="preserve">, C., </w:t>
      </w:r>
      <w:proofErr w:type="spellStart"/>
      <w:r w:rsidRPr="00CC3773">
        <w:rPr>
          <w:rFonts w:ascii="Calibri" w:cs="Calibri"/>
          <w:lang w:val="es-ES"/>
        </w:rPr>
        <w:t>Racagni</w:t>
      </w:r>
      <w:proofErr w:type="spellEnd"/>
      <w:r w:rsidRPr="00CC3773">
        <w:rPr>
          <w:rFonts w:ascii="Calibri" w:cs="Calibri"/>
          <w:lang w:val="es-ES"/>
        </w:rPr>
        <w:t xml:space="preserve">, G., </w:t>
      </w:r>
      <w:proofErr w:type="spellStart"/>
      <w:r w:rsidRPr="00CC3773">
        <w:rPr>
          <w:rFonts w:ascii="Calibri" w:cs="Calibri"/>
          <w:lang w:val="es-ES"/>
        </w:rPr>
        <w:t>Pariante</w:t>
      </w:r>
      <w:proofErr w:type="spellEnd"/>
      <w:r w:rsidRPr="00CC3773">
        <w:rPr>
          <w:rFonts w:ascii="Calibri" w:cs="Calibri"/>
          <w:lang w:val="es-ES"/>
        </w:rPr>
        <w:t xml:space="preserve">, C. M., &amp; Riva, M. A. (2013). </w:t>
      </w:r>
      <w:r w:rsidRPr="00CC3773">
        <w:rPr>
          <w:rFonts w:ascii="Calibri" w:cs="Calibri"/>
        </w:rPr>
        <w:t xml:space="preserve">Glucocorticoid receptor and FKBP5 expression </w:t>
      </w:r>
      <w:proofErr w:type="gramStart"/>
      <w:r w:rsidRPr="00CC3773">
        <w:rPr>
          <w:rFonts w:ascii="Calibri" w:cs="Calibri"/>
        </w:rPr>
        <w:t>is</w:t>
      </w:r>
      <w:proofErr w:type="gramEnd"/>
      <w:r w:rsidRPr="00CC3773">
        <w:rPr>
          <w:rFonts w:ascii="Calibri" w:cs="Calibri"/>
        </w:rPr>
        <w:t xml:space="preserve"> altered following exposure to chronic </w:t>
      </w:r>
      <w:r w:rsidRPr="00CC3773">
        <w:rPr>
          <w:rFonts w:ascii="Calibri" w:cs="Calibri"/>
        </w:rPr>
        <w:lastRenderedPageBreak/>
        <w:t xml:space="preserve">stress: Modulation by antidepressant treatment. </w:t>
      </w:r>
      <w:r w:rsidRPr="00CC3773">
        <w:rPr>
          <w:rFonts w:ascii="Calibri" w:cs="Calibri"/>
          <w:i/>
          <w:iCs/>
        </w:rPr>
        <w:t>Neuropsychopharmacology</w:t>
      </w:r>
      <w:r w:rsidRPr="00CC3773">
        <w:rPr>
          <w:rFonts w:ascii="Calibri" w:cs="Calibri"/>
        </w:rPr>
        <w:t xml:space="preserve">, </w:t>
      </w:r>
      <w:r w:rsidRPr="00CC3773">
        <w:rPr>
          <w:rFonts w:ascii="Calibri" w:cs="Calibri"/>
          <w:i/>
          <w:iCs/>
        </w:rPr>
        <w:t>38</w:t>
      </w:r>
      <w:r w:rsidRPr="00CC3773">
        <w:rPr>
          <w:rFonts w:ascii="Calibri" w:cs="Calibri"/>
        </w:rPr>
        <w:t>(4), Article 4. https://doi.org/10.1038/npp.2012.225</w:t>
      </w:r>
    </w:p>
    <w:p w14:paraId="4A019D50" w14:textId="77777777" w:rsidR="00CC3773" w:rsidRPr="00CC3773" w:rsidRDefault="00CC3773" w:rsidP="00CC3773">
      <w:pPr>
        <w:pStyle w:val="Bibliography"/>
        <w:rPr>
          <w:rFonts w:ascii="Calibri" w:cs="Calibri"/>
        </w:rPr>
      </w:pPr>
      <w:r w:rsidRPr="00CC3773">
        <w:rPr>
          <w:rFonts w:ascii="Calibri" w:cs="Calibri"/>
        </w:rPr>
        <w:t xml:space="preserve">Korte, S. M., Koolhaas, J. M., Wingfield, J. C., &amp; McEwen, B. S. (2005). The Darwinian concept of stress: Benefits of allostasis and costs of allostatic load and the trade-offs in health and disease. </w:t>
      </w:r>
      <w:r w:rsidRPr="00CC3773">
        <w:rPr>
          <w:rFonts w:ascii="Calibri" w:cs="Calibri"/>
          <w:i/>
          <w:iCs/>
        </w:rPr>
        <w:t>Neuroscience &amp; Biobehavioral Reviews</w:t>
      </w:r>
      <w:r w:rsidRPr="00CC3773">
        <w:rPr>
          <w:rFonts w:ascii="Calibri" w:cs="Calibri"/>
        </w:rPr>
        <w:t xml:space="preserve">, </w:t>
      </w:r>
      <w:r w:rsidRPr="00CC3773">
        <w:rPr>
          <w:rFonts w:ascii="Calibri" w:cs="Calibri"/>
          <w:i/>
          <w:iCs/>
        </w:rPr>
        <w:t>29</w:t>
      </w:r>
      <w:r w:rsidRPr="00CC3773">
        <w:rPr>
          <w:rFonts w:ascii="Calibri" w:cs="Calibri"/>
        </w:rPr>
        <w:t>(1), 3–38. https://doi.org/10.1016/j.neubiorev.2004.08.009</w:t>
      </w:r>
    </w:p>
    <w:p w14:paraId="3AFCDD5B" w14:textId="77777777" w:rsidR="00CC3773" w:rsidRPr="00CC3773" w:rsidRDefault="00CC3773" w:rsidP="00CC3773">
      <w:pPr>
        <w:pStyle w:val="Bibliography"/>
        <w:rPr>
          <w:rFonts w:ascii="Calibri" w:cs="Calibri"/>
        </w:rPr>
      </w:pPr>
      <w:proofErr w:type="spellStart"/>
      <w:r w:rsidRPr="00CC3773">
        <w:rPr>
          <w:rFonts w:ascii="Calibri" w:cs="Calibri"/>
        </w:rPr>
        <w:t>Landys</w:t>
      </w:r>
      <w:proofErr w:type="spellEnd"/>
      <w:r w:rsidRPr="00CC3773">
        <w:rPr>
          <w:rFonts w:ascii="Calibri" w:cs="Calibri"/>
        </w:rPr>
        <w:t xml:space="preserve">, M. M., </w:t>
      </w:r>
      <w:proofErr w:type="spellStart"/>
      <w:r w:rsidRPr="00CC3773">
        <w:rPr>
          <w:rFonts w:ascii="Calibri" w:cs="Calibri"/>
        </w:rPr>
        <w:t>Goymann</w:t>
      </w:r>
      <w:proofErr w:type="spellEnd"/>
      <w:r w:rsidRPr="00CC3773">
        <w:rPr>
          <w:rFonts w:ascii="Calibri" w:cs="Calibri"/>
        </w:rPr>
        <w:t xml:space="preserve">, W., </w:t>
      </w:r>
      <w:proofErr w:type="spellStart"/>
      <w:r w:rsidRPr="00CC3773">
        <w:rPr>
          <w:rFonts w:ascii="Calibri" w:cs="Calibri"/>
        </w:rPr>
        <w:t>Schwabl</w:t>
      </w:r>
      <w:proofErr w:type="spellEnd"/>
      <w:r w:rsidRPr="00CC3773">
        <w:rPr>
          <w:rFonts w:ascii="Calibri" w:cs="Calibri"/>
        </w:rPr>
        <w:t xml:space="preserve">, I., </w:t>
      </w:r>
      <w:proofErr w:type="spellStart"/>
      <w:r w:rsidRPr="00CC3773">
        <w:rPr>
          <w:rFonts w:ascii="Calibri" w:cs="Calibri"/>
        </w:rPr>
        <w:t>Trapschuh</w:t>
      </w:r>
      <w:proofErr w:type="spellEnd"/>
      <w:r w:rsidRPr="00CC3773">
        <w:rPr>
          <w:rFonts w:ascii="Calibri" w:cs="Calibri"/>
        </w:rPr>
        <w:t xml:space="preserve">, M., &amp; </w:t>
      </w:r>
      <w:proofErr w:type="spellStart"/>
      <w:r w:rsidRPr="00CC3773">
        <w:rPr>
          <w:rFonts w:ascii="Calibri" w:cs="Calibri"/>
        </w:rPr>
        <w:t>Slagsvold</w:t>
      </w:r>
      <w:proofErr w:type="spellEnd"/>
      <w:r w:rsidRPr="00CC3773">
        <w:rPr>
          <w:rFonts w:ascii="Calibri" w:cs="Calibri"/>
        </w:rPr>
        <w:t xml:space="preserve">, T. (2010). Impact of season and social challenge on testosterone and corticosterone levels in a year-round territorial bird. </w:t>
      </w:r>
      <w:r w:rsidRPr="00CC3773">
        <w:rPr>
          <w:rFonts w:ascii="Calibri" w:cs="Calibri"/>
          <w:i/>
          <w:iCs/>
        </w:rPr>
        <w:t>Hormones and Behavior</w:t>
      </w:r>
      <w:r w:rsidRPr="00CC3773">
        <w:rPr>
          <w:rFonts w:ascii="Calibri" w:cs="Calibri"/>
        </w:rPr>
        <w:t xml:space="preserve">, </w:t>
      </w:r>
      <w:r w:rsidRPr="00CC3773">
        <w:rPr>
          <w:rFonts w:ascii="Calibri" w:cs="Calibri"/>
          <w:i/>
          <w:iCs/>
        </w:rPr>
        <w:t>58</w:t>
      </w:r>
      <w:r w:rsidRPr="00CC3773">
        <w:rPr>
          <w:rFonts w:ascii="Calibri" w:cs="Calibri"/>
        </w:rPr>
        <w:t>(2), 317–325. https://doi.org/10.1016/j.yhbeh.2010.02.013</w:t>
      </w:r>
    </w:p>
    <w:p w14:paraId="11C4B6FD" w14:textId="77777777" w:rsidR="00CC3773" w:rsidRPr="00CC3773" w:rsidRDefault="00CC3773" w:rsidP="00CC3773">
      <w:pPr>
        <w:pStyle w:val="Bibliography"/>
        <w:rPr>
          <w:rFonts w:ascii="Calibri" w:cs="Calibri"/>
        </w:rPr>
      </w:pPr>
      <w:r w:rsidRPr="00CC3773">
        <w:rPr>
          <w:rFonts w:ascii="Calibri" w:cs="Calibri"/>
        </w:rPr>
        <w:t xml:space="preserve">Lee, R. S., &amp; </w:t>
      </w:r>
      <w:proofErr w:type="spellStart"/>
      <w:r w:rsidRPr="00CC3773">
        <w:rPr>
          <w:rFonts w:ascii="Calibri" w:cs="Calibri"/>
        </w:rPr>
        <w:t>Sawa</w:t>
      </w:r>
      <w:proofErr w:type="spellEnd"/>
      <w:r w:rsidRPr="00CC3773">
        <w:rPr>
          <w:rFonts w:ascii="Calibri" w:cs="Calibri"/>
        </w:rPr>
        <w:t xml:space="preserve">, A. (2014). Environmental Stressors and Epigenetic Control of the Hypothalamic-Pituitary-Adrenal Axis. </w:t>
      </w:r>
      <w:r w:rsidRPr="00CC3773">
        <w:rPr>
          <w:rFonts w:ascii="Calibri" w:cs="Calibri"/>
          <w:i/>
          <w:iCs/>
        </w:rPr>
        <w:t>Neuroendocrinology</w:t>
      </w:r>
      <w:r w:rsidRPr="00CC3773">
        <w:rPr>
          <w:rFonts w:ascii="Calibri" w:cs="Calibri"/>
        </w:rPr>
        <w:t xml:space="preserve">, </w:t>
      </w:r>
      <w:r w:rsidRPr="00CC3773">
        <w:rPr>
          <w:rFonts w:ascii="Calibri" w:cs="Calibri"/>
          <w:i/>
          <w:iCs/>
        </w:rPr>
        <w:t>100</w:t>
      </w:r>
      <w:r w:rsidRPr="00CC3773">
        <w:rPr>
          <w:rFonts w:ascii="Calibri" w:cs="Calibri"/>
        </w:rPr>
        <w:t>(4), 278–287. https://doi.org/10.1159/000369585</w:t>
      </w:r>
    </w:p>
    <w:p w14:paraId="42ACD3F6" w14:textId="77777777" w:rsidR="00CC3773" w:rsidRPr="00CC3773" w:rsidRDefault="00CC3773" w:rsidP="00CC3773">
      <w:pPr>
        <w:pStyle w:val="Bibliography"/>
        <w:rPr>
          <w:rFonts w:ascii="Calibri" w:cs="Calibri"/>
        </w:rPr>
      </w:pPr>
      <w:r w:rsidRPr="00CC3773">
        <w:rPr>
          <w:rFonts w:ascii="Calibri" w:cs="Calibri"/>
        </w:rPr>
        <w:t xml:space="preserve">Mason, N. A., &amp; Bowie, R. C. K. (2020). Plumage patterns: Ecological functions, evolutionary origins, and advances in quantification. </w:t>
      </w:r>
      <w:r w:rsidRPr="00CC3773">
        <w:rPr>
          <w:rFonts w:ascii="Calibri" w:cs="Calibri"/>
          <w:i/>
          <w:iCs/>
        </w:rPr>
        <w:t>The Auk</w:t>
      </w:r>
      <w:r w:rsidRPr="00CC3773">
        <w:rPr>
          <w:rFonts w:ascii="Calibri" w:cs="Calibri"/>
        </w:rPr>
        <w:t xml:space="preserve">, </w:t>
      </w:r>
      <w:r w:rsidRPr="00CC3773">
        <w:rPr>
          <w:rFonts w:ascii="Calibri" w:cs="Calibri"/>
          <w:i/>
          <w:iCs/>
        </w:rPr>
        <w:t>137</w:t>
      </w:r>
      <w:r w:rsidRPr="00CC3773">
        <w:rPr>
          <w:rFonts w:ascii="Calibri" w:cs="Calibri"/>
        </w:rPr>
        <w:t>(4), ukaa060. https://doi.org/10.1093/auk/ukaa060</w:t>
      </w:r>
    </w:p>
    <w:p w14:paraId="7B4C6C37" w14:textId="77777777" w:rsidR="00CC3773" w:rsidRPr="00CC3773" w:rsidRDefault="00CC3773" w:rsidP="00CC3773">
      <w:pPr>
        <w:pStyle w:val="Bibliography"/>
        <w:rPr>
          <w:rFonts w:ascii="Calibri" w:cs="Calibri"/>
        </w:rPr>
      </w:pPr>
      <w:r w:rsidRPr="00CC3773">
        <w:rPr>
          <w:rFonts w:ascii="Calibri" w:cs="Calibri"/>
        </w:rPr>
        <w:t xml:space="preserve">McNew, S. M., Boquete, M. T., Espinoza‐Ulloa, S., Andres, J. A., </w:t>
      </w:r>
      <w:proofErr w:type="spellStart"/>
      <w:r w:rsidRPr="00CC3773">
        <w:rPr>
          <w:rFonts w:ascii="Calibri" w:cs="Calibri"/>
        </w:rPr>
        <w:t>Wagemaker</w:t>
      </w:r>
      <w:proofErr w:type="spellEnd"/>
      <w:r w:rsidRPr="00CC3773">
        <w:rPr>
          <w:rFonts w:ascii="Calibri" w:cs="Calibri"/>
        </w:rPr>
        <w:t xml:space="preserve">, N. C. A. M., Knutie, S. A., Richards, C. L., &amp; Clayton, D. H. (2021). Epigenetic effects of parasites and pesticides on captive and wild nestling birds. </w:t>
      </w:r>
      <w:r w:rsidRPr="00CC3773">
        <w:rPr>
          <w:rFonts w:ascii="Calibri" w:cs="Calibri"/>
          <w:i/>
          <w:iCs/>
        </w:rPr>
        <w:t>Ecology and Evolution</w:t>
      </w:r>
      <w:r w:rsidRPr="00CC3773">
        <w:rPr>
          <w:rFonts w:ascii="Calibri" w:cs="Calibri"/>
        </w:rPr>
        <w:t xml:space="preserve">, </w:t>
      </w:r>
      <w:r w:rsidRPr="00CC3773">
        <w:rPr>
          <w:rFonts w:ascii="Calibri" w:cs="Calibri"/>
          <w:i/>
          <w:iCs/>
        </w:rPr>
        <w:t>0</w:t>
      </w:r>
      <w:r w:rsidRPr="00CC3773">
        <w:rPr>
          <w:rFonts w:ascii="Calibri" w:cs="Calibri"/>
        </w:rPr>
        <w:t>(0), 1:17. https://doi.org/10.1002/ece3.7606</w:t>
      </w:r>
    </w:p>
    <w:p w14:paraId="3DE070BE" w14:textId="77777777" w:rsidR="00CC3773" w:rsidRPr="00CC3773" w:rsidRDefault="00CC3773" w:rsidP="00CC3773">
      <w:pPr>
        <w:pStyle w:val="Bibliography"/>
        <w:rPr>
          <w:rFonts w:ascii="Calibri" w:cs="Calibri"/>
        </w:rPr>
      </w:pPr>
      <w:r w:rsidRPr="00CC3773">
        <w:rPr>
          <w:rFonts w:ascii="Calibri" w:cs="Calibri"/>
        </w:rPr>
        <w:t xml:space="preserve">Menke, A., </w:t>
      </w:r>
      <w:proofErr w:type="spellStart"/>
      <w:r w:rsidRPr="00CC3773">
        <w:rPr>
          <w:rFonts w:ascii="Calibri" w:cs="Calibri"/>
        </w:rPr>
        <w:t>Klengel</w:t>
      </w:r>
      <w:proofErr w:type="spellEnd"/>
      <w:r w:rsidRPr="00CC3773">
        <w:rPr>
          <w:rFonts w:ascii="Calibri" w:cs="Calibri"/>
        </w:rPr>
        <w:t xml:space="preserve">, T., Rubel, J., </w:t>
      </w:r>
      <w:proofErr w:type="spellStart"/>
      <w:r w:rsidRPr="00CC3773">
        <w:rPr>
          <w:rFonts w:ascii="Calibri" w:cs="Calibri"/>
        </w:rPr>
        <w:t>Brückl</w:t>
      </w:r>
      <w:proofErr w:type="spellEnd"/>
      <w:r w:rsidRPr="00CC3773">
        <w:rPr>
          <w:rFonts w:ascii="Calibri" w:cs="Calibri"/>
        </w:rPr>
        <w:t xml:space="preserve">, T., Pfister, H., </w:t>
      </w:r>
      <w:proofErr w:type="spellStart"/>
      <w:r w:rsidRPr="00CC3773">
        <w:rPr>
          <w:rFonts w:ascii="Calibri" w:cs="Calibri"/>
        </w:rPr>
        <w:t>Lucae</w:t>
      </w:r>
      <w:proofErr w:type="spellEnd"/>
      <w:r w:rsidRPr="00CC3773">
        <w:rPr>
          <w:rFonts w:ascii="Calibri" w:cs="Calibri"/>
        </w:rPr>
        <w:t xml:space="preserve">, S., </w:t>
      </w:r>
      <w:proofErr w:type="spellStart"/>
      <w:r w:rsidRPr="00CC3773">
        <w:rPr>
          <w:rFonts w:ascii="Calibri" w:cs="Calibri"/>
        </w:rPr>
        <w:t>Uhr</w:t>
      </w:r>
      <w:proofErr w:type="spellEnd"/>
      <w:r w:rsidRPr="00CC3773">
        <w:rPr>
          <w:rFonts w:ascii="Calibri" w:cs="Calibri"/>
        </w:rPr>
        <w:t xml:space="preserve">, M., </w:t>
      </w:r>
      <w:proofErr w:type="spellStart"/>
      <w:r w:rsidRPr="00CC3773">
        <w:rPr>
          <w:rFonts w:ascii="Calibri" w:cs="Calibri"/>
        </w:rPr>
        <w:t>Holsboer</w:t>
      </w:r>
      <w:proofErr w:type="spellEnd"/>
      <w:r w:rsidRPr="00CC3773">
        <w:rPr>
          <w:rFonts w:ascii="Calibri" w:cs="Calibri"/>
        </w:rPr>
        <w:t xml:space="preserve">, F., &amp; Binder, E. B. (2013). Genetic variation in FKBP5 associated with the extent of stress hormone </w:t>
      </w:r>
      <w:r w:rsidRPr="00CC3773">
        <w:rPr>
          <w:rFonts w:ascii="Calibri" w:cs="Calibri"/>
        </w:rPr>
        <w:lastRenderedPageBreak/>
        <w:t xml:space="preserve">dysregulation in major depression. </w:t>
      </w:r>
      <w:r w:rsidRPr="00CC3773">
        <w:rPr>
          <w:rFonts w:ascii="Calibri" w:cs="Calibri"/>
          <w:i/>
          <w:iCs/>
        </w:rPr>
        <w:t xml:space="preserve">Genes, </w:t>
      </w:r>
      <w:proofErr w:type="gramStart"/>
      <w:r w:rsidRPr="00CC3773">
        <w:rPr>
          <w:rFonts w:ascii="Calibri" w:cs="Calibri"/>
          <w:i/>
          <w:iCs/>
        </w:rPr>
        <w:t>Brain</w:t>
      </w:r>
      <w:proofErr w:type="gramEnd"/>
      <w:r w:rsidRPr="00CC3773">
        <w:rPr>
          <w:rFonts w:ascii="Calibri" w:cs="Calibri"/>
          <w:i/>
          <w:iCs/>
        </w:rPr>
        <w:t xml:space="preserve"> and Behavior</w:t>
      </w:r>
      <w:r w:rsidRPr="00CC3773">
        <w:rPr>
          <w:rFonts w:ascii="Calibri" w:cs="Calibri"/>
        </w:rPr>
        <w:t xml:space="preserve">, </w:t>
      </w:r>
      <w:r w:rsidRPr="00CC3773">
        <w:rPr>
          <w:rFonts w:ascii="Calibri" w:cs="Calibri"/>
          <w:i/>
          <w:iCs/>
        </w:rPr>
        <w:t>12</w:t>
      </w:r>
      <w:r w:rsidRPr="00CC3773">
        <w:rPr>
          <w:rFonts w:ascii="Calibri" w:cs="Calibri"/>
        </w:rPr>
        <w:t>(3), 289–296. https://doi.org/10.1111/gbb.12026</w:t>
      </w:r>
    </w:p>
    <w:p w14:paraId="6651FF1D" w14:textId="77777777" w:rsidR="00CC3773" w:rsidRPr="00CC3773" w:rsidRDefault="00CC3773" w:rsidP="00CC3773">
      <w:pPr>
        <w:pStyle w:val="Bibliography"/>
        <w:rPr>
          <w:rFonts w:ascii="Calibri" w:cs="Calibri"/>
        </w:rPr>
      </w:pPr>
      <w:r w:rsidRPr="00CC3773">
        <w:rPr>
          <w:rFonts w:ascii="Calibri" w:cs="Calibri"/>
        </w:rPr>
        <w:t xml:space="preserve">Monaghan, P. (2014). Organismal stress, </w:t>
      </w:r>
      <w:proofErr w:type="gramStart"/>
      <w:r w:rsidRPr="00CC3773">
        <w:rPr>
          <w:rFonts w:ascii="Calibri" w:cs="Calibri"/>
        </w:rPr>
        <w:t>telomeres</w:t>
      </w:r>
      <w:proofErr w:type="gramEnd"/>
      <w:r w:rsidRPr="00CC3773">
        <w:rPr>
          <w:rFonts w:ascii="Calibri" w:cs="Calibri"/>
        </w:rPr>
        <w:t xml:space="preserve"> and life histories. </w:t>
      </w:r>
      <w:r w:rsidRPr="00CC3773">
        <w:rPr>
          <w:rFonts w:ascii="Calibri" w:cs="Calibri"/>
          <w:i/>
          <w:iCs/>
        </w:rPr>
        <w:t>Journal of Experimental Biology</w:t>
      </w:r>
      <w:r w:rsidRPr="00CC3773">
        <w:rPr>
          <w:rFonts w:ascii="Calibri" w:cs="Calibri"/>
        </w:rPr>
        <w:t xml:space="preserve">, </w:t>
      </w:r>
      <w:r w:rsidRPr="00CC3773">
        <w:rPr>
          <w:rFonts w:ascii="Calibri" w:cs="Calibri"/>
          <w:i/>
          <w:iCs/>
        </w:rPr>
        <w:t>217</w:t>
      </w:r>
      <w:r w:rsidRPr="00CC3773">
        <w:rPr>
          <w:rFonts w:ascii="Calibri" w:cs="Calibri"/>
        </w:rPr>
        <w:t>(1), 57–66. https://doi.org/10.1242/jeb.090043</w:t>
      </w:r>
    </w:p>
    <w:p w14:paraId="72B4F06C" w14:textId="77777777" w:rsidR="00CC3773" w:rsidRPr="00CC3773" w:rsidRDefault="00CC3773" w:rsidP="00CC3773">
      <w:pPr>
        <w:pStyle w:val="Bibliography"/>
        <w:rPr>
          <w:rFonts w:ascii="Calibri" w:cs="Calibri"/>
        </w:rPr>
      </w:pPr>
      <w:proofErr w:type="spellStart"/>
      <w:r w:rsidRPr="00CC3773">
        <w:rPr>
          <w:rFonts w:ascii="Calibri" w:cs="Calibri"/>
        </w:rPr>
        <w:t>Mougeot</w:t>
      </w:r>
      <w:proofErr w:type="spellEnd"/>
      <w:r w:rsidRPr="00CC3773">
        <w:rPr>
          <w:rFonts w:ascii="Calibri" w:cs="Calibri"/>
        </w:rPr>
        <w:t xml:space="preserve">, F., Martínez-Padilla, J., </w:t>
      </w:r>
      <w:proofErr w:type="spellStart"/>
      <w:r w:rsidRPr="00CC3773">
        <w:rPr>
          <w:rFonts w:ascii="Calibri" w:cs="Calibri"/>
        </w:rPr>
        <w:t>Bortolotti</w:t>
      </w:r>
      <w:proofErr w:type="spellEnd"/>
      <w:r w:rsidRPr="00CC3773">
        <w:rPr>
          <w:rFonts w:ascii="Calibri" w:cs="Calibri"/>
        </w:rPr>
        <w:t xml:space="preserve">, G. R., Webster, L. M. I., &amp; </w:t>
      </w:r>
      <w:proofErr w:type="spellStart"/>
      <w:r w:rsidRPr="00CC3773">
        <w:rPr>
          <w:rFonts w:ascii="Calibri" w:cs="Calibri"/>
        </w:rPr>
        <w:t>Piertney</w:t>
      </w:r>
      <w:proofErr w:type="spellEnd"/>
      <w:r w:rsidRPr="00CC3773">
        <w:rPr>
          <w:rFonts w:ascii="Calibri" w:cs="Calibri"/>
        </w:rPr>
        <w:t xml:space="preserve">, S. B. (2010). Physiological stress links parasites to carotenoid-based </w:t>
      </w:r>
      <w:proofErr w:type="spellStart"/>
      <w:r w:rsidRPr="00CC3773">
        <w:rPr>
          <w:rFonts w:ascii="Calibri" w:cs="Calibri"/>
        </w:rPr>
        <w:t>colour</w:t>
      </w:r>
      <w:proofErr w:type="spellEnd"/>
      <w:r w:rsidRPr="00CC3773">
        <w:rPr>
          <w:rFonts w:ascii="Calibri" w:cs="Calibri"/>
        </w:rPr>
        <w:t xml:space="preserve"> signals. </w:t>
      </w:r>
      <w:r w:rsidRPr="00CC3773">
        <w:rPr>
          <w:rFonts w:ascii="Calibri" w:cs="Calibri"/>
          <w:i/>
          <w:iCs/>
        </w:rPr>
        <w:t>Journal of Evolutionary Biology</w:t>
      </w:r>
      <w:r w:rsidRPr="00CC3773">
        <w:rPr>
          <w:rFonts w:ascii="Calibri" w:cs="Calibri"/>
        </w:rPr>
        <w:t xml:space="preserve">, </w:t>
      </w:r>
      <w:r w:rsidRPr="00CC3773">
        <w:rPr>
          <w:rFonts w:ascii="Calibri" w:cs="Calibri"/>
          <w:i/>
          <w:iCs/>
        </w:rPr>
        <w:t>23</w:t>
      </w:r>
      <w:r w:rsidRPr="00CC3773">
        <w:rPr>
          <w:rFonts w:ascii="Calibri" w:cs="Calibri"/>
        </w:rPr>
        <w:t>(3), 643–650. https://doi.org/10.1111/j.1420-9101.2009.01926.x</w:t>
      </w:r>
    </w:p>
    <w:p w14:paraId="227846DD" w14:textId="77777777" w:rsidR="00CC3773" w:rsidRPr="00CC3773" w:rsidRDefault="00CC3773" w:rsidP="00CC3773">
      <w:pPr>
        <w:pStyle w:val="Bibliography"/>
        <w:rPr>
          <w:rFonts w:ascii="Calibri" w:cs="Calibri"/>
        </w:rPr>
      </w:pPr>
      <w:r w:rsidRPr="00CC3773">
        <w:rPr>
          <w:rFonts w:ascii="Calibri" w:cs="Calibri"/>
        </w:rPr>
        <w:t xml:space="preserve">Plank, A.-C., Frey, S., </w:t>
      </w:r>
      <w:proofErr w:type="spellStart"/>
      <w:r w:rsidRPr="00CC3773">
        <w:rPr>
          <w:rFonts w:ascii="Calibri" w:cs="Calibri"/>
        </w:rPr>
        <w:t>Basedow</w:t>
      </w:r>
      <w:proofErr w:type="spellEnd"/>
      <w:r w:rsidRPr="00CC3773">
        <w:rPr>
          <w:rFonts w:ascii="Calibri" w:cs="Calibri"/>
        </w:rPr>
        <w:t xml:space="preserve">, L. A., </w:t>
      </w:r>
      <w:proofErr w:type="spellStart"/>
      <w:r w:rsidRPr="00CC3773">
        <w:rPr>
          <w:rFonts w:ascii="Calibri" w:cs="Calibri"/>
        </w:rPr>
        <w:t>Solati</w:t>
      </w:r>
      <w:proofErr w:type="spellEnd"/>
      <w:r w:rsidRPr="00CC3773">
        <w:rPr>
          <w:rFonts w:ascii="Calibri" w:cs="Calibri"/>
        </w:rPr>
        <w:t xml:space="preserve">, J., </w:t>
      </w:r>
      <w:proofErr w:type="spellStart"/>
      <w:r w:rsidRPr="00CC3773">
        <w:rPr>
          <w:rFonts w:ascii="Calibri" w:cs="Calibri"/>
        </w:rPr>
        <w:t>Canneva</w:t>
      </w:r>
      <w:proofErr w:type="spellEnd"/>
      <w:r w:rsidRPr="00CC3773">
        <w:rPr>
          <w:rFonts w:ascii="Calibri" w:cs="Calibri"/>
        </w:rPr>
        <w:t xml:space="preserve">, F., von </w:t>
      </w:r>
      <w:proofErr w:type="spellStart"/>
      <w:r w:rsidRPr="00CC3773">
        <w:rPr>
          <w:rFonts w:ascii="Calibri" w:cs="Calibri"/>
        </w:rPr>
        <w:t>Hörsten</w:t>
      </w:r>
      <w:proofErr w:type="spellEnd"/>
      <w:r w:rsidRPr="00CC3773">
        <w:rPr>
          <w:rFonts w:ascii="Calibri" w:cs="Calibri"/>
        </w:rPr>
        <w:t xml:space="preserve">, S., Kratz, O., Moll, G. H., &amp; Golub, Y. (2021). Prenatally traumatized mice reveal hippocampal methylation and expression changes of the stress-related genes Crhr1 and Fkbp5. </w:t>
      </w:r>
      <w:r w:rsidRPr="00CC3773">
        <w:rPr>
          <w:rFonts w:ascii="Calibri" w:cs="Calibri"/>
          <w:i/>
          <w:iCs/>
        </w:rPr>
        <w:t>Translational Psychiatry</w:t>
      </w:r>
      <w:r w:rsidRPr="00CC3773">
        <w:rPr>
          <w:rFonts w:ascii="Calibri" w:cs="Calibri"/>
        </w:rPr>
        <w:t xml:space="preserve">, </w:t>
      </w:r>
      <w:r w:rsidRPr="00CC3773">
        <w:rPr>
          <w:rFonts w:ascii="Calibri" w:cs="Calibri"/>
          <w:i/>
          <w:iCs/>
        </w:rPr>
        <w:t>11</w:t>
      </w:r>
      <w:r w:rsidRPr="00CC3773">
        <w:rPr>
          <w:rFonts w:ascii="Calibri" w:cs="Calibri"/>
        </w:rPr>
        <w:t>(1), 183. https://doi.org/10.1038/s41398-021-01293-y</w:t>
      </w:r>
    </w:p>
    <w:p w14:paraId="7B4347DA" w14:textId="77777777" w:rsidR="00CC3773" w:rsidRPr="00CC3773" w:rsidRDefault="00CC3773" w:rsidP="00CC3773">
      <w:pPr>
        <w:pStyle w:val="Bibliography"/>
        <w:rPr>
          <w:rFonts w:ascii="Calibri" w:cs="Calibri"/>
        </w:rPr>
      </w:pPr>
      <w:proofErr w:type="spellStart"/>
      <w:r w:rsidRPr="00CC3773">
        <w:rPr>
          <w:rFonts w:ascii="Calibri" w:cs="Calibri"/>
        </w:rPr>
        <w:t>Potticary</w:t>
      </w:r>
      <w:proofErr w:type="spellEnd"/>
      <w:r w:rsidRPr="00CC3773">
        <w:rPr>
          <w:rFonts w:ascii="Calibri" w:cs="Calibri"/>
        </w:rPr>
        <w:t xml:space="preserve">, A. L., &amp; Duckworth, R. A. (2020). Multiple environmental stressors induce an adaptive maternal effect. </w:t>
      </w:r>
      <w:r w:rsidRPr="00CC3773">
        <w:rPr>
          <w:rFonts w:ascii="Calibri" w:cs="Calibri"/>
          <w:i/>
          <w:iCs/>
        </w:rPr>
        <w:t>The American Naturalist</w:t>
      </w:r>
      <w:r w:rsidRPr="00CC3773">
        <w:rPr>
          <w:rFonts w:ascii="Calibri" w:cs="Calibri"/>
        </w:rPr>
        <w:t xml:space="preserve">, </w:t>
      </w:r>
      <w:r w:rsidRPr="00CC3773">
        <w:rPr>
          <w:rFonts w:ascii="Calibri" w:cs="Calibri"/>
          <w:i/>
          <w:iCs/>
        </w:rPr>
        <w:t>196</w:t>
      </w:r>
      <w:r w:rsidRPr="00CC3773">
        <w:rPr>
          <w:rFonts w:ascii="Calibri" w:cs="Calibri"/>
        </w:rPr>
        <w:t>(4), 487–500. https://doi.org/10.1086/710210</w:t>
      </w:r>
    </w:p>
    <w:p w14:paraId="5F285F8B" w14:textId="77777777" w:rsidR="00CC3773" w:rsidRPr="00CC3773" w:rsidRDefault="00CC3773" w:rsidP="00CC3773">
      <w:pPr>
        <w:pStyle w:val="Bibliography"/>
        <w:rPr>
          <w:rFonts w:ascii="Calibri" w:cs="Calibri"/>
        </w:rPr>
      </w:pPr>
      <w:proofErr w:type="spellStart"/>
      <w:r w:rsidRPr="00CC3773">
        <w:rPr>
          <w:rFonts w:ascii="Calibri" w:cs="Calibri"/>
        </w:rPr>
        <w:t>Razzoli</w:t>
      </w:r>
      <w:proofErr w:type="spellEnd"/>
      <w:r w:rsidRPr="00CC3773">
        <w:rPr>
          <w:rFonts w:ascii="Calibri" w:cs="Calibri"/>
        </w:rPr>
        <w:t xml:space="preserve">, M., </w:t>
      </w:r>
      <w:proofErr w:type="spellStart"/>
      <w:r w:rsidRPr="00CC3773">
        <w:rPr>
          <w:rFonts w:ascii="Calibri" w:cs="Calibri"/>
        </w:rPr>
        <w:t>Nyuyki-Dufe</w:t>
      </w:r>
      <w:proofErr w:type="spellEnd"/>
      <w:r w:rsidRPr="00CC3773">
        <w:rPr>
          <w:rFonts w:ascii="Calibri" w:cs="Calibri"/>
        </w:rPr>
        <w:t xml:space="preserve">, K., Gurney, A., Erickson, C., McCallum, J., Spielman, N., </w:t>
      </w:r>
      <w:proofErr w:type="spellStart"/>
      <w:r w:rsidRPr="00CC3773">
        <w:rPr>
          <w:rFonts w:ascii="Calibri" w:cs="Calibri"/>
        </w:rPr>
        <w:t>Marzullo</w:t>
      </w:r>
      <w:proofErr w:type="spellEnd"/>
      <w:r w:rsidRPr="00CC3773">
        <w:rPr>
          <w:rFonts w:ascii="Calibri" w:cs="Calibri"/>
        </w:rPr>
        <w:t xml:space="preserve">, M., Patricelli, J., </w:t>
      </w:r>
      <w:proofErr w:type="spellStart"/>
      <w:r w:rsidRPr="00CC3773">
        <w:rPr>
          <w:rFonts w:ascii="Calibri" w:cs="Calibri"/>
        </w:rPr>
        <w:t>Kurata</w:t>
      </w:r>
      <w:proofErr w:type="spellEnd"/>
      <w:r w:rsidRPr="00CC3773">
        <w:rPr>
          <w:rFonts w:ascii="Calibri" w:cs="Calibri"/>
        </w:rPr>
        <w:t xml:space="preserve">, M., Pope, E. A., Touma, C., Palme, R., Largaespada, D. A., Allison, D. B., &amp; </w:t>
      </w:r>
      <w:proofErr w:type="spellStart"/>
      <w:r w:rsidRPr="00CC3773">
        <w:rPr>
          <w:rFonts w:ascii="Calibri" w:cs="Calibri"/>
        </w:rPr>
        <w:t>Bartolomucci</w:t>
      </w:r>
      <w:proofErr w:type="spellEnd"/>
      <w:r w:rsidRPr="00CC3773">
        <w:rPr>
          <w:rFonts w:ascii="Calibri" w:cs="Calibri"/>
        </w:rPr>
        <w:t xml:space="preserve">, A. (2018). Social stress shortens lifespan in mice. </w:t>
      </w:r>
      <w:r w:rsidRPr="00CC3773">
        <w:rPr>
          <w:rFonts w:ascii="Calibri" w:cs="Calibri"/>
          <w:i/>
          <w:iCs/>
        </w:rPr>
        <w:t>Aging Cell</w:t>
      </w:r>
      <w:r w:rsidRPr="00CC3773">
        <w:rPr>
          <w:rFonts w:ascii="Calibri" w:cs="Calibri"/>
        </w:rPr>
        <w:t xml:space="preserve">, </w:t>
      </w:r>
      <w:r w:rsidRPr="00CC3773">
        <w:rPr>
          <w:rFonts w:ascii="Calibri" w:cs="Calibri"/>
          <w:i/>
          <w:iCs/>
        </w:rPr>
        <w:t>17</w:t>
      </w:r>
      <w:r w:rsidRPr="00CC3773">
        <w:rPr>
          <w:rFonts w:ascii="Calibri" w:cs="Calibri"/>
        </w:rPr>
        <w:t>(4), e12778. https://doi.org/10.1111/acel.12778</w:t>
      </w:r>
    </w:p>
    <w:p w14:paraId="2AE64053" w14:textId="77777777" w:rsidR="00CC3773" w:rsidRPr="00CC3773" w:rsidRDefault="00CC3773" w:rsidP="00CC3773">
      <w:pPr>
        <w:pStyle w:val="Bibliography"/>
        <w:rPr>
          <w:rFonts w:ascii="Calibri" w:cs="Calibri"/>
          <w:lang w:val="es-ES"/>
        </w:rPr>
      </w:pPr>
      <w:r w:rsidRPr="00CC3773">
        <w:rPr>
          <w:rFonts w:ascii="Calibri" w:cs="Calibri"/>
        </w:rPr>
        <w:t xml:space="preserve">Rubenstein, D. R., </w:t>
      </w:r>
      <w:proofErr w:type="spellStart"/>
      <w:r w:rsidRPr="00CC3773">
        <w:rPr>
          <w:rFonts w:ascii="Calibri" w:cs="Calibri"/>
        </w:rPr>
        <w:t>Skolnik</w:t>
      </w:r>
      <w:proofErr w:type="spellEnd"/>
      <w:r w:rsidRPr="00CC3773">
        <w:rPr>
          <w:rFonts w:ascii="Calibri" w:cs="Calibri"/>
        </w:rPr>
        <w:t xml:space="preserve">, H., </w:t>
      </w:r>
      <w:proofErr w:type="spellStart"/>
      <w:r w:rsidRPr="00CC3773">
        <w:rPr>
          <w:rFonts w:ascii="Calibri" w:cs="Calibri"/>
        </w:rPr>
        <w:t>Berrio</w:t>
      </w:r>
      <w:proofErr w:type="spellEnd"/>
      <w:r w:rsidRPr="00CC3773">
        <w:rPr>
          <w:rFonts w:ascii="Calibri" w:cs="Calibri"/>
        </w:rPr>
        <w:t xml:space="preserve">, A., Champagne, F. A., Phelps, S., &amp; Solomon, J. (2016). Sex-specific fitness effects of unpredictable early life conditions are associated with DNA </w:t>
      </w:r>
      <w:r w:rsidRPr="00CC3773">
        <w:rPr>
          <w:rFonts w:ascii="Calibri" w:cs="Calibri"/>
        </w:rPr>
        <w:lastRenderedPageBreak/>
        <w:t xml:space="preserve">methylation in the avian glucocorticoid receptor. </w:t>
      </w:r>
      <w:r w:rsidRPr="00CC3773">
        <w:rPr>
          <w:rFonts w:ascii="Calibri" w:cs="Calibri"/>
          <w:i/>
          <w:iCs/>
          <w:lang w:val="es-ES"/>
        </w:rPr>
        <w:t xml:space="preserve">Molecular </w:t>
      </w:r>
      <w:proofErr w:type="spellStart"/>
      <w:r w:rsidRPr="00CC3773">
        <w:rPr>
          <w:rFonts w:ascii="Calibri" w:cs="Calibri"/>
          <w:i/>
          <w:iCs/>
          <w:lang w:val="es-ES"/>
        </w:rPr>
        <w:t>Ecology</w:t>
      </w:r>
      <w:proofErr w:type="spellEnd"/>
      <w:r w:rsidRPr="00CC3773">
        <w:rPr>
          <w:rFonts w:ascii="Calibri" w:cs="Calibri"/>
          <w:lang w:val="es-ES"/>
        </w:rPr>
        <w:t xml:space="preserve">, </w:t>
      </w:r>
      <w:r w:rsidRPr="00CC3773">
        <w:rPr>
          <w:rFonts w:ascii="Calibri" w:cs="Calibri"/>
          <w:i/>
          <w:iCs/>
          <w:lang w:val="es-ES"/>
        </w:rPr>
        <w:t>25</w:t>
      </w:r>
      <w:r w:rsidRPr="00CC3773">
        <w:rPr>
          <w:rFonts w:ascii="Calibri" w:cs="Calibri"/>
          <w:lang w:val="es-ES"/>
        </w:rPr>
        <w:t>(8), 1714–1728. https://doi.org/10.1111/mec.13483</w:t>
      </w:r>
    </w:p>
    <w:p w14:paraId="5E3E680C" w14:textId="77777777" w:rsidR="00CC3773" w:rsidRPr="00CC3773" w:rsidRDefault="00CC3773" w:rsidP="00CC3773">
      <w:pPr>
        <w:pStyle w:val="Bibliography"/>
        <w:rPr>
          <w:rFonts w:ascii="Calibri" w:cs="Calibri"/>
        </w:rPr>
      </w:pPr>
      <w:r w:rsidRPr="00CC3773">
        <w:rPr>
          <w:rFonts w:ascii="Calibri" w:cs="Calibri"/>
          <w:lang w:val="es-ES"/>
        </w:rPr>
        <w:t xml:space="preserve">Sapolsky, R. M., Romero, L. M., &amp; </w:t>
      </w:r>
      <w:proofErr w:type="spellStart"/>
      <w:r w:rsidRPr="00CC3773">
        <w:rPr>
          <w:rFonts w:ascii="Calibri" w:cs="Calibri"/>
          <w:lang w:val="es-ES"/>
        </w:rPr>
        <w:t>Munck</w:t>
      </w:r>
      <w:proofErr w:type="spellEnd"/>
      <w:r w:rsidRPr="00CC3773">
        <w:rPr>
          <w:rFonts w:ascii="Calibri" w:cs="Calibri"/>
          <w:lang w:val="es-ES"/>
        </w:rPr>
        <w:t xml:space="preserve">, A. U. (2000). </w:t>
      </w:r>
      <w:r w:rsidRPr="00CC3773">
        <w:rPr>
          <w:rFonts w:ascii="Calibri" w:cs="Calibri"/>
          <w:i/>
          <w:iCs/>
        </w:rPr>
        <w:t>How do glucocorticoids influence stress responses? Integrating permissive, suppressive, stimulatory, and preparative actions</w:t>
      </w:r>
      <w:r w:rsidRPr="00CC3773">
        <w:rPr>
          <w:rFonts w:ascii="Calibri" w:cs="Calibri"/>
        </w:rPr>
        <w:t xml:space="preserve">. </w:t>
      </w:r>
      <w:r w:rsidRPr="00CC3773">
        <w:rPr>
          <w:rFonts w:ascii="Calibri" w:cs="Calibri"/>
          <w:i/>
          <w:iCs/>
        </w:rPr>
        <w:t>21</w:t>
      </w:r>
      <w:r w:rsidRPr="00CC3773">
        <w:rPr>
          <w:rFonts w:ascii="Calibri" w:cs="Calibri"/>
        </w:rPr>
        <w:t>(1), 35.</w:t>
      </w:r>
    </w:p>
    <w:p w14:paraId="1B2A8188" w14:textId="77777777" w:rsidR="00CC3773" w:rsidRPr="00CC3773" w:rsidRDefault="00CC3773" w:rsidP="00CC3773">
      <w:pPr>
        <w:pStyle w:val="Bibliography"/>
        <w:rPr>
          <w:rFonts w:ascii="Calibri" w:cs="Calibri"/>
        </w:rPr>
      </w:pPr>
      <w:proofErr w:type="spellStart"/>
      <w:r w:rsidRPr="00CC3773">
        <w:rPr>
          <w:rFonts w:ascii="Calibri" w:cs="Calibri"/>
        </w:rPr>
        <w:t>Schartner</w:t>
      </w:r>
      <w:proofErr w:type="spellEnd"/>
      <w:r w:rsidRPr="00CC3773">
        <w:rPr>
          <w:rFonts w:ascii="Calibri" w:cs="Calibri"/>
        </w:rPr>
        <w:t xml:space="preserve">, C., Ziegler, C., Schiele, M. A., </w:t>
      </w:r>
      <w:proofErr w:type="spellStart"/>
      <w:r w:rsidRPr="00CC3773">
        <w:rPr>
          <w:rFonts w:ascii="Calibri" w:cs="Calibri"/>
        </w:rPr>
        <w:t>Kollert</w:t>
      </w:r>
      <w:proofErr w:type="spellEnd"/>
      <w:r w:rsidRPr="00CC3773">
        <w:rPr>
          <w:rFonts w:ascii="Calibri" w:cs="Calibri"/>
        </w:rPr>
        <w:t xml:space="preserve">, L., Weber, H., </w:t>
      </w:r>
      <w:proofErr w:type="spellStart"/>
      <w:r w:rsidRPr="00CC3773">
        <w:rPr>
          <w:rFonts w:ascii="Calibri" w:cs="Calibri"/>
        </w:rPr>
        <w:t>Zwanzger</w:t>
      </w:r>
      <w:proofErr w:type="spellEnd"/>
      <w:r w:rsidRPr="00CC3773">
        <w:rPr>
          <w:rFonts w:ascii="Calibri" w:cs="Calibri"/>
        </w:rPr>
        <w:t xml:space="preserve">, P., </w:t>
      </w:r>
      <w:proofErr w:type="spellStart"/>
      <w:r w:rsidRPr="00CC3773">
        <w:rPr>
          <w:rFonts w:ascii="Calibri" w:cs="Calibri"/>
        </w:rPr>
        <w:t>Arolt</w:t>
      </w:r>
      <w:proofErr w:type="spellEnd"/>
      <w:r w:rsidRPr="00CC3773">
        <w:rPr>
          <w:rFonts w:ascii="Calibri" w:cs="Calibri"/>
        </w:rPr>
        <w:t xml:space="preserve">, V., Pauli, P., </w:t>
      </w:r>
      <w:proofErr w:type="spellStart"/>
      <w:r w:rsidRPr="00CC3773">
        <w:rPr>
          <w:rFonts w:ascii="Calibri" w:cs="Calibri"/>
        </w:rPr>
        <w:t>Deckert</w:t>
      </w:r>
      <w:proofErr w:type="spellEnd"/>
      <w:r w:rsidRPr="00CC3773">
        <w:rPr>
          <w:rFonts w:ascii="Calibri" w:cs="Calibri"/>
        </w:rPr>
        <w:t xml:space="preserve">, J., </w:t>
      </w:r>
      <w:proofErr w:type="spellStart"/>
      <w:r w:rsidRPr="00CC3773">
        <w:rPr>
          <w:rFonts w:ascii="Calibri" w:cs="Calibri"/>
        </w:rPr>
        <w:t>Reif</w:t>
      </w:r>
      <w:proofErr w:type="spellEnd"/>
      <w:r w:rsidRPr="00CC3773">
        <w:rPr>
          <w:rFonts w:ascii="Calibri" w:cs="Calibri"/>
        </w:rPr>
        <w:t xml:space="preserve">, A., &amp; </w:t>
      </w:r>
      <w:proofErr w:type="spellStart"/>
      <w:r w:rsidRPr="00CC3773">
        <w:rPr>
          <w:rFonts w:ascii="Calibri" w:cs="Calibri"/>
        </w:rPr>
        <w:t>Domschke</w:t>
      </w:r>
      <w:proofErr w:type="spellEnd"/>
      <w:r w:rsidRPr="00CC3773">
        <w:rPr>
          <w:rFonts w:ascii="Calibri" w:cs="Calibri"/>
        </w:rPr>
        <w:t xml:space="preserve">, K. (2017). CRHR1 promoter hypomethylation: An epigenetic readout of panic disorder? </w:t>
      </w:r>
      <w:r w:rsidRPr="00CC3773">
        <w:rPr>
          <w:rFonts w:ascii="Calibri" w:cs="Calibri"/>
          <w:i/>
          <w:iCs/>
        </w:rPr>
        <w:t>European Neuropsychopharmacology</w:t>
      </w:r>
      <w:r w:rsidRPr="00CC3773">
        <w:rPr>
          <w:rFonts w:ascii="Calibri" w:cs="Calibri"/>
        </w:rPr>
        <w:t xml:space="preserve">, </w:t>
      </w:r>
      <w:r w:rsidRPr="00CC3773">
        <w:rPr>
          <w:rFonts w:ascii="Calibri" w:cs="Calibri"/>
          <w:i/>
          <w:iCs/>
        </w:rPr>
        <w:t>27</w:t>
      </w:r>
      <w:r w:rsidRPr="00CC3773">
        <w:rPr>
          <w:rFonts w:ascii="Calibri" w:cs="Calibri"/>
        </w:rPr>
        <w:t>(4), 360–371. https://doi.org/10.1016/j.euroneuro.2017.01.005</w:t>
      </w:r>
    </w:p>
    <w:p w14:paraId="48B80AD5" w14:textId="77777777" w:rsidR="00CC3773" w:rsidRPr="00CC3773" w:rsidRDefault="00CC3773" w:rsidP="00CC3773">
      <w:pPr>
        <w:pStyle w:val="Bibliography"/>
        <w:rPr>
          <w:rFonts w:ascii="Calibri" w:cs="Calibri"/>
        </w:rPr>
      </w:pPr>
      <w:r w:rsidRPr="00CC3773">
        <w:rPr>
          <w:rFonts w:ascii="Calibri" w:cs="Calibri"/>
        </w:rPr>
        <w:t xml:space="preserve">Sheldon, E. L., </w:t>
      </w:r>
      <w:proofErr w:type="spellStart"/>
      <w:r w:rsidRPr="00CC3773">
        <w:rPr>
          <w:rFonts w:ascii="Calibri" w:cs="Calibri"/>
        </w:rPr>
        <w:t>Schrey</w:t>
      </w:r>
      <w:proofErr w:type="spellEnd"/>
      <w:r w:rsidRPr="00CC3773">
        <w:rPr>
          <w:rFonts w:ascii="Calibri" w:cs="Calibri"/>
        </w:rPr>
        <w:t xml:space="preserve">, Aaron. W., Hurley, L. L., &amp; Griffith, S. C. (2020). Dynamic changes in DNA methylation during postnatal development in zebra finches </w:t>
      </w:r>
      <w:proofErr w:type="spellStart"/>
      <w:r w:rsidRPr="00CC3773">
        <w:rPr>
          <w:rFonts w:ascii="Calibri" w:cs="Calibri"/>
        </w:rPr>
        <w:t>Taeniopygia</w:t>
      </w:r>
      <w:proofErr w:type="spellEnd"/>
      <w:r w:rsidRPr="00CC3773">
        <w:rPr>
          <w:rFonts w:ascii="Calibri" w:cs="Calibri"/>
        </w:rPr>
        <w:t xml:space="preserve"> guttata exposed to different temperatures. </w:t>
      </w:r>
      <w:r w:rsidRPr="00CC3773">
        <w:rPr>
          <w:rFonts w:ascii="Calibri" w:cs="Calibri"/>
          <w:i/>
          <w:iCs/>
        </w:rPr>
        <w:t>Journal of Avian Biology</w:t>
      </w:r>
      <w:r w:rsidRPr="00CC3773">
        <w:rPr>
          <w:rFonts w:ascii="Calibri" w:cs="Calibri"/>
        </w:rPr>
        <w:t xml:space="preserve">, </w:t>
      </w:r>
      <w:r w:rsidRPr="00CC3773">
        <w:rPr>
          <w:rFonts w:ascii="Calibri" w:cs="Calibri"/>
          <w:i/>
          <w:iCs/>
        </w:rPr>
        <w:t>51</w:t>
      </w:r>
      <w:r w:rsidRPr="00CC3773">
        <w:rPr>
          <w:rFonts w:ascii="Calibri" w:cs="Calibri"/>
        </w:rPr>
        <w:t>(5). https://doi.org/10.1111/jav.02294</w:t>
      </w:r>
    </w:p>
    <w:p w14:paraId="578471B5" w14:textId="77777777" w:rsidR="00CC3773" w:rsidRPr="00CC3773" w:rsidRDefault="00CC3773" w:rsidP="00CC3773">
      <w:pPr>
        <w:pStyle w:val="Bibliography"/>
        <w:rPr>
          <w:rFonts w:ascii="Calibri" w:cs="Calibri"/>
        </w:rPr>
      </w:pPr>
      <w:r w:rsidRPr="00CC3773">
        <w:rPr>
          <w:rFonts w:ascii="Calibri" w:cs="Calibri"/>
        </w:rPr>
        <w:t>Singh-</w:t>
      </w:r>
      <w:proofErr w:type="spellStart"/>
      <w:r w:rsidRPr="00CC3773">
        <w:rPr>
          <w:rFonts w:ascii="Calibri" w:cs="Calibri"/>
        </w:rPr>
        <w:t>Manoux</w:t>
      </w:r>
      <w:proofErr w:type="spellEnd"/>
      <w:r w:rsidRPr="00CC3773">
        <w:rPr>
          <w:rFonts w:ascii="Calibri" w:cs="Calibri"/>
        </w:rPr>
        <w:t xml:space="preserve">, A., Adler, N. E., &amp; Marmot, M. G. (2003). Subjective social status: Its determinants and its association with measures of ill-health in the Whitehall II study. </w:t>
      </w:r>
      <w:r w:rsidRPr="00CC3773">
        <w:rPr>
          <w:rFonts w:ascii="Calibri" w:cs="Calibri"/>
          <w:i/>
          <w:iCs/>
        </w:rPr>
        <w:t>Social Science &amp; Medicine</w:t>
      </w:r>
      <w:r w:rsidRPr="00CC3773">
        <w:rPr>
          <w:rFonts w:ascii="Calibri" w:cs="Calibri"/>
        </w:rPr>
        <w:t xml:space="preserve">, </w:t>
      </w:r>
      <w:r w:rsidRPr="00CC3773">
        <w:rPr>
          <w:rFonts w:ascii="Calibri" w:cs="Calibri"/>
          <w:i/>
          <w:iCs/>
        </w:rPr>
        <w:t>56</w:t>
      </w:r>
      <w:r w:rsidRPr="00CC3773">
        <w:rPr>
          <w:rFonts w:ascii="Calibri" w:cs="Calibri"/>
        </w:rPr>
        <w:t>(6), 1321–1333. https://doi.org/10.1016/S0277-9536(02)00131-4</w:t>
      </w:r>
    </w:p>
    <w:p w14:paraId="0F0B0EEA" w14:textId="77777777" w:rsidR="00CC3773" w:rsidRPr="00CC3773" w:rsidRDefault="00CC3773" w:rsidP="00CC3773">
      <w:pPr>
        <w:pStyle w:val="Bibliography"/>
        <w:rPr>
          <w:rFonts w:ascii="Calibri" w:cs="Calibri"/>
        </w:rPr>
      </w:pPr>
      <w:r w:rsidRPr="00CC3773">
        <w:rPr>
          <w:rFonts w:ascii="Calibri" w:cs="Calibri"/>
        </w:rPr>
        <w:t>Snyder-</w:t>
      </w:r>
      <w:proofErr w:type="spellStart"/>
      <w:r w:rsidRPr="00CC3773">
        <w:rPr>
          <w:rFonts w:ascii="Calibri" w:cs="Calibri"/>
        </w:rPr>
        <w:t>Mackler</w:t>
      </w:r>
      <w:proofErr w:type="spellEnd"/>
      <w:r w:rsidRPr="00CC3773">
        <w:rPr>
          <w:rFonts w:ascii="Calibri" w:cs="Calibri"/>
        </w:rPr>
        <w:t xml:space="preserve">, N., Sanz, J., Kohn, J. N., Voyles, T., Pique-Regi, R., Wilson, M. E., Barreiro, L. B., &amp; Tung, J. (2019). Social status alters chromatin accessibility and the gene regulatory response to glucocorticoid stimulation in rhesus macaques. </w:t>
      </w:r>
      <w:r w:rsidRPr="00CC3773">
        <w:rPr>
          <w:rFonts w:ascii="Calibri" w:cs="Calibri"/>
          <w:i/>
          <w:iCs/>
        </w:rPr>
        <w:t>Proceedings of the National Academy of Sciences</w:t>
      </w:r>
      <w:r w:rsidRPr="00CC3773">
        <w:rPr>
          <w:rFonts w:ascii="Calibri" w:cs="Calibri"/>
        </w:rPr>
        <w:t xml:space="preserve">, </w:t>
      </w:r>
      <w:r w:rsidRPr="00CC3773">
        <w:rPr>
          <w:rFonts w:ascii="Calibri" w:cs="Calibri"/>
          <w:i/>
          <w:iCs/>
        </w:rPr>
        <w:t>116</w:t>
      </w:r>
      <w:r w:rsidRPr="00CC3773">
        <w:rPr>
          <w:rFonts w:ascii="Calibri" w:cs="Calibri"/>
        </w:rPr>
        <w:t>(4), 1219–1228. https://doi.org/10.1073/pnas.1811758115</w:t>
      </w:r>
    </w:p>
    <w:p w14:paraId="3647D889" w14:textId="77777777" w:rsidR="00CC3773" w:rsidRPr="00CC3773" w:rsidRDefault="00CC3773" w:rsidP="00CC3773">
      <w:pPr>
        <w:pStyle w:val="Bibliography"/>
        <w:rPr>
          <w:rFonts w:ascii="Calibri" w:cs="Calibri"/>
          <w:lang w:val="es-ES"/>
        </w:rPr>
      </w:pPr>
      <w:proofErr w:type="spellStart"/>
      <w:r w:rsidRPr="00CC3773">
        <w:rPr>
          <w:rFonts w:ascii="Calibri" w:cs="Calibri"/>
        </w:rPr>
        <w:lastRenderedPageBreak/>
        <w:t>Sotnikov</w:t>
      </w:r>
      <w:proofErr w:type="spellEnd"/>
      <w:r w:rsidRPr="00CC3773">
        <w:rPr>
          <w:rFonts w:ascii="Calibri" w:cs="Calibri"/>
        </w:rPr>
        <w:t xml:space="preserve">, S. V., &amp; </w:t>
      </w:r>
      <w:proofErr w:type="spellStart"/>
      <w:r w:rsidRPr="00CC3773">
        <w:rPr>
          <w:rFonts w:ascii="Calibri" w:cs="Calibri"/>
        </w:rPr>
        <w:t>Markt</w:t>
      </w:r>
      <w:proofErr w:type="spellEnd"/>
      <w:r w:rsidRPr="00CC3773">
        <w:rPr>
          <w:rFonts w:ascii="Calibri" w:cs="Calibri"/>
        </w:rPr>
        <w:t xml:space="preserve">, P. O. (2014). Epigenetic regulation of corticotropin-releasing hormone receptor 1: Implication for anxiety-related disorders. </w:t>
      </w:r>
      <w:proofErr w:type="spellStart"/>
      <w:r w:rsidRPr="00CC3773">
        <w:rPr>
          <w:rFonts w:ascii="Calibri" w:cs="Calibri"/>
          <w:i/>
          <w:iCs/>
          <w:lang w:val="es-ES"/>
        </w:rPr>
        <w:t>Receptors</w:t>
      </w:r>
      <w:proofErr w:type="spellEnd"/>
      <w:r w:rsidRPr="00CC3773">
        <w:rPr>
          <w:rFonts w:ascii="Calibri" w:cs="Calibri"/>
          <w:i/>
          <w:iCs/>
          <w:lang w:val="es-ES"/>
        </w:rPr>
        <w:t xml:space="preserve"> &amp; </w:t>
      </w:r>
      <w:proofErr w:type="spellStart"/>
      <w:r w:rsidRPr="00CC3773">
        <w:rPr>
          <w:rFonts w:ascii="Calibri" w:cs="Calibri"/>
          <w:i/>
          <w:iCs/>
          <w:lang w:val="es-ES"/>
        </w:rPr>
        <w:t>Clinical</w:t>
      </w:r>
      <w:proofErr w:type="spellEnd"/>
      <w:r w:rsidRPr="00CC3773">
        <w:rPr>
          <w:rFonts w:ascii="Calibri" w:cs="Calibri"/>
          <w:i/>
          <w:iCs/>
          <w:lang w:val="es-ES"/>
        </w:rPr>
        <w:t xml:space="preserve"> </w:t>
      </w:r>
      <w:proofErr w:type="spellStart"/>
      <w:r w:rsidRPr="00CC3773">
        <w:rPr>
          <w:rFonts w:ascii="Calibri" w:cs="Calibri"/>
          <w:i/>
          <w:iCs/>
          <w:lang w:val="es-ES"/>
        </w:rPr>
        <w:t>Investigation</w:t>
      </w:r>
      <w:proofErr w:type="spellEnd"/>
      <w:r w:rsidRPr="00CC3773">
        <w:rPr>
          <w:rFonts w:ascii="Calibri" w:cs="Calibri"/>
          <w:lang w:val="es-ES"/>
        </w:rPr>
        <w:t>. https://doi.org/10.14800/rci.175</w:t>
      </w:r>
    </w:p>
    <w:p w14:paraId="7D4ADC14" w14:textId="77777777" w:rsidR="00CC3773" w:rsidRPr="00CC3773" w:rsidRDefault="00CC3773" w:rsidP="00CC3773">
      <w:pPr>
        <w:pStyle w:val="Bibliography"/>
        <w:rPr>
          <w:rFonts w:ascii="Calibri" w:cs="Calibri"/>
        </w:rPr>
      </w:pPr>
      <w:r w:rsidRPr="00CC3773">
        <w:rPr>
          <w:rFonts w:ascii="Calibri" w:cs="Calibri"/>
          <w:lang w:val="es-ES"/>
        </w:rPr>
        <w:t xml:space="preserve">Stevens, S., Valderas, J. M., Doran, T., Perera, R., &amp; </w:t>
      </w:r>
      <w:proofErr w:type="spellStart"/>
      <w:r w:rsidRPr="00CC3773">
        <w:rPr>
          <w:rFonts w:ascii="Calibri" w:cs="Calibri"/>
          <w:lang w:val="es-ES"/>
        </w:rPr>
        <w:t>Kontopantelis</w:t>
      </w:r>
      <w:proofErr w:type="spellEnd"/>
      <w:r w:rsidRPr="00CC3773">
        <w:rPr>
          <w:rFonts w:ascii="Calibri" w:cs="Calibri"/>
          <w:lang w:val="es-ES"/>
        </w:rPr>
        <w:t xml:space="preserve">, E. (2016). </w:t>
      </w:r>
      <w:proofErr w:type="spellStart"/>
      <w:r w:rsidRPr="00CC3773">
        <w:rPr>
          <w:rFonts w:ascii="Calibri" w:cs="Calibri"/>
        </w:rPr>
        <w:t>Analysing</w:t>
      </w:r>
      <w:proofErr w:type="spellEnd"/>
      <w:r w:rsidRPr="00CC3773">
        <w:rPr>
          <w:rFonts w:ascii="Calibri" w:cs="Calibri"/>
        </w:rPr>
        <w:t xml:space="preserve"> indicators of performance, satisfaction, or safety using empirical logit transformation. </w:t>
      </w:r>
      <w:r w:rsidRPr="00CC3773">
        <w:rPr>
          <w:rFonts w:ascii="Calibri" w:cs="Calibri"/>
          <w:i/>
          <w:iCs/>
        </w:rPr>
        <w:t>BMJ</w:t>
      </w:r>
      <w:r w:rsidRPr="00CC3773">
        <w:rPr>
          <w:rFonts w:ascii="Calibri" w:cs="Calibri"/>
        </w:rPr>
        <w:t xml:space="preserve">, </w:t>
      </w:r>
      <w:r w:rsidRPr="00CC3773">
        <w:rPr>
          <w:rFonts w:ascii="Calibri" w:cs="Calibri"/>
          <w:i/>
          <w:iCs/>
        </w:rPr>
        <w:t>352</w:t>
      </w:r>
      <w:r w:rsidRPr="00CC3773">
        <w:rPr>
          <w:rFonts w:ascii="Calibri" w:cs="Calibri"/>
        </w:rPr>
        <w:t>, i1114. https://doi.org/10.1136/bmj.i1114</w:t>
      </w:r>
    </w:p>
    <w:p w14:paraId="3BE9E314" w14:textId="77777777" w:rsidR="00CC3773" w:rsidRPr="00CC3773" w:rsidRDefault="00CC3773" w:rsidP="00CC3773">
      <w:pPr>
        <w:pStyle w:val="Bibliography"/>
        <w:rPr>
          <w:rFonts w:ascii="Calibri" w:cs="Calibri"/>
        </w:rPr>
      </w:pPr>
      <w:r w:rsidRPr="00CC3773">
        <w:rPr>
          <w:rFonts w:ascii="Calibri" w:cs="Calibri"/>
        </w:rPr>
        <w:t xml:space="preserve">Stoffel, M. A., Nakagawa, S., &amp; </w:t>
      </w:r>
      <w:proofErr w:type="spellStart"/>
      <w:r w:rsidRPr="00CC3773">
        <w:rPr>
          <w:rFonts w:ascii="Calibri" w:cs="Calibri"/>
        </w:rPr>
        <w:t>Schielzeth</w:t>
      </w:r>
      <w:proofErr w:type="spellEnd"/>
      <w:r w:rsidRPr="00CC3773">
        <w:rPr>
          <w:rFonts w:ascii="Calibri" w:cs="Calibri"/>
        </w:rPr>
        <w:t xml:space="preserve">, H. (2017). </w:t>
      </w:r>
      <w:proofErr w:type="spellStart"/>
      <w:r w:rsidRPr="00CC3773">
        <w:rPr>
          <w:rFonts w:ascii="Calibri" w:cs="Calibri"/>
        </w:rPr>
        <w:t>rptR</w:t>
      </w:r>
      <w:proofErr w:type="spellEnd"/>
      <w:r w:rsidRPr="00CC3773">
        <w:rPr>
          <w:rFonts w:ascii="Calibri" w:cs="Calibri"/>
        </w:rPr>
        <w:t xml:space="preserve">: Repeatability estimation and variance decomposition by generalized linear mixed‐effects models. </w:t>
      </w:r>
      <w:r w:rsidRPr="00CC3773">
        <w:rPr>
          <w:rFonts w:ascii="Calibri" w:cs="Calibri"/>
          <w:i/>
          <w:iCs/>
        </w:rPr>
        <w:t>Methods in Ecology and Evolution</w:t>
      </w:r>
      <w:r w:rsidRPr="00CC3773">
        <w:rPr>
          <w:rFonts w:ascii="Calibri" w:cs="Calibri"/>
        </w:rPr>
        <w:t xml:space="preserve">, </w:t>
      </w:r>
      <w:r w:rsidRPr="00CC3773">
        <w:rPr>
          <w:rFonts w:ascii="Calibri" w:cs="Calibri"/>
          <w:i/>
          <w:iCs/>
        </w:rPr>
        <w:t>8</w:t>
      </w:r>
      <w:r w:rsidRPr="00CC3773">
        <w:rPr>
          <w:rFonts w:ascii="Calibri" w:cs="Calibri"/>
        </w:rPr>
        <w:t>(11), 1639–1644. https://doi.org/10.1111/2041-210X.12797</w:t>
      </w:r>
    </w:p>
    <w:p w14:paraId="16B93AD4" w14:textId="77777777" w:rsidR="00CC3773" w:rsidRPr="00CC3773" w:rsidRDefault="00CC3773" w:rsidP="00CC3773">
      <w:pPr>
        <w:pStyle w:val="Bibliography"/>
        <w:rPr>
          <w:rFonts w:ascii="Calibri" w:cs="Calibri"/>
        </w:rPr>
      </w:pPr>
      <w:proofErr w:type="spellStart"/>
      <w:r w:rsidRPr="00CC3773">
        <w:rPr>
          <w:rFonts w:ascii="Calibri" w:cs="Calibri"/>
        </w:rPr>
        <w:t>Taff</w:t>
      </w:r>
      <w:proofErr w:type="spellEnd"/>
      <w:r w:rsidRPr="00CC3773">
        <w:rPr>
          <w:rFonts w:ascii="Calibri" w:cs="Calibri"/>
        </w:rPr>
        <w:t xml:space="preserve">, C. C., Campagna, L., &amp; </w:t>
      </w:r>
      <w:proofErr w:type="spellStart"/>
      <w:r w:rsidRPr="00CC3773">
        <w:rPr>
          <w:rFonts w:ascii="Calibri" w:cs="Calibri"/>
        </w:rPr>
        <w:t>Vitousek</w:t>
      </w:r>
      <w:proofErr w:type="spellEnd"/>
      <w:r w:rsidRPr="00CC3773">
        <w:rPr>
          <w:rFonts w:ascii="Calibri" w:cs="Calibri"/>
        </w:rPr>
        <w:t xml:space="preserve">, M. N. (2019). Genome-wide variation in DNA methylation is associated with stress resilience and plumage brightness in a wild bird. </w:t>
      </w:r>
      <w:r w:rsidRPr="00CC3773">
        <w:rPr>
          <w:rFonts w:ascii="Calibri" w:cs="Calibri"/>
          <w:i/>
          <w:iCs/>
        </w:rPr>
        <w:t>Molecular Ecology</w:t>
      </w:r>
      <w:r w:rsidRPr="00CC3773">
        <w:rPr>
          <w:rFonts w:ascii="Calibri" w:cs="Calibri"/>
        </w:rPr>
        <w:t xml:space="preserve">, </w:t>
      </w:r>
      <w:r w:rsidRPr="00CC3773">
        <w:rPr>
          <w:rFonts w:ascii="Calibri" w:cs="Calibri"/>
          <w:i/>
          <w:iCs/>
        </w:rPr>
        <w:t>28</w:t>
      </w:r>
      <w:r w:rsidRPr="00CC3773">
        <w:rPr>
          <w:rFonts w:ascii="Calibri" w:cs="Calibri"/>
        </w:rPr>
        <w:t>(16), 3722–3737. https://doi.org/10.1111/mec.15186</w:t>
      </w:r>
    </w:p>
    <w:p w14:paraId="5B129235" w14:textId="77777777" w:rsidR="00CC3773" w:rsidRPr="00CC3773" w:rsidRDefault="00CC3773" w:rsidP="00CC3773">
      <w:pPr>
        <w:pStyle w:val="Bibliography"/>
        <w:rPr>
          <w:rFonts w:ascii="Calibri" w:cs="Calibri"/>
        </w:rPr>
      </w:pPr>
      <w:proofErr w:type="spellStart"/>
      <w:r w:rsidRPr="00CC3773">
        <w:rPr>
          <w:rFonts w:ascii="Calibri" w:cs="Calibri"/>
        </w:rPr>
        <w:t>Taff</w:t>
      </w:r>
      <w:proofErr w:type="spellEnd"/>
      <w:r w:rsidRPr="00CC3773">
        <w:rPr>
          <w:rFonts w:ascii="Calibri" w:cs="Calibri"/>
        </w:rPr>
        <w:t xml:space="preserve">, C. C., Zimmer, C., Scheck, D., Ryan, T. A., </w:t>
      </w:r>
      <w:proofErr w:type="spellStart"/>
      <w:r w:rsidRPr="00CC3773">
        <w:rPr>
          <w:rFonts w:ascii="Calibri" w:cs="Calibri"/>
        </w:rPr>
        <w:t>Houtz</w:t>
      </w:r>
      <w:proofErr w:type="spellEnd"/>
      <w:r w:rsidRPr="00CC3773">
        <w:rPr>
          <w:rFonts w:ascii="Calibri" w:cs="Calibri"/>
        </w:rPr>
        <w:t xml:space="preserve">, J. L., Smee, M. R., Hendry, T. A., &amp; </w:t>
      </w:r>
      <w:proofErr w:type="spellStart"/>
      <w:r w:rsidRPr="00CC3773">
        <w:rPr>
          <w:rFonts w:ascii="Calibri" w:cs="Calibri"/>
        </w:rPr>
        <w:t>Vitousek</w:t>
      </w:r>
      <w:proofErr w:type="spellEnd"/>
      <w:r w:rsidRPr="00CC3773">
        <w:rPr>
          <w:rFonts w:ascii="Calibri" w:cs="Calibri"/>
        </w:rPr>
        <w:t xml:space="preserve">, M. N. (2021). Plumage manipulation alters associations between </w:t>
      </w:r>
      <w:proofErr w:type="spellStart"/>
      <w:r w:rsidRPr="00CC3773">
        <w:rPr>
          <w:rFonts w:ascii="Calibri" w:cs="Calibri"/>
        </w:rPr>
        <w:t>behaviour</w:t>
      </w:r>
      <w:proofErr w:type="spellEnd"/>
      <w:r w:rsidRPr="00CC3773">
        <w:rPr>
          <w:rFonts w:ascii="Calibri" w:cs="Calibri"/>
        </w:rPr>
        <w:t xml:space="preserve">, physiology, the internal </w:t>
      </w:r>
      <w:proofErr w:type="gramStart"/>
      <w:r w:rsidRPr="00CC3773">
        <w:rPr>
          <w:rFonts w:ascii="Calibri" w:cs="Calibri"/>
        </w:rPr>
        <w:t>microbiome</w:t>
      </w:r>
      <w:proofErr w:type="gramEnd"/>
      <w:r w:rsidRPr="00CC3773">
        <w:rPr>
          <w:rFonts w:ascii="Calibri" w:cs="Calibri"/>
        </w:rPr>
        <w:t xml:space="preserve"> and fitness. </w:t>
      </w:r>
      <w:r w:rsidRPr="00CC3773">
        <w:rPr>
          <w:rFonts w:ascii="Calibri" w:cs="Calibri"/>
          <w:i/>
          <w:iCs/>
        </w:rPr>
        <w:t xml:space="preserve">Animal </w:t>
      </w:r>
      <w:proofErr w:type="spellStart"/>
      <w:r w:rsidRPr="00CC3773">
        <w:rPr>
          <w:rFonts w:ascii="Calibri" w:cs="Calibri"/>
          <w:i/>
          <w:iCs/>
        </w:rPr>
        <w:t>Behaviour</w:t>
      </w:r>
      <w:proofErr w:type="spellEnd"/>
      <w:r w:rsidRPr="00CC3773">
        <w:rPr>
          <w:rFonts w:ascii="Calibri" w:cs="Calibri"/>
        </w:rPr>
        <w:t xml:space="preserve">, </w:t>
      </w:r>
      <w:r w:rsidRPr="00CC3773">
        <w:rPr>
          <w:rFonts w:ascii="Calibri" w:cs="Calibri"/>
          <w:i/>
          <w:iCs/>
        </w:rPr>
        <w:t>178</w:t>
      </w:r>
      <w:r w:rsidRPr="00CC3773">
        <w:rPr>
          <w:rFonts w:ascii="Calibri" w:cs="Calibri"/>
        </w:rPr>
        <w:t>, 11–36. https://doi.org/10.1016/j.anbehav.2021.05.012</w:t>
      </w:r>
    </w:p>
    <w:p w14:paraId="727FE81F" w14:textId="77777777" w:rsidR="00CC3773" w:rsidRPr="00CC3773" w:rsidRDefault="00CC3773" w:rsidP="00CC3773">
      <w:pPr>
        <w:pStyle w:val="Bibliography"/>
        <w:rPr>
          <w:rFonts w:ascii="Calibri" w:cs="Calibri"/>
        </w:rPr>
      </w:pPr>
      <w:proofErr w:type="spellStart"/>
      <w:r w:rsidRPr="00CC3773">
        <w:rPr>
          <w:rFonts w:ascii="Calibri" w:cs="Calibri"/>
        </w:rPr>
        <w:t>Taff</w:t>
      </w:r>
      <w:proofErr w:type="spellEnd"/>
      <w:r w:rsidRPr="00CC3773">
        <w:rPr>
          <w:rFonts w:ascii="Calibri" w:cs="Calibri"/>
        </w:rPr>
        <w:t xml:space="preserve">, C. C., Zimmer, C., &amp; </w:t>
      </w:r>
      <w:proofErr w:type="spellStart"/>
      <w:r w:rsidRPr="00CC3773">
        <w:rPr>
          <w:rFonts w:ascii="Calibri" w:cs="Calibri"/>
        </w:rPr>
        <w:t>Vitousek</w:t>
      </w:r>
      <w:proofErr w:type="spellEnd"/>
      <w:r w:rsidRPr="00CC3773">
        <w:rPr>
          <w:rFonts w:ascii="Calibri" w:cs="Calibri"/>
        </w:rPr>
        <w:t>, M. N. (2019). Achromatic plumage brightness predicts stress resilience and social interactions in tree swallows (</w:t>
      </w:r>
      <w:proofErr w:type="spellStart"/>
      <w:r w:rsidRPr="00CC3773">
        <w:rPr>
          <w:rFonts w:ascii="Calibri" w:cs="Calibri"/>
        </w:rPr>
        <w:t>Tachycineta</w:t>
      </w:r>
      <w:proofErr w:type="spellEnd"/>
      <w:r w:rsidRPr="00CC3773">
        <w:rPr>
          <w:rFonts w:ascii="Calibri" w:cs="Calibri"/>
        </w:rPr>
        <w:t xml:space="preserve"> bicolor). </w:t>
      </w:r>
      <w:r w:rsidRPr="00CC3773">
        <w:rPr>
          <w:rFonts w:ascii="Calibri" w:cs="Calibri"/>
          <w:i/>
          <w:iCs/>
        </w:rPr>
        <w:t>Behavioral Ecology</w:t>
      </w:r>
      <w:r w:rsidRPr="00CC3773">
        <w:rPr>
          <w:rFonts w:ascii="Calibri" w:cs="Calibri"/>
        </w:rPr>
        <w:t xml:space="preserve">, </w:t>
      </w:r>
      <w:r w:rsidRPr="00CC3773">
        <w:rPr>
          <w:rFonts w:ascii="Calibri" w:cs="Calibri"/>
          <w:i/>
          <w:iCs/>
        </w:rPr>
        <w:t>30</w:t>
      </w:r>
      <w:r w:rsidRPr="00CC3773">
        <w:rPr>
          <w:rFonts w:ascii="Calibri" w:cs="Calibri"/>
        </w:rPr>
        <w:t>(3), 733–745. https://doi.org/10.1093/beheco/arz010</w:t>
      </w:r>
    </w:p>
    <w:p w14:paraId="2FF8EA8B" w14:textId="77777777" w:rsidR="00CC3773" w:rsidRPr="00CC3773" w:rsidRDefault="00CC3773" w:rsidP="00CC3773">
      <w:pPr>
        <w:pStyle w:val="Bibliography"/>
        <w:rPr>
          <w:rFonts w:ascii="Calibri" w:cs="Calibri"/>
        </w:rPr>
      </w:pPr>
      <w:proofErr w:type="spellStart"/>
      <w:r w:rsidRPr="00CC3773">
        <w:rPr>
          <w:rFonts w:ascii="Calibri" w:cs="Calibri"/>
        </w:rPr>
        <w:t>Turecki</w:t>
      </w:r>
      <w:proofErr w:type="spellEnd"/>
      <w:r w:rsidRPr="00CC3773">
        <w:rPr>
          <w:rFonts w:ascii="Calibri" w:cs="Calibri"/>
        </w:rPr>
        <w:t xml:space="preserve">, G., &amp; Meaney, M. J. (2016). Effects of the social environment and stress on glucocorticoid receptor gene methylation: A systematic review. </w:t>
      </w:r>
      <w:r w:rsidRPr="00CC3773">
        <w:rPr>
          <w:rFonts w:ascii="Calibri" w:cs="Calibri"/>
          <w:i/>
          <w:iCs/>
        </w:rPr>
        <w:t>Biological Psychiatry</w:t>
      </w:r>
      <w:r w:rsidRPr="00CC3773">
        <w:rPr>
          <w:rFonts w:ascii="Calibri" w:cs="Calibri"/>
        </w:rPr>
        <w:t xml:space="preserve">, </w:t>
      </w:r>
      <w:r w:rsidRPr="00CC3773">
        <w:rPr>
          <w:rFonts w:ascii="Calibri" w:cs="Calibri"/>
          <w:i/>
          <w:iCs/>
        </w:rPr>
        <w:t>79</w:t>
      </w:r>
      <w:r w:rsidRPr="00CC3773">
        <w:rPr>
          <w:rFonts w:ascii="Calibri" w:cs="Calibri"/>
        </w:rPr>
        <w:t>(2), 87–96. https://doi.org/10.1016/j.biopsych.2014.11.022</w:t>
      </w:r>
    </w:p>
    <w:p w14:paraId="7B4AA4F1" w14:textId="77777777" w:rsidR="00CC3773" w:rsidRPr="00CC3773" w:rsidRDefault="00CC3773" w:rsidP="00CC3773">
      <w:pPr>
        <w:pStyle w:val="Bibliography"/>
        <w:rPr>
          <w:rFonts w:ascii="Calibri" w:cs="Calibri"/>
        </w:rPr>
      </w:pPr>
      <w:proofErr w:type="spellStart"/>
      <w:r w:rsidRPr="00CC3773">
        <w:rPr>
          <w:rFonts w:ascii="Calibri" w:cs="Calibri"/>
        </w:rPr>
        <w:lastRenderedPageBreak/>
        <w:t>Vitousek</w:t>
      </w:r>
      <w:proofErr w:type="spellEnd"/>
      <w:r w:rsidRPr="00CC3773">
        <w:rPr>
          <w:rFonts w:ascii="Calibri" w:cs="Calibri"/>
        </w:rPr>
        <w:t xml:space="preserve">, M. N., </w:t>
      </w:r>
      <w:proofErr w:type="spellStart"/>
      <w:r w:rsidRPr="00CC3773">
        <w:rPr>
          <w:rFonts w:ascii="Calibri" w:cs="Calibri"/>
        </w:rPr>
        <w:t>Houtz</w:t>
      </w:r>
      <w:proofErr w:type="spellEnd"/>
      <w:r w:rsidRPr="00CC3773">
        <w:rPr>
          <w:rFonts w:ascii="Calibri" w:cs="Calibri"/>
        </w:rPr>
        <w:t xml:space="preserve">, J. L., Pipkin, M. A., Chang van </w:t>
      </w:r>
      <w:proofErr w:type="spellStart"/>
      <w:r w:rsidRPr="00CC3773">
        <w:rPr>
          <w:rFonts w:ascii="Calibri" w:cs="Calibri"/>
        </w:rPr>
        <w:t>Oordt</w:t>
      </w:r>
      <w:proofErr w:type="spellEnd"/>
      <w:r w:rsidRPr="00CC3773">
        <w:rPr>
          <w:rFonts w:ascii="Calibri" w:cs="Calibri"/>
        </w:rPr>
        <w:t xml:space="preserve">, D. A., </w:t>
      </w:r>
      <w:proofErr w:type="spellStart"/>
      <w:r w:rsidRPr="00CC3773">
        <w:rPr>
          <w:rFonts w:ascii="Calibri" w:cs="Calibri"/>
        </w:rPr>
        <w:t>Hallinger</w:t>
      </w:r>
      <w:proofErr w:type="spellEnd"/>
      <w:r w:rsidRPr="00CC3773">
        <w:rPr>
          <w:rFonts w:ascii="Calibri" w:cs="Calibri"/>
        </w:rPr>
        <w:t xml:space="preserve">, K. K., </w:t>
      </w:r>
      <w:proofErr w:type="spellStart"/>
      <w:r w:rsidRPr="00CC3773">
        <w:rPr>
          <w:rFonts w:ascii="Calibri" w:cs="Calibri"/>
        </w:rPr>
        <w:t>Uehling</w:t>
      </w:r>
      <w:proofErr w:type="spellEnd"/>
      <w:r w:rsidRPr="00CC3773">
        <w:rPr>
          <w:rFonts w:ascii="Calibri" w:cs="Calibri"/>
        </w:rPr>
        <w:t xml:space="preserve">, J. J., Zimmer, C., &amp; </w:t>
      </w:r>
      <w:proofErr w:type="spellStart"/>
      <w:r w:rsidRPr="00CC3773">
        <w:rPr>
          <w:rFonts w:ascii="Calibri" w:cs="Calibri"/>
        </w:rPr>
        <w:t>Taff</w:t>
      </w:r>
      <w:proofErr w:type="spellEnd"/>
      <w:r w:rsidRPr="00CC3773">
        <w:rPr>
          <w:rFonts w:ascii="Calibri" w:cs="Calibri"/>
        </w:rPr>
        <w:t xml:space="preserve">, C. C. (2022). Natural and experimental cold exposure in adulthood increase the sensitivity to future stressors in a free-living songbird. </w:t>
      </w:r>
      <w:r w:rsidRPr="00CC3773">
        <w:rPr>
          <w:rFonts w:ascii="Calibri" w:cs="Calibri"/>
          <w:i/>
          <w:iCs/>
        </w:rPr>
        <w:t>Functional Ecology</w:t>
      </w:r>
      <w:r w:rsidRPr="00CC3773">
        <w:rPr>
          <w:rFonts w:ascii="Calibri" w:cs="Calibri"/>
        </w:rPr>
        <w:t xml:space="preserve">, </w:t>
      </w:r>
      <w:r w:rsidRPr="00CC3773">
        <w:rPr>
          <w:rFonts w:ascii="Calibri" w:cs="Calibri"/>
          <w:i/>
          <w:iCs/>
        </w:rPr>
        <w:t>36</w:t>
      </w:r>
      <w:r w:rsidRPr="00CC3773">
        <w:rPr>
          <w:rFonts w:ascii="Calibri" w:cs="Calibri"/>
        </w:rPr>
        <w:t>(10), 2531–2543. https://doi.org/10.1111/1365-2435.14144</w:t>
      </w:r>
    </w:p>
    <w:p w14:paraId="79A6B892" w14:textId="77777777" w:rsidR="00CC3773" w:rsidRPr="00CC3773" w:rsidRDefault="00CC3773" w:rsidP="00CC3773">
      <w:pPr>
        <w:pStyle w:val="Bibliography"/>
        <w:rPr>
          <w:rFonts w:ascii="Calibri" w:cs="Calibri"/>
        </w:rPr>
      </w:pPr>
      <w:r w:rsidRPr="00CC3773">
        <w:rPr>
          <w:rFonts w:ascii="Calibri" w:cs="Calibri"/>
        </w:rPr>
        <w:t xml:space="preserve">Warton, D. I., &amp; Hui, F. K. C. (2011). The arcsine is asinine: The analysis of proportions in ecology. </w:t>
      </w:r>
      <w:r w:rsidRPr="00CC3773">
        <w:rPr>
          <w:rFonts w:ascii="Calibri" w:cs="Calibri"/>
          <w:i/>
          <w:iCs/>
        </w:rPr>
        <w:t>Ecology</w:t>
      </w:r>
      <w:r w:rsidRPr="00CC3773">
        <w:rPr>
          <w:rFonts w:ascii="Calibri" w:cs="Calibri"/>
        </w:rPr>
        <w:t xml:space="preserve">, </w:t>
      </w:r>
      <w:r w:rsidRPr="00CC3773">
        <w:rPr>
          <w:rFonts w:ascii="Calibri" w:cs="Calibri"/>
          <w:i/>
          <w:iCs/>
        </w:rPr>
        <w:t>92</w:t>
      </w:r>
      <w:r w:rsidRPr="00CC3773">
        <w:rPr>
          <w:rFonts w:ascii="Calibri" w:cs="Calibri"/>
        </w:rPr>
        <w:t>(1), 3–10. https://doi.org/10.1890/10-0340.1</w:t>
      </w:r>
    </w:p>
    <w:p w14:paraId="0C039F2B" w14:textId="77777777" w:rsidR="00CC3773" w:rsidRPr="00CC3773" w:rsidRDefault="00CC3773" w:rsidP="00CC3773">
      <w:pPr>
        <w:pStyle w:val="Bibliography"/>
        <w:rPr>
          <w:rFonts w:ascii="Calibri" w:cs="Calibri"/>
        </w:rPr>
      </w:pPr>
      <w:r w:rsidRPr="00CC3773">
        <w:rPr>
          <w:rFonts w:ascii="Calibri" w:cs="Calibri"/>
        </w:rPr>
        <w:t xml:space="preserve">Watson, H., </w:t>
      </w:r>
      <w:proofErr w:type="spellStart"/>
      <w:r w:rsidRPr="00CC3773">
        <w:rPr>
          <w:rFonts w:ascii="Calibri" w:cs="Calibri"/>
        </w:rPr>
        <w:t>Salmón</w:t>
      </w:r>
      <w:proofErr w:type="spellEnd"/>
      <w:r w:rsidRPr="00CC3773">
        <w:rPr>
          <w:rFonts w:ascii="Calibri" w:cs="Calibri"/>
        </w:rPr>
        <w:t xml:space="preserve">, P., &amp; Isaksson, C. (2019). Dynamic changes in DNA methylation during embryonic and postnatal development of an altricial wild bird. </w:t>
      </w:r>
      <w:r w:rsidRPr="00CC3773">
        <w:rPr>
          <w:rFonts w:ascii="Calibri" w:cs="Calibri"/>
          <w:i/>
          <w:iCs/>
        </w:rPr>
        <w:t>Ecology and Evolution</w:t>
      </w:r>
      <w:r w:rsidRPr="00CC3773">
        <w:rPr>
          <w:rFonts w:ascii="Calibri" w:cs="Calibri"/>
        </w:rPr>
        <w:t xml:space="preserve">, </w:t>
      </w:r>
      <w:r w:rsidRPr="00CC3773">
        <w:rPr>
          <w:rFonts w:ascii="Calibri" w:cs="Calibri"/>
          <w:i/>
          <w:iCs/>
        </w:rPr>
        <w:t>9</w:t>
      </w:r>
      <w:r w:rsidRPr="00CC3773">
        <w:rPr>
          <w:rFonts w:ascii="Calibri" w:cs="Calibri"/>
        </w:rPr>
        <w:t>(17), 9580–9585. https://doi.org/10.1002/ece3.5480</w:t>
      </w:r>
    </w:p>
    <w:p w14:paraId="01FDFE48" w14:textId="77777777" w:rsidR="00CC3773" w:rsidRPr="00CC3773" w:rsidRDefault="00CC3773" w:rsidP="00CC3773">
      <w:pPr>
        <w:pStyle w:val="Bibliography"/>
        <w:rPr>
          <w:rFonts w:ascii="Calibri" w:cs="Calibri"/>
        </w:rPr>
      </w:pPr>
      <w:r w:rsidRPr="00CC3773">
        <w:rPr>
          <w:rFonts w:ascii="Calibri" w:cs="Calibri"/>
        </w:rPr>
        <w:t xml:space="preserve">Wingfield, J. C., </w:t>
      </w:r>
      <w:proofErr w:type="spellStart"/>
      <w:r w:rsidRPr="00CC3773">
        <w:rPr>
          <w:rFonts w:ascii="Calibri" w:cs="Calibri"/>
        </w:rPr>
        <w:t>Maney</w:t>
      </w:r>
      <w:proofErr w:type="spellEnd"/>
      <w:r w:rsidRPr="00CC3773">
        <w:rPr>
          <w:rFonts w:ascii="Calibri" w:cs="Calibri"/>
        </w:rPr>
        <w:t xml:space="preserve">, D. L., </w:t>
      </w:r>
      <w:proofErr w:type="spellStart"/>
      <w:r w:rsidRPr="00CC3773">
        <w:rPr>
          <w:rFonts w:ascii="Calibri" w:cs="Calibri"/>
        </w:rPr>
        <w:t>Breuner</w:t>
      </w:r>
      <w:proofErr w:type="spellEnd"/>
      <w:r w:rsidRPr="00CC3773">
        <w:rPr>
          <w:rFonts w:ascii="Calibri" w:cs="Calibri"/>
        </w:rPr>
        <w:t xml:space="preserve">, C. W., Jacobs, J. D., Lynn, S., </w:t>
      </w:r>
      <w:proofErr w:type="spellStart"/>
      <w:r w:rsidRPr="00CC3773">
        <w:rPr>
          <w:rFonts w:ascii="Calibri" w:cs="Calibri"/>
        </w:rPr>
        <w:t>Ramenofsky</w:t>
      </w:r>
      <w:proofErr w:type="spellEnd"/>
      <w:r w:rsidRPr="00CC3773">
        <w:rPr>
          <w:rFonts w:ascii="Calibri" w:cs="Calibri"/>
        </w:rPr>
        <w:t xml:space="preserve">, M., &amp; Richardson, R. D. (1998). Ecological bases of hormone—behavior interactions: The “emergency life history stage.” </w:t>
      </w:r>
      <w:r w:rsidRPr="00CC3773">
        <w:rPr>
          <w:rFonts w:ascii="Calibri" w:cs="Calibri"/>
          <w:i/>
          <w:iCs/>
        </w:rPr>
        <w:t>American Zoologist</w:t>
      </w:r>
      <w:r w:rsidRPr="00CC3773">
        <w:rPr>
          <w:rFonts w:ascii="Calibri" w:cs="Calibri"/>
        </w:rPr>
        <w:t xml:space="preserve">, </w:t>
      </w:r>
      <w:r w:rsidRPr="00CC3773">
        <w:rPr>
          <w:rFonts w:ascii="Calibri" w:cs="Calibri"/>
          <w:i/>
          <w:iCs/>
        </w:rPr>
        <w:t>38</w:t>
      </w:r>
      <w:r w:rsidRPr="00CC3773">
        <w:rPr>
          <w:rFonts w:ascii="Calibri" w:cs="Calibri"/>
        </w:rPr>
        <w:t>(1), 191–206. https://doi.org/10.1093/icb/38.1.191</w:t>
      </w:r>
    </w:p>
    <w:p w14:paraId="0810B27A" w14:textId="77777777" w:rsidR="00CC3773" w:rsidRPr="00CC3773" w:rsidRDefault="00CC3773" w:rsidP="00CC3773">
      <w:pPr>
        <w:pStyle w:val="Bibliography"/>
        <w:rPr>
          <w:rFonts w:ascii="Calibri" w:cs="Calibri"/>
        </w:rPr>
      </w:pPr>
      <w:r w:rsidRPr="00CC3773">
        <w:rPr>
          <w:rFonts w:ascii="Calibri" w:cs="Calibri"/>
        </w:rPr>
        <w:t xml:space="preserve">Wingfield, J. C., &amp; Sapolsky, R. M. (2003). Reproduction and resistance to stress: When and how. </w:t>
      </w:r>
      <w:r w:rsidRPr="00CC3773">
        <w:rPr>
          <w:rFonts w:ascii="Calibri" w:cs="Calibri"/>
          <w:i/>
          <w:iCs/>
        </w:rPr>
        <w:t>Journal of Neuroendocrinology</w:t>
      </w:r>
      <w:r w:rsidRPr="00CC3773">
        <w:rPr>
          <w:rFonts w:ascii="Calibri" w:cs="Calibri"/>
        </w:rPr>
        <w:t xml:space="preserve">, </w:t>
      </w:r>
      <w:r w:rsidRPr="00CC3773">
        <w:rPr>
          <w:rFonts w:ascii="Calibri" w:cs="Calibri"/>
          <w:i/>
          <w:iCs/>
        </w:rPr>
        <w:t>15</w:t>
      </w:r>
      <w:r w:rsidRPr="00CC3773">
        <w:rPr>
          <w:rFonts w:ascii="Calibri" w:cs="Calibri"/>
        </w:rPr>
        <w:t>(8), 711–724. https://doi.org/10.1046/j.1365-2826.2003.01033.x</w:t>
      </w:r>
    </w:p>
    <w:p w14:paraId="039BAD25" w14:textId="77777777" w:rsidR="00CC3773" w:rsidRPr="00CC3773" w:rsidRDefault="00CC3773" w:rsidP="00CC3773">
      <w:pPr>
        <w:pStyle w:val="Bibliography"/>
        <w:rPr>
          <w:rFonts w:ascii="Calibri" w:cs="Calibri"/>
        </w:rPr>
      </w:pPr>
      <w:r w:rsidRPr="00CC3773">
        <w:rPr>
          <w:rFonts w:ascii="Calibri" w:cs="Calibri"/>
        </w:rPr>
        <w:t xml:space="preserve">Yehuda, R., Daskalakis, N. P., </w:t>
      </w:r>
      <w:proofErr w:type="spellStart"/>
      <w:r w:rsidRPr="00CC3773">
        <w:rPr>
          <w:rFonts w:ascii="Calibri" w:cs="Calibri"/>
        </w:rPr>
        <w:t>Bierer</w:t>
      </w:r>
      <w:proofErr w:type="spellEnd"/>
      <w:r w:rsidRPr="00CC3773">
        <w:rPr>
          <w:rFonts w:ascii="Calibri" w:cs="Calibri"/>
        </w:rPr>
        <w:t xml:space="preserve">, L. M., Bader, H. N., </w:t>
      </w:r>
      <w:proofErr w:type="spellStart"/>
      <w:r w:rsidRPr="00CC3773">
        <w:rPr>
          <w:rFonts w:ascii="Calibri" w:cs="Calibri"/>
        </w:rPr>
        <w:t>Klengel</w:t>
      </w:r>
      <w:proofErr w:type="spellEnd"/>
      <w:r w:rsidRPr="00CC3773">
        <w:rPr>
          <w:rFonts w:ascii="Calibri" w:cs="Calibri"/>
        </w:rPr>
        <w:t xml:space="preserve">, T., </w:t>
      </w:r>
      <w:proofErr w:type="spellStart"/>
      <w:r w:rsidRPr="00CC3773">
        <w:rPr>
          <w:rFonts w:ascii="Calibri" w:cs="Calibri"/>
        </w:rPr>
        <w:t>Holsboer</w:t>
      </w:r>
      <w:proofErr w:type="spellEnd"/>
      <w:r w:rsidRPr="00CC3773">
        <w:rPr>
          <w:rFonts w:ascii="Calibri" w:cs="Calibri"/>
        </w:rPr>
        <w:t xml:space="preserve">, F., &amp; Binder, E. B. (2016). Holocaust Exposure Induced Intergenerational Effects on FKBP5 Methylation. </w:t>
      </w:r>
      <w:r w:rsidRPr="00CC3773">
        <w:rPr>
          <w:rFonts w:ascii="Calibri" w:cs="Calibri"/>
          <w:i/>
          <w:iCs/>
        </w:rPr>
        <w:t>Biological Psychiatry</w:t>
      </w:r>
      <w:r w:rsidRPr="00CC3773">
        <w:rPr>
          <w:rFonts w:ascii="Calibri" w:cs="Calibri"/>
        </w:rPr>
        <w:t xml:space="preserve">, </w:t>
      </w:r>
      <w:r w:rsidRPr="00CC3773">
        <w:rPr>
          <w:rFonts w:ascii="Calibri" w:cs="Calibri"/>
          <w:i/>
          <w:iCs/>
        </w:rPr>
        <w:t>80</w:t>
      </w:r>
      <w:r w:rsidRPr="00CC3773">
        <w:rPr>
          <w:rFonts w:ascii="Calibri" w:cs="Calibri"/>
        </w:rPr>
        <w:t>(5), 372–380. https://doi.org/10.1016/j.biopsych.2015.08.005</w:t>
      </w:r>
    </w:p>
    <w:p w14:paraId="064E1F1B" w14:textId="77777777" w:rsidR="00CC3773" w:rsidRPr="00CC3773" w:rsidRDefault="00CC3773" w:rsidP="00CC3773">
      <w:pPr>
        <w:pStyle w:val="Bibliography"/>
        <w:rPr>
          <w:rFonts w:ascii="Calibri" w:cs="Calibri"/>
        </w:rPr>
      </w:pPr>
      <w:r w:rsidRPr="00CC3773">
        <w:rPr>
          <w:rFonts w:ascii="Calibri" w:cs="Calibri"/>
        </w:rPr>
        <w:t xml:space="preserve">Young, C., </w:t>
      </w:r>
      <w:proofErr w:type="spellStart"/>
      <w:r w:rsidRPr="00CC3773">
        <w:rPr>
          <w:rFonts w:ascii="Calibri" w:cs="Calibri"/>
        </w:rPr>
        <w:t>Majolo</w:t>
      </w:r>
      <w:proofErr w:type="spellEnd"/>
      <w:r w:rsidRPr="00CC3773">
        <w:rPr>
          <w:rFonts w:ascii="Calibri" w:cs="Calibri"/>
        </w:rPr>
        <w:t xml:space="preserve">, B., </w:t>
      </w:r>
      <w:proofErr w:type="spellStart"/>
      <w:r w:rsidRPr="00CC3773">
        <w:rPr>
          <w:rFonts w:ascii="Calibri" w:cs="Calibri"/>
        </w:rPr>
        <w:t>Heistermann</w:t>
      </w:r>
      <w:proofErr w:type="spellEnd"/>
      <w:r w:rsidRPr="00CC3773">
        <w:rPr>
          <w:rFonts w:ascii="Calibri" w:cs="Calibri"/>
        </w:rPr>
        <w:t xml:space="preserve">, M., </w:t>
      </w:r>
      <w:proofErr w:type="spellStart"/>
      <w:r w:rsidRPr="00CC3773">
        <w:rPr>
          <w:rFonts w:ascii="Calibri" w:cs="Calibri"/>
        </w:rPr>
        <w:t>Schülke</w:t>
      </w:r>
      <w:proofErr w:type="spellEnd"/>
      <w:r w:rsidRPr="00CC3773">
        <w:rPr>
          <w:rFonts w:ascii="Calibri" w:cs="Calibri"/>
        </w:rPr>
        <w:t xml:space="preserve">, O., &amp; </w:t>
      </w:r>
      <w:proofErr w:type="spellStart"/>
      <w:r w:rsidRPr="00CC3773">
        <w:rPr>
          <w:rFonts w:ascii="Calibri" w:cs="Calibri"/>
        </w:rPr>
        <w:t>Ostner</w:t>
      </w:r>
      <w:proofErr w:type="spellEnd"/>
      <w:r w:rsidRPr="00CC3773">
        <w:rPr>
          <w:rFonts w:ascii="Calibri" w:cs="Calibri"/>
        </w:rPr>
        <w:t xml:space="preserve">, J. (2014). Responses to social and environmental stress are attenuated by strong male bonds in wild macaques. </w:t>
      </w:r>
      <w:r w:rsidRPr="00CC3773">
        <w:rPr>
          <w:rFonts w:ascii="Calibri" w:cs="Calibri"/>
          <w:i/>
          <w:iCs/>
        </w:rPr>
        <w:lastRenderedPageBreak/>
        <w:t>Proceedings of the National Academy of Sciences</w:t>
      </w:r>
      <w:r w:rsidRPr="00CC3773">
        <w:rPr>
          <w:rFonts w:ascii="Calibri" w:cs="Calibri"/>
        </w:rPr>
        <w:t xml:space="preserve">, </w:t>
      </w:r>
      <w:r w:rsidRPr="00CC3773">
        <w:rPr>
          <w:rFonts w:ascii="Calibri" w:cs="Calibri"/>
          <w:i/>
          <w:iCs/>
        </w:rPr>
        <w:t>111</w:t>
      </w:r>
      <w:r w:rsidRPr="00CC3773">
        <w:rPr>
          <w:rFonts w:ascii="Calibri" w:cs="Calibri"/>
        </w:rPr>
        <w:t>(51), 18195–18200. https://doi.org/10.1073/pnas.1411450111</w:t>
      </w:r>
    </w:p>
    <w:p w14:paraId="7E0BFBA4" w14:textId="77777777" w:rsidR="00CC3773" w:rsidRPr="00CC3773" w:rsidRDefault="00CC3773" w:rsidP="00CC3773">
      <w:pPr>
        <w:pStyle w:val="Bibliography"/>
        <w:rPr>
          <w:rFonts w:ascii="Calibri" w:cs="Calibri"/>
        </w:rPr>
      </w:pPr>
      <w:proofErr w:type="spellStart"/>
      <w:r w:rsidRPr="00CC3773">
        <w:rPr>
          <w:rFonts w:ascii="Calibri" w:cs="Calibri"/>
          <w:lang w:val="es-ES"/>
        </w:rPr>
        <w:t>Zannas</w:t>
      </w:r>
      <w:proofErr w:type="spellEnd"/>
      <w:r w:rsidRPr="00CC3773">
        <w:rPr>
          <w:rFonts w:ascii="Calibri" w:cs="Calibri"/>
          <w:lang w:val="es-ES"/>
        </w:rPr>
        <w:t xml:space="preserve">, A. S., &amp; Binder, E. B. (2014). </w:t>
      </w:r>
      <w:r w:rsidRPr="00CC3773">
        <w:rPr>
          <w:rFonts w:ascii="Calibri" w:cs="Calibri"/>
        </w:rPr>
        <w:t xml:space="preserve">Gene–environment interactions at the FKBP5 locus: Sensitive periods, mechanisms and pleiotropism. </w:t>
      </w:r>
      <w:r w:rsidRPr="00CC3773">
        <w:rPr>
          <w:rFonts w:ascii="Calibri" w:cs="Calibri"/>
          <w:i/>
          <w:iCs/>
        </w:rPr>
        <w:t xml:space="preserve">Genes, </w:t>
      </w:r>
      <w:proofErr w:type="gramStart"/>
      <w:r w:rsidRPr="00CC3773">
        <w:rPr>
          <w:rFonts w:ascii="Calibri" w:cs="Calibri"/>
          <w:i/>
          <w:iCs/>
        </w:rPr>
        <w:t>Brain</w:t>
      </w:r>
      <w:proofErr w:type="gramEnd"/>
      <w:r w:rsidRPr="00CC3773">
        <w:rPr>
          <w:rFonts w:ascii="Calibri" w:cs="Calibri"/>
          <w:i/>
          <w:iCs/>
        </w:rPr>
        <w:t xml:space="preserve"> and Behavior</w:t>
      </w:r>
      <w:r w:rsidRPr="00CC3773">
        <w:rPr>
          <w:rFonts w:ascii="Calibri" w:cs="Calibri"/>
        </w:rPr>
        <w:t xml:space="preserve">, </w:t>
      </w:r>
      <w:r w:rsidRPr="00CC3773">
        <w:rPr>
          <w:rFonts w:ascii="Calibri" w:cs="Calibri"/>
          <w:i/>
          <w:iCs/>
        </w:rPr>
        <w:t>13</w:t>
      </w:r>
      <w:r w:rsidRPr="00CC3773">
        <w:rPr>
          <w:rFonts w:ascii="Calibri" w:cs="Calibri"/>
        </w:rPr>
        <w:t>(1), 25–37. https://doi.org/10.1111/gbb.12104</w:t>
      </w:r>
    </w:p>
    <w:p w14:paraId="2CC1BBA8" w14:textId="77777777" w:rsidR="00CC3773" w:rsidRPr="00CC3773" w:rsidRDefault="00CC3773" w:rsidP="00CC3773">
      <w:pPr>
        <w:pStyle w:val="Bibliography"/>
        <w:rPr>
          <w:rFonts w:ascii="Calibri" w:cs="Calibri"/>
        </w:rPr>
      </w:pPr>
      <w:proofErr w:type="spellStart"/>
      <w:r w:rsidRPr="00CC3773">
        <w:rPr>
          <w:rFonts w:ascii="Calibri" w:cs="Calibri"/>
        </w:rPr>
        <w:t>Zannas</w:t>
      </w:r>
      <w:proofErr w:type="spellEnd"/>
      <w:r w:rsidRPr="00CC3773">
        <w:rPr>
          <w:rFonts w:ascii="Calibri" w:cs="Calibri"/>
        </w:rPr>
        <w:t xml:space="preserve">, A. S., </w:t>
      </w:r>
      <w:proofErr w:type="spellStart"/>
      <w:r w:rsidRPr="00CC3773">
        <w:rPr>
          <w:rFonts w:ascii="Calibri" w:cs="Calibri"/>
        </w:rPr>
        <w:t>Wiechmann</w:t>
      </w:r>
      <w:proofErr w:type="spellEnd"/>
      <w:r w:rsidRPr="00CC3773">
        <w:rPr>
          <w:rFonts w:ascii="Calibri" w:cs="Calibri"/>
        </w:rPr>
        <w:t xml:space="preserve">, T., </w:t>
      </w:r>
      <w:proofErr w:type="spellStart"/>
      <w:r w:rsidRPr="00CC3773">
        <w:rPr>
          <w:rFonts w:ascii="Calibri" w:cs="Calibri"/>
        </w:rPr>
        <w:t>Gassen</w:t>
      </w:r>
      <w:proofErr w:type="spellEnd"/>
      <w:r w:rsidRPr="00CC3773">
        <w:rPr>
          <w:rFonts w:ascii="Calibri" w:cs="Calibri"/>
        </w:rPr>
        <w:t xml:space="preserve">, N. C., &amp; Binder, E. B. (2016). Gene–stress–epigenetic regulation of FKBP5: Clinical and translational implications. </w:t>
      </w:r>
      <w:r w:rsidRPr="00CC3773">
        <w:rPr>
          <w:rFonts w:ascii="Calibri" w:cs="Calibri"/>
          <w:i/>
          <w:iCs/>
        </w:rPr>
        <w:t>Neuropsychopharmacology</w:t>
      </w:r>
      <w:r w:rsidRPr="00CC3773">
        <w:rPr>
          <w:rFonts w:ascii="Calibri" w:cs="Calibri"/>
        </w:rPr>
        <w:t xml:space="preserve">, </w:t>
      </w:r>
      <w:r w:rsidRPr="00CC3773">
        <w:rPr>
          <w:rFonts w:ascii="Calibri" w:cs="Calibri"/>
          <w:i/>
          <w:iCs/>
        </w:rPr>
        <w:t>41</w:t>
      </w:r>
      <w:r w:rsidRPr="00CC3773">
        <w:rPr>
          <w:rFonts w:ascii="Calibri" w:cs="Calibri"/>
        </w:rPr>
        <w:t>(1), Article 1. https://doi.org/10.1038/npp.2015.235</w:t>
      </w:r>
    </w:p>
    <w:p w14:paraId="1F48D4C1" w14:textId="77777777" w:rsidR="00CC3773" w:rsidRPr="00CC3773" w:rsidRDefault="00CC3773" w:rsidP="00CC3773">
      <w:pPr>
        <w:pStyle w:val="Bibliography"/>
        <w:rPr>
          <w:rFonts w:ascii="Calibri" w:cs="Calibri"/>
        </w:rPr>
      </w:pPr>
      <w:r w:rsidRPr="00CC3773">
        <w:rPr>
          <w:rFonts w:ascii="Calibri" w:cs="Calibri"/>
        </w:rPr>
        <w:t xml:space="preserve">Zimmer, C., Hanson, H. E., &amp; Martin, L. B. (2021). FKBP5 expression is related to HPA flexibility and the capacity to cope with stressors in female and male house sparrows. </w:t>
      </w:r>
      <w:r w:rsidRPr="00CC3773">
        <w:rPr>
          <w:rFonts w:ascii="Calibri" w:cs="Calibri"/>
          <w:i/>
          <w:iCs/>
        </w:rPr>
        <w:t>Hormones and Behavior</w:t>
      </w:r>
      <w:r w:rsidRPr="00CC3773">
        <w:rPr>
          <w:rFonts w:ascii="Calibri" w:cs="Calibri"/>
        </w:rPr>
        <w:t xml:space="preserve">, </w:t>
      </w:r>
      <w:r w:rsidRPr="00CC3773">
        <w:rPr>
          <w:rFonts w:ascii="Calibri" w:cs="Calibri"/>
          <w:i/>
          <w:iCs/>
        </w:rPr>
        <w:t>135</w:t>
      </w:r>
      <w:r w:rsidRPr="00CC3773">
        <w:rPr>
          <w:rFonts w:ascii="Calibri" w:cs="Calibri"/>
        </w:rPr>
        <w:t>, 105038. https://doi.org/10.1016/j.yhbeh.2021.105038</w:t>
      </w:r>
    </w:p>
    <w:p w14:paraId="4816B6D8" w14:textId="77777777" w:rsidR="00CC3773" w:rsidRPr="00CC3773" w:rsidRDefault="00CC3773" w:rsidP="00CC3773">
      <w:pPr>
        <w:pStyle w:val="Bibliography"/>
        <w:rPr>
          <w:rFonts w:ascii="Calibri" w:cs="Calibri"/>
        </w:rPr>
      </w:pPr>
      <w:r w:rsidRPr="00CC3773">
        <w:rPr>
          <w:rFonts w:ascii="Calibri" w:cs="Calibri"/>
        </w:rPr>
        <w:t xml:space="preserve">Zimmer, C., Hanson, H. E., Wildman, D. E., Uddin, M., &amp; Martin, L. B. (2020). FKBP5: A key mediator of how vertebrates flexibly cope with adversity. </w:t>
      </w:r>
      <w:proofErr w:type="spellStart"/>
      <w:r w:rsidRPr="00CC3773">
        <w:rPr>
          <w:rFonts w:ascii="Calibri" w:cs="Calibri"/>
          <w:i/>
          <w:iCs/>
        </w:rPr>
        <w:t>BioScience</w:t>
      </w:r>
      <w:proofErr w:type="spellEnd"/>
      <w:r w:rsidRPr="00CC3773">
        <w:rPr>
          <w:rFonts w:ascii="Calibri" w:cs="Calibri"/>
        </w:rPr>
        <w:t xml:space="preserve">, </w:t>
      </w:r>
      <w:r w:rsidRPr="00CC3773">
        <w:rPr>
          <w:rFonts w:ascii="Calibri" w:cs="Calibri"/>
          <w:i/>
          <w:iCs/>
        </w:rPr>
        <w:t>70</w:t>
      </w:r>
      <w:r w:rsidRPr="00CC3773">
        <w:rPr>
          <w:rFonts w:ascii="Calibri" w:cs="Calibri"/>
        </w:rPr>
        <w:t>(12), 1127–1138. https://doi.org/10.1093/biosci/biaa114</w:t>
      </w:r>
    </w:p>
    <w:p w14:paraId="2A71684B" w14:textId="77777777" w:rsidR="00CC3773" w:rsidRPr="00CC3773" w:rsidRDefault="00CC3773" w:rsidP="00CC3773">
      <w:pPr>
        <w:pStyle w:val="Bibliography"/>
        <w:rPr>
          <w:rFonts w:ascii="Calibri" w:cs="Calibri"/>
        </w:rPr>
      </w:pPr>
      <w:r w:rsidRPr="00CC3773">
        <w:rPr>
          <w:rFonts w:ascii="Calibri" w:cs="Calibri"/>
        </w:rPr>
        <w:t xml:space="preserve">Zimmer, C., </w:t>
      </w:r>
      <w:proofErr w:type="spellStart"/>
      <w:r w:rsidRPr="00CC3773">
        <w:rPr>
          <w:rFonts w:ascii="Calibri" w:cs="Calibri"/>
        </w:rPr>
        <w:t>Taff</w:t>
      </w:r>
      <w:proofErr w:type="spellEnd"/>
      <w:r w:rsidRPr="00CC3773">
        <w:rPr>
          <w:rFonts w:ascii="Calibri" w:cs="Calibri"/>
        </w:rPr>
        <w:t xml:space="preserve">, C. C., </w:t>
      </w:r>
      <w:proofErr w:type="spellStart"/>
      <w:r w:rsidRPr="00CC3773">
        <w:rPr>
          <w:rFonts w:ascii="Calibri" w:cs="Calibri"/>
        </w:rPr>
        <w:t>Ardia</w:t>
      </w:r>
      <w:proofErr w:type="spellEnd"/>
      <w:r w:rsidRPr="00CC3773">
        <w:rPr>
          <w:rFonts w:ascii="Calibri" w:cs="Calibri"/>
        </w:rPr>
        <w:t xml:space="preserve">, D. R., Ryan, T. A., Winkler, D. W., &amp; </w:t>
      </w:r>
      <w:proofErr w:type="spellStart"/>
      <w:r w:rsidRPr="00CC3773">
        <w:rPr>
          <w:rFonts w:ascii="Calibri" w:cs="Calibri"/>
        </w:rPr>
        <w:t>Vitousek</w:t>
      </w:r>
      <w:proofErr w:type="spellEnd"/>
      <w:r w:rsidRPr="00CC3773">
        <w:rPr>
          <w:rFonts w:ascii="Calibri" w:cs="Calibri"/>
        </w:rPr>
        <w:t xml:space="preserve">, M. N. (2019). On again, off again: Acute stress response and negative feedback together predict resilience to experimental challenges. </w:t>
      </w:r>
      <w:r w:rsidRPr="00CC3773">
        <w:rPr>
          <w:rFonts w:ascii="Calibri" w:cs="Calibri"/>
          <w:i/>
          <w:iCs/>
        </w:rPr>
        <w:t>Functional Ecology</w:t>
      </w:r>
      <w:r w:rsidRPr="00CC3773">
        <w:rPr>
          <w:rFonts w:ascii="Calibri" w:cs="Calibri"/>
        </w:rPr>
        <w:t xml:space="preserve">, </w:t>
      </w:r>
      <w:r w:rsidRPr="00CC3773">
        <w:rPr>
          <w:rFonts w:ascii="Calibri" w:cs="Calibri"/>
          <w:i/>
          <w:iCs/>
        </w:rPr>
        <w:t>33</w:t>
      </w:r>
      <w:r w:rsidRPr="00CC3773">
        <w:rPr>
          <w:rFonts w:ascii="Calibri" w:cs="Calibri"/>
        </w:rPr>
        <w:t>(4), 619–628. https://doi.org/10.1111/1365-2435.13281</w:t>
      </w:r>
    </w:p>
    <w:p w14:paraId="700C9899" w14:textId="1583CB2F" w:rsidR="007F1D06" w:rsidRPr="007F1D06" w:rsidRDefault="007F1D06">
      <w:pPr>
        <w:rPr>
          <w:rFonts w:ascii="Garamond" w:hAnsi="Garamond"/>
          <w:b/>
          <w:bCs/>
        </w:rPr>
      </w:pPr>
      <w:r>
        <w:rPr>
          <w:rFonts w:ascii="Garamond" w:hAnsi="Garamond"/>
          <w:b/>
          <w:bCs/>
        </w:rPr>
        <w:fldChar w:fldCharType="end"/>
      </w:r>
    </w:p>
    <w:p w14:paraId="58772F73" w14:textId="77777777" w:rsidR="00332B4D" w:rsidRPr="00860089" w:rsidRDefault="00332B4D">
      <w:pPr>
        <w:rPr>
          <w:rFonts w:ascii="Garamond" w:hAnsi="Garamond"/>
          <w:b/>
          <w:bCs/>
        </w:rPr>
      </w:pPr>
    </w:p>
    <w:sectPr w:rsidR="00332B4D" w:rsidRPr="00860089" w:rsidSect="008A6B90">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or Claverie Johns Taff" w:date="2023-03-14T20:28:00Z" w:initials="CT">
    <w:p w14:paraId="77EBB21C" w14:textId="0BFFFB0C" w:rsidR="000D44A7" w:rsidRDefault="000D44A7">
      <w:pPr>
        <w:pStyle w:val="CommentText"/>
      </w:pPr>
      <w:r>
        <w:rPr>
          <w:rStyle w:val="CommentReference"/>
        </w:rPr>
        <w:annotationRef/>
      </w:r>
      <w:r>
        <w:t>This is really a line that could be like two sentences (we sent for processing to a company EpigenDX) or a very long and convoluted description of everything we did from NGS with smaller subset to examining lots of potential primer pairs and picking out those that seemed promising….</w:t>
      </w:r>
      <w:r w:rsidR="006C5C90">
        <w:t>i guess reviewers will probably ask for at least some of this since it isn’t clear otherwise why we end up with the cpg sites that we have here.</w:t>
      </w:r>
    </w:p>
    <w:p w14:paraId="76BABB22" w14:textId="77777777" w:rsidR="001A5455" w:rsidRDefault="001A5455">
      <w:pPr>
        <w:pStyle w:val="CommentText"/>
      </w:pPr>
    </w:p>
    <w:p w14:paraId="766117AE" w14:textId="77777777" w:rsidR="001A5455" w:rsidRDefault="001A5455">
      <w:pPr>
        <w:pStyle w:val="CommentText"/>
      </w:pPr>
      <w:r>
        <w:t>Maybe we also want some kind of supplemental table describing the assays/primer pairs and where they are in the genes. I’m not sure that we have the full set of pyro conditions for each assay since they were all optimized at epigendx.</w:t>
      </w:r>
    </w:p>
    <w:p w14:paraId="0B48CD6F" w14:textId="77777777" w:rsidR="00E662ED" w:rsidRDefault="00E662ED">
      <w:pPr>
        <w:pStyle w:val="CommentText"/>
      </w:pPr>
    </w:p>
    <w:p w14:paraId="5D697FFA" w14:textId="05D65A09" w:rsidR="00E662ED" w:rsidRDefault="00E662ED">
      <w:pPr>
        <w:pStyle w:val="CommentText"/>
      </w:pPr>
    </w:p>
  </w:comment>
  <w:comment w:id="1" w:author="Maren Vitousek" w:date="2023-03-30T10:41:00Z" w:initials="MV">
    <w:p w14:paraId="602F6668" w14:textId="5FB73EA8" w:rsidR="00E662ED" w:rsidRDefault="00E662ED">
      <w:pPr>
        <w:pStyle w:val="CommentText"/>
      </w:pPr>
      <w:r>
        <w:rPr>
          <w:rStyle w:val="CommentReference"/>
        </w:rPr>
        <w:annotationRef/>
      </w:r>
      <w:r>
        <w:t xml:space="preserve">They never sent all that info, right, despite our repeated requests? But I do think that more info about the assays and primer pairs, and at least a little more info about how we selected those sites would be a good idea. </w:t>
      </w:r>
    </w:p>
  </w:comment>
  <w:comment w:id="2" w:author="Conor Claverie Johns Taff" w:date="2023-03-15T12:09:00Z" w:initials="CT">
    <w:p w14:paraId="23F05D9B" w14:textId="7E899F8E" w:rsidR="006C5C90" w:rsidRDefault="006C5C90">
      <w:pPr>
        <w:pStyle w:val="CommentText"/>
      </w:pPr>
      <w:r>
        <w:rPr>
          <w:rStyle w:val="CommentReference"/>
        </w:rPr>
        <w:annotationRef/>
      </w:r>
      <w:r>
        <w:t>Describe filtering somewhere? Is this just filtered for working and minimum number of reads?</w:t>
      </w:r>
    </w:p>
  </w:comment>
  <w:comment w:id="3" w:author="Conor Claverie Johns Taff" w:date="2023-04-04T11:24:00Z" w:initials="CT">
    <w:p w14:paraId="405EADE5" w14:textId="0C669C83" w:rsidR="00102DA1" w:rsidRDefault="00102DA1">
      <w:pPr>
        <w:pStyle w:val="CommentText"/>
      </w:pPr>
      <w:r>
        <w:rPr>
          <w:rStyle w:val="CommentReference"/>
        </w:rPr>
        <w:annotationRef/>
      </w:r>
      <w:r>
        <w:t xml:space="preserve">I’m pretty sure </w:t>
      </w:r>
      <w:r>
        <w:t>epigen reported results if the assay worked and had a minimum of 10 reads.</w:t>
      </w:r>
    </w:p>
  </w:comment>
  <w:comment w:id="4" w:author="McNew, Sabrina - (mcnew)" w:date="2023-03-31T13:37:00Z" w:initials="MS(">
    <w:p w14:paraId="151DB084" w14:textId="77777777" w:rsidR="00D62BC3" w:rsidRDefault="0027064C" w:rsidP="0050672E">
      <w:r>
        <w:rPr>
          <w:rStyle w:val="CommentReference"/>
        </w:rPr>
        <w:annotationRef/>
      </w:r>
      <w:r w:rsidR="00D62BC3">
        <w:rPr>
          <w:sz w:val="20"/>
          <w:szCs w:val="20"/>
        </w:rPr>
        <w:t>We didn’t see consistent differences in cort between treatments, but there were a lot of treatments and interactions, so it’s possible we didn’t detect the difference. But I think it’s worth reporting that there was a (admittedly tenuous) correlation between methylation in CRHR1 and cort. So even though it’s not airtight, I think the data are consistent with the treatment altering methylation, and that methylation changing something about the HPA axis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97FFA" w15:done="0"/>
  <w15:commentEx w15:paraId="602F6668" w15:paraIdParent="5D697FFA" w15:done="0"/>
  <w15:commentEx w15:paraId="23F05D9B" w15:done="0"/>
  <w15:commentEx w15:paraId="405EADE5" w15:paraIdParent="23F05D9B" w15:done="0"/>
  <w15:commentEx w15:paraId="151DB0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B5750" w16cex:dateUtc="2023-03-15T00:28:00Z"/>
  <w16cex:commentExtensible w16cex:durableId="27CFE5CD" w16cex:dateUtc="2023-03-30T14:41:00Z"/>
  <w16cex:commentExtensible w16cex:durableId="27BC33EA" w16cex:dateUtc="2023-03-15T16:09:00Z"/>
  <w16cex:commentExtensible w16cex:durableId="27D68769" w16cex:dateUtc="2023-04-04T15:24:00Z"/>
  <w16cex:commentExtensible w16cex:durableId="27D1609E" w16cex:dateUtc="2023-03-3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97FFA" w16cid:durableId="27BB5750"/>
  <w16cid:commentId w16cid:paraId="602F6668" w16cid:durableId="27CFE5CD"/>
  <w16cid:commentId w16cid:paraId="23F05D9B" w16cid:durableId="27BC33EA"/>
  <w16cid:commentId w16cid:paraId="405EADE5" w16cid:durableId="27D68769"/>
  <w16cid:commentId w16cid:paraId="151DB084" w16cid:durableId="27D160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CBC4" w14:textId="77777777" w:rsidR="006E3A95" w:rsidRDefault="006E3A95" w:rsidP="001B1CB8">
      <w:r>
        <w:separator/>
      </w:r>
    </w:p>
  </w:endnote>
  <w:endnote w:type="continuationSeparator" w:id="0">
    <w:p w14:paraId="25B65CF9" w14:textId="77777777" w:rsidR="006E3A95" w:rsidRDefault="006E3A95" w:rsidP="001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548640"/>
      <w:docPartObj>
        <w:docPartGallery w:val="Page Numbers (Bottom of Page)"/>
        <w:docPartUnique/>
      </w:docPartObj>
    </w:sdtPr>
    <w:sdtContent>
      <w:p w14:paraId="7838FC1F" w14:textId="06D2E1EC"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6124E" w14:textId="77777777" w:rsidR="001B1CB8" w:rsidRDefault="001B1CB8" w:rsidP="001B1C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976830"/>
      <w:docPartObj>
        <w:docPartGallery w:val="Page Numbers (Bottom of Page)"/>
        <w:docPartUnique/>
      </w:docPartObj>
    </w:sdtPr>
    <w:sdtContent>
      <w:p w14:paraId="4FBBCED8" w14:textId="638BF44A" w:rsidR="001B1CB8" w:rsidRDefault="001B1CB8" w:rsidP="00BA52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83CF7E" w14:textId="77777777" w:rsidR="001B1CB8" w:rsidRDefault="001B1CB8" w:rsidP="001B1C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8E41" w14:textId="77777777" w:rsidR="006E3A95" w:rsidRDefault="006E3A95" w:rsidP="001B1CB8">
      <w:r>
        <w:separator/>
      </w:r>
    </w:p>
  </w:footnote>
  <w:footnote w:type="continuationSeparator" w:id="0">
    <w:p w14:paraId="20D92D68" w14:textId="77777777" w:rsidR="006E3A95" w:rsidRDefault="006E3A95" w:rsidP="001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11F2"/>
    <w:multiLevelType w:val="hybridMultilevel"/>
    <w:tmpl w:val="5796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A2E7E"/>
    <w:multiLevelType w:val="hybridMultilevel"/>
    <w:tmpl w:val="0F8A7748"/>
    <w:lvl w:ilvl="0" w:tplc="6FB86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668A6"/>
    <w:multiLevelType w:val="hybridMultilevel"/>
    <w:tmpl w:val="0D9A2608"/>
    <w:lvl w:ilvl="0" w:tplc="76E22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432889">
    <w:abstractNumId w:val="1"/>
  </w:num>
  <w:num w:numId="2" w16cid:durableId="1095320241">
    <w:abstractNumId w:val="2"/>
  </w:num>
  <w:num w:numId="3" w16cid:durableId="852841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or Claverie Johns Taff">
    <w15:presenceInfo w15:providerId="AD" w15:userId="S::cct63@cornell.edu::fe341b8d-d275-43b2-8957-330240ca777c"/>
  </w15:person>
  <w15:person w15:author="Maren Vitousek">
    <w15:presenceInfo w15:providerId="Windows Live" w15:userId="ac8d5558db3f8fb9"/>
  </w15:person>
  <w15:person w15:author="McNew, Sabrina - (mcnew)">
    <w15:presenceInfo w15:providerId="AD" w15:userId="S::mcnew@arizona.edu::33a2b7ff-e6ee-4063-9893-f481d13d9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3"/>
    <w:rsid w:val="000043EA"/>
    <w:rsid w:val="0000673A"/>
    <w:rsid w:val="00012149"/>
    <w:rsid w:val="00012A73"/>
    <w:rsid w:val="00024E60"/>
    <w:rsid w:val="00032B91"/>
    <w:rsid w:val="00040707"/>
    <w:rsid w:val="00044CE0"/>
    <w:rsid w:val="00047EBD"/>
    <w:rsid w:val="000543F1"/>
    <w:rsid w:val="00055ABC"/>
    <w:rsid w:val="00057C74"/>
    <w:rsid w:val="0006720B"/>
    <w:rsid w:val="00073A8B"/>
    <w:rsid w:val="00080478"/>
    <w:rsid w:val="00082B79"/>
    <w:rsid w:val="00084C4B"/>
    <w:rsid w:val="00086B34"/>
    <w:rsid w:val="000925A5"/>
    <w:rsid w:val="0009497C"/>
    <w:rsid w:val="000A2581"/>
    <w:rsid w:val="000A3882"/>
    <w:rsid w:val="000B6FE3"/>
    <w:rsid w:val="000B73D9"/>
    <w:rsid w:val="000D44A7"/>
    <w:rsid w:val="000E3252"/>
    <w:rsid w:val="000E3AAB"/>
    <w:rsid w:val="000E4C6D"/>
    <w:rsid w:val="000E5DCE"/>
    <w:rsid w:val="000E740C"/>
    <w:rsid w:val="000E74E0"/>
    <w:rsid w:val="000F2E2C"/>
    <w:rsid w:val="000F41D0"/>
    <w:rsid w:val="000F5CDC"/>
    <w:rsid w:val="000F63F7"/>
    <w:rsid w:val="000F6DF3"/>
    <w:rsid w:val="000F724E"/>
    <w:rsid w:val="00102DA1"/>
    <w:rsid w:val="00103A10"/>
    <w:rsid w:val="00105F07"/>
    <w:rsid w:val="001113AF"/>
    <w:rsid w:val="0011178B"/>
    <w:rsid w:val="00111BEE"/>
    <w:rsid w:val="00114608"/>
    <w:rsid w:val="001324EF"/>
    <w:rsid w:val="0013345F"/>
    <w:rsid w:val="00135F4D"/>
    <w:rsid w:val="00146C6F"/>
    <w:rsid w:val="001622A3"/>
    <w:rsid w:val="001702D6"/>
    <w:rsid w:val="00170593"/>
    <w:rsid w:val="00173E91"/>
    <w:rsid w:val="00176837"/>
    <w:rsid w:val="001804FA"/>
    <w:rsid w:val="00183C44"/>
    <w:rsid w:val="00195B17"/>
    <w:rsid w:val="00195D23"/>
    <w:rsid w:val="001A2291"/>
    <w:rsid w:val="001A5455"/>
    <w:rsid w:val="001A6812"/>
    <w:rsid w:val="001B1CB8"/>
    <w:rsid w:val="001B5AA0"/>
    <w:rsid w:val="001B6139"/>
    <w:rsid w:val="001C5AF2"/>
    <w:rsid w:val="001C605D"/>
    <w:rsid w:val="001C6746"/>
    <w:rsid w:val="001C72D1"/>
    <w:rsid w:val="001D00C8"/>
    <w:rsid w:val="001D047E"/>
    <w:rsid w:val="001D3660"/>
    <w:rsid w:val="001D7D35"/>
    <w:rsid w:val="001E2F3F"/>
    <w:rsid w:val="001E3803"/>
    <w:rsid w:val="001E4A22"/>
    <w:rsid w:val="001E7F93"/>
    <w:rsid w:val="001F1082"/>
    <w:rsid w:val="001F1870"/>
    <w:rsid w:val="001F1ED9"/>
    <w:rsid w:val="001F20F0"/>
    <w:rsid w:val="001F2CCB"/>
    <w:rsid w:val="00203727"/>
    <w:rsid w:val="00205391"/>
    <w:rsid w:val="0020644C"/>
    <w:rsid w:val="002075F1"/>
    <w:rsid w:val="00211A40"/>
    <w:rsid w:val="00211D20"/>
    <w:rsid w:val="002125B4"/>
    <w:rsid w:val="00215DD2"/>
    <w:rsid w:val="0022311C"/>
    <w:rsid w:val="0023066E"/>
    <w:rsid w:val="002310FC"/>
    <w:rsid w:val="002464D4"/>
    <w:rsid w:val="0025729F"/>
    <w:rsid w:val="00263980"/>
    <w:rsid w:val="0026781A"/>
    <w:rsid w:val="00270318"/>
    <w:rsid w:val="0027064C"/>
    <w:rsid w:val="00271924"/>
    <w:rsid w:val="00273BE7"/>
    <w:rsid w:val="00280FC7"/>
    <w:rsid w:val="00281957"/>
    <w:rsid w:val="00281F70"/>
    <w:rsid w:val="002865A8"/>
    <w:rsid w:val="002A170A"/>
    <w:rsid w:val="002C64B7"/>
    <w:rsid w:val="002D3895"/>
    <w:rsid w:val="002E0CE8"/>
    <w:rsid w:val="002E370D"/>
    <w:rsid w:val="002E488E"/>
    <w:rsid w:val="002F2C58"/>
    <w:rsid w:val="00303002"/>
    <w:rsid w:val="003071F3"/>
    <w:rsid w:val="00310E55"/>
    <w:rsid w:val="00311F3F"/>
    <w:rsid w:val="00324D24"/>
    <w:rsid w:val="00325B6E"/>
    <w:rsid w:val="00330855"/>
    <w:rsid w:val="00332B4D"/>
    <w:rsid w:val="00337B14"/>
    <w:rsid w:val="0035386E"/>
    <w:rsid w:val="00362056"/>
    <w:rsid w:val="00362562"/>
    <w:rsid w:val="003652BF"/>
    <w:rsid w:val="0036531F"/>
    <w:rsid w:val="0037483D"/>
    <w:rsid w:val="00375FDF"/>
    <w:rsid w:val="003973F1"/>
    <w:rsid w:val="003A5C71"/>
    <w:rsid w:val="003A6D17"/>
    <w:rsid w:val="003B220F"/>
    <w:rsid w:val="003B41A3"/>
    <w:rsid w:val="003B4D1C"/>
    <w:rsid w:val="003B52B5"/>
    <w:rsid w:val="003B62EB"/>
    <w:rsid w:val="003C7027"/>
    <w:rsid w:val="003C77D6"/>
    <w:rsid w:val="003C7CA9"/>
    <w:rsid w:val="003D00AB"/>
    <w:rsid w:val="003D08E0"/>
    <w:rsid w:val="003D6CB5"/>
    <w:rsid w:val="003D6E03"/>
    <w:rsid w:val="003E0D12"/>
    <w:rsid w:val="003E5A48"/>
    <w:rsid w:val="003F0E9E"/>
    <w:rsid w:val="003F5D22"/>
    <w:rsid w:val="003F61D3"/>
    <w:rsid w:val="003F69B1"/>
    <w:rsid w:val="0040175D"/>
    <w:rsid w:val="004020DD"/>
    <w:rsid w:val="004048EF"/>
    <w:rsid w:val="00404A7E"/>
    <w:rsid w:val="00407B76"/>
    <w:rsid w:val="00415E30"/>
    <w:rsid w:val="00416CCC"/>
    <w:rsid w:val="00416E62"/>
    <w:rsid w:val="00416F57"/>
    <w:rsid w:val="004322F6"/>
    <w:rsid w:val="00434AD4"/>
    <w:rsid w:val="00435D73"/>
    <w:rsid w:val="004421C9"/>
    <w:rsid w:val="004448CA"/>
    <w:rsid w:val="004458C0"/>
    <w:rsid w:val="004465AF"/>
    <w:rsid w:val="00462ECC"/>
    <w:rsid w:val="00470C22"/>
    <w:rsid w:val="00470CD0"/>
    <w:rsid w:val="004808F2"/>
    <w:rsid w:val="0049095B"/>
    <w:rsid w:val="00492259"/>
    <w:rsid w:val="00497E5B"/>
    <w:rsid w:val="004A2251"/>
    <w:rsid w:val="004A41E2"/>
    <w:rsid w:val="004B1926"/>
    <w:rsid w:val="004C559A"/>
    <w:rsid w:val="004C5CC0"/>
    <w:rsid w:val="004C5F27"/>
    <w:rsid w:val="004C619D"/>
    <w:rsid w:val="004C7DF6"/>
    <w:rsid w:val="004D3C23"/>
    <w:rsid w:val="004D56B8"/>
    <w:rsid w:val="004D63CC"/>
    <w:rsid w:val="004D7D58"/>
    <w:rsid w:val="004E0427"/>
    <w:rsid w:val="004E6E45"/>
    <w:rsid w:val="004E709C"/>
    <w:rsid w:val="004F2D46"/>
    <w:rsid w:val="004F3489"/>
    <w:rsid w:val="005005E6"/>
    <w:rsid w:val="00502A99"/>
    <w:rsid w:val="00503490"/>
    <w:rsid w:val="005040C1"/>
    <w:rsid w:val="005134DE"/>
    <w:rsid w:val="00517124"/>
    <w:rsid w:val="00521848"/>
    <w:rsid w:val="005313E7"/>
    <w:rsid w:val="00535D27"/>
    <w:rsid w:val="0053685F"/>
    <w:rsid w:val="00544BF7"/>
    <w:rsid w:val="00544CFA"/>
    <w:rsid w:val="00546748"/>
    <w:rsid w:val="0054740D"/>
    <w:rsid w:val="00547818"/>
    <w:rsid w:val="00550759"/>
    <w:rsid w:val="00551749"/>
    <w:rsid w:val="00554624"/>
    <w:rsid w:val="00561BCE"/>
    <w:rsid w:val="00583FB2"/>
    <w:rsid w:val="005856BB"/>
    <w:rsid w:val="00585A79"/>
    <w:rsid w:val="005A495D"/>
    <w:rsid w:val="005A5A62"/>
    <w:rsid w:val="005B522C"/>
    <w:rsid w:val="005B740C"/>
    <w:rsid w:val="005C2B0F"/>
    <w:rsid w:val="005C314B"/>
    <w:rsid w:val="005C560E"/>
    <w:rsid w:val="005C603A"/>
    <w:rsid w:val="005C73C0"/>
    <w:rsid w:val="005D03A9"/>
    <w:rsid w:val="005D05D0"/>
    <w:rsid w:val="005D1029"/>
    <w:rsid w:val="005D45A4"/>
    <w:rsid w:val="005E124B"/>
    <w:rsid w:val="005E4461"/>
    <w:rsid w:val="005F1020"/>
    <w:rsid w:val="005F175D"/>
    <w:rsid w:val="00603B67"/>
    <w:rsid w:val="006112E2"/>
    <w:rsid w:val="00615B6B"/>
    <w:rsid w:val="00623961"/>
    <w:rsid w:val="00623A9D"/>
    <w:rsid w:val="00624CD4"/>
    <w:rsid w:val="00636DA6"/>
    <w:rsid w:val="006414BE"/>
    <w:rsid w:val="00642984"/>
    <w:rsid w:val="00646128"/>
    <w:rsid w:val="006466F5"/>
    <w:rsid w:val="00651B9D"/>
    <w:rsid w:val="00654EE4"/>
    <w:rsid w:val="0066105F"/>
    <w:rsid w:val="0066233D"/>
    <w:rsid w:val="006663FF"/>
    <w:rsid w:val="00671835"/>
    <w:rsid w:val="006718A5"/>
    <w:rsid w:val="00672DD6"/>
    <w:rsid w:val="006737FE"/>
    <w:rsid w:val="00674807"/>
    <w:rsid w:val="00674E14"/>
    <w:rsid w:val="006874F8"/>
    <w:rsid w:val="00691227"/>
    <w:rsid w:val="006924D0"/>
    <w:rsid w:val="00693B00"/>
    <w:rsid w:val="006945CA"/>
    <w:rsid w:val="006A0AE1"/>
    <w:rsid w:val="006A233D"/>
    <w:rsid w:val="006A6531"/>
    <w:rsid w:val="006B29E3"/>
    <w:rsid w:val="006C5C90"/>
    <w:rsid w:val="006D6C56"/>
    <w:rsid w:val="006E3A95"/>
    <w:rsid w:val="006F1DC9"/>
    <w:rsid w:val="006F360F"/>
    <w:rsid w:val="006F40F1"/>
    <w:rsid w:val="00710B80"/>
    <w:rsid w:val="007110DB"/>
    <w:rsid w:val="00714FD4"/>
    <w:rsid w:val="00725C95"/>
    <w:rsid w:val="00740E5F"/>
    <w:rsid w:val="00741BAF"/>
    <w:rsid w:val="00741D73"/>
    <w:rsid w:val="00753000"/>
    <w:rsid w:val="007538BD"/>
    <w:rsid w:val="00755E43"/>
    <w:rsid w:val="00761F44"/>
    <w:rsid w:val="00765519"/>
    <w:rsid w:val="0078243A"/>
    <w:rsid w:val="00783F73"/>
    <w:rsid w:val="0078490C"/>
    <w:rsid w:val="00791B39"/>
    <w:rsid w:val="00791CEA"/>
    <w:rsid w:val="007A1F5C"/>
    <w:rsid w:val="007A5BE3"/>
    <w:rsid w:val="007A7108"/>
    <w:rsid w:val="007B5E1A"/>
    <w:rsid w:val="007C283B"/>
    <w:rsid w:val="007C4AAC"/>
    <w:rsid w:val="007C4D43"/>
    <w:rsid w:val="007C5456"/>
    <w:rsid w:val="007D11B9"/>
    <w:rsid w:val="007D4F13"/>
    <w:rsid w:val="007D4F9A"/>
    <w:rsid w:val="007E38EA"/>
    <w:rsid w:val="007F1D06"/>
    <w:rsid w:val="007F561E"/>
    <w:rsid w:val="007F5E13"/>
    <w:rsid w:val="007F7230"/>
    <w:rsid w:val="00801FBB"/>
    <w:rsid w:val="00804353"/>
    <w:rsid w:val="00812ED4"/>
    <w:rsid w:val="008150E7"/>
    <w:rsid w:val="0082084C"/>
    <w:rsid w:val="00821696"/>
    <w:rsid w:val="0082723F"/>
    <w:rsid w:val="00831D47"/>
    <w:rsid w:val="00833EC7"/>
    <w:rsid w:val="008361FA"/>
    <w:rsid w:val="00842387"/>
    <w:rsid w:val="008467BD"/>
    <w:rsid w:val="0084767C"/>
    <w:rsid w:val="008573D6"/>
    <w:rsid w:val="00860089"/>
    <w:rsid w:val="00862B7D"/>
    <w:rsid w:val="00862D04"/>
    <w:rsid w:val="00864005"/>
    <w:rsid w:val="0086615D"/>
    <w:rsid w:val="00873D01"/>
    <w:rsid w:val="00875CC0"/>
    <w:rsid w:val="008806CF"/>
    <w:rsid w:val="008809EC"/>
    <w:rsid w:val="00882A85"/>
    <w:rsid w:val="0088423E"/>
    <w:rsid w:val="00884308"/>
    <w:rsid w:val="0088665B"/>
    <w:rsid w:val="00886D6E"/>
    <w:rsid w:val="0088707A"/>
    <w:rsid w:val="00887B80"/>
    <w:rsid w:val="00890032"/>
    <w:rsid w:val="00896D26"/>
    <w:rsid w:val="008A1CE8"/>
    <w:rsid w:val="008A61BC"/>
    <w:rsid w:val="008A6683"/>
    <w:rsid w:val="008A6B90"/>
    <w:rsid w:val="008A7CFD"/>
    <w:rsid w:val="008B207E"/>
    <w:rsid w:val="008B71C1"/>
    <w:rsid w:val="008C3D51"/>
    <w:rsid w:val="008C56C6"/>
    <w:rsid w:val="008C6AA0"/>
    <w:rsid w:val="008D46A7"/>
    <w:rsid w:val="008E0506"/>
    <w:rsid w:val="008E0578"/>
    <w:rsid w:val="008E3500"/>
    <w:rsid w:val="008E7C27"/>
    <w:rsid w:val="008F1101"/>
    <w:rsid w:val="00900C04"/>
    <w:rsid w:val="0090209F"/>
    <w:rsid w:val="00904A64"/>
    <w:rsid w:val="00911E06"/>
    <w:rsid w:val="009128B4"/>
    <w:rsid w:val="00916768"/>
    <w:rsid w:val="009177AA"/>
    <w:rsid w:val="0092265C"/>
    <w:rsid w:val="00926574"/>
    <w:rsid w:val="009325C7"/>
    <w:rsid w:val="009373F8"/>
    <w:rsid w:val="009434CF"/>
    <w:rsid w:val="009508D1"/>
    <w:rsid w:val="00953EF8"/>
    <w:rsid w:val="0095502C"/>
    <w:rsid w:val="00956208"/>
    <w:rsid w:val="00957C65"/>
    <w:rsid w:val="009702AF"/>
    <w:rsid w:val="00971814"/>
    <w:rsid w:val="00971AD6"/>
    <w:rsid w:val="00985446"/>
    <w:rsid w:val="009A5DEA"/>
    <w:rsid w:val="009B17E9"/>
    <w:rsid w:val="009B2313"/>
    <w:rsid w:val="009B409C"/>
    <w:rsid w:val="009B62FE"/>
    <w:rsid w:val="009C0CB1"/>
    <w:rsid w:val="009C145F"/>
    <w:rsid w:val="009C275C"/>
    <w:rsid w:val="009C4E9F"/>
    <w:rsid w:val="009D0A11"/>
    <w:rsid w:val="009F11E4"/>
    <w:rsid w:val="009F78DD"/>
    <w:rsid w:val="00A07FDF"/>
    <w:rsid w:val="00A13CBD"/>
    <w:rsid w:val="00A1463C"/>
    <w:rsid w:val="00A32717"/>
    <w:rsid w:val="00A32909"/>
    <w:rsid w:val="00A41226"/>
    <w:rsid w:val="00A41888"/>
    <w:rsid w:val="00A41F91"/>
    <w:rsid w:val="00A42E95"/>
    <w:rsid w:val="00A44490"/>
    <w:rsid w:val="00A467C9"/>
    <w:rsid w:val="00A47954"/>
    <w:rsid w:val="00A5364A"/>
    <w:rsid w:val="00A56CE6"/>
    <w:rsid w:val="00A60C83"/>
    <w:rsid w:val="00A623BB"/>
    <w:rsid w:val="00A66316"/>
    <w:rsid w:val="00A70619"/>
    <w:rsid w:val="00A7662C"/>
    <w:rsid w:val="00A91CB2"/>
    <w:rsid w:val="00A95EDB"/>
    <w:rsid w:val="00A97206"/>
    <w:rsid w:val="00AA15EE"/>
    <w:rsid w:val="00AA7DAF"/>
    <w:rsid w:val="00AC640C"/>
    <w:rsid w:val="00AD08AD"/>
    <w:rsid w:val="00AD76EE"/>
    <w:rsid w:val="00AE7669"/>
    <w:rsid w:val="00AE7FF7"/>
    <w:rsid w:val="00AF2440"/>
    <w:rsid w:val="00AF7B1E"/>
    <w:rsid w:val="00B00C3A"/>
    <w:rsid w:val="00B01F4F"/>
    <w:rsid w:val="00B0664E"/>
    <w:rsid w:val="00B07466"/>
    <w:rsid w:val="00B10AFA"/>
    <w:rsid w:val="00B10FCB"/>
    <w:rsid w:val="00B1131A"/>
    <w:rsid w:val="00B16658"/>
    <w:rsid w:val="00B20536"/>
    <w:rsid w:val="00B228BE"/>
    <w:rsid w:val="00B22B53"/>
    <w:rsid w:val="00B36623"/>
    <w:rsid w:val="00B37815"/>
    <w:rsid w:val="00B42078"/>
    <w:rsid w:val="00B4400E"/>
    <w:rsid w:val="00B52C35"/>
    <w:rsid w:val="00B53176"/>
    <w:rsid w:val="00B6138D"/>
    <w:rsid w:val="00B664B4"/>
    <w:rsid w:val="00B8144A"/>
    <w:rsid w:val="00B8192C"/>
    <w:rsid w:val="00B867B3"/>
    <w:rsid w:val="00B95403"/>
    <w:rsid w:val="00B969AB"/>
    <w:rsid w:val="00BA2AA2"/>
    <w:rsid w:val="00BA628E"/>
    <w:rsid w:val="00BB09CF"/>
    <w:rsid w:val="00BB0D42"/>
    <w:rsid w:val="00BC7990"/>
    <w:rsid w:val="00BD0C2A"/>
    <w:rsid w:val="00BD12C7"/>
    <w:rsid w:val="00BD5794"/>
    <w:rsid w:val="00BE33A7"/>
    <w:rsid w:val="00BE55C8"/>
    <w:rsid w:val="00BE5EB0"/>
    <w:rsid w:val="00BE7F74"/>
    <w:rsid w:val="00BF0EAF"/>
    <w:rsid w:val="00BF5B03"/>
    <w:rsid w:val="00BF6B87"/>
    <w:rsid w:val="00BF72F0"/>
    <w:rsid w:val="00C032AE"/>
    <w:rsid w:val="00C10547"/>
    <w:rsid w:val="00C11A79"/>
    <w:rsid w:val="00C137F1"/>
    <w:rsid w:val="00C14AA1"/>
    <w:rsid w:val="00C20857"/>
    <w:rsid w:val="00C22D9C"/>
    <w:rsid w:val="00C25436"/>
    <w:rsid w:val="00C26F7D"/>
    <w:rsid w:val="00C33025"/>
    <w:rsid w:val="00C40DE7"/>
    <w:rsid w:val="00C41CCB"/>
    <w:rsid w:val="00C462A0"/>
    <w:rsid w:val="00C46300"/>
    <w:rsid w:val="00C47AF3"/>
    <w:rsid w:val="00C47BFE"/>
    <w:rsid w:val="00C50878"/>
    <w:rsid w:val="00C54984"/>
    <w:rsid w:val="00C56080"/>
    <w:rsid w:val="00C57952"/>
    <w:rsid w:val="00C603F1"/>
    <w:rsid w:val="00C66878"/>
    <w:rsid w:val="00C673B4"/>
    <w:rsid w:val="00C70010"/>
    <w:rsid w:val="00C70B77"/>
    <w:rsid w:val="00C75D1D"/>
    <w:rsid w:val="00C75E20"/>
    <w:rsid w:val="00C904CE"/>
    <w:rsid w:val="00C92EFD"/>
    <w:rsid w:val="00C964B5"/>
    <w:rsid w:val="00CA0286"/>
    <w:rsid w:val="00CA2F0F"/>
    <w:rsid w:val="00CA33D8"/>
    <w:rsid w:val="00CB4619"/>
    <w:rsid w:val="00CB5942"/>
    <w:rsid w:val="00CB6934"/>
    <w:rsid w:val="00CC2E12"/>
    <w:rsid w:val="00CC3773"/>
    <w:rsid w:val="00CC396B"/>
    <w:rsid w:val="00CC454F"/>
    <w:rsid w:val="00CC7336"/>
    <w:rsid w:val="00CD1648"/>
    <w:rsid w:val="00CD30AF"/>
    <w:rsid w:val="00CE0897"/>
    <w:rsid w:val="00CE52FE"/>
    <w:rsid w:val="00CF7B1D"/>
    <w:rsid w:val="00D03776"/>
    <w:rsid w:val="00D113E0"/>
    <w:rsid w:val="00D1544C"/>
    <w:rsid w:val="00D16E8D"/>
    <w:rsid w:val="00D17B15"/>
    <w:rsid w:val="00D17EA3"/>
    <w:rsid w:val="00D276CD"/>
    <w:rsid w:val="00D40F42"/>
    <w:rsid w:val="00D47E23"/>
    <w:rsid w:val="00D514D1"/>
    <w:rsid w:val="00D62BC3"/>
    <w:rsid w:val="00D6353F"/>
    <w:rsid w:val="00D65186"/>
    <w:rsid w:val="00D73CF7"/>
    <w:rsid w:val="00D763F4"/>
    <w:rsid w:val="00D804DD"/>
    <w:rsid w:val="00D93BF6"/>
    <w:rsid w:val="00D94680"/>
    <w:rsid w:val="00DA0BBD"/>
    <w:rsid w:val="00DA6823"/>
    <w:rsid w:val="00DA75FE"/>
    <w:rsid w:val="00DB5656"/>
    <w:rsid w:val="00DB566F"/>
    <w:rsid w:val="00DB7449"/>
    <w:rsid w:val="00DC5FD2"/>
    <w:rsid w:val="00DD184C"/>
    <w:rsid w:val="00DE23B0"/>
    <w:rsid w:val="00DE243C"/>
    <w:rsid w:val="00DE4DD1"/>
    <w:rsid w:val="00DE6B47"/>
    <w:rsid w:val="00DE7444"/>
    <w:rsid w:val="00DF0171"/>
    <w:rsid w:val="00DF0D9A"/>
    <w:rsid w:val="00E02D81"/>
    <w:rsid w:val="00E03B32"/>
    <w:rsid w:val="00E03BB6"/>
    <w:rsid w:val="00E04239"/>
    <w:rsid w:val="00E048BB"/>
    <w:rsid w:val="00E128AC"/>
    <w:rsid w:val="00E162C2"/>
    <w:rsid w:val="00E164E3"/>
    <w:rsid w:val="00E16D74"/>
    <w:rsid w:val="00E27B69"/>
    <w:rsid w:val="00E370A0"/>
    <w:rsid w:val="00E37303"/>
    <w:rsid w:val="00E42CFD"/>
    <w:rsid w:val="00E42D7D"/>
    <w:rsid w:val="00E44E90"/>
    <w:rsid w:val="00E46E7D"/>
    <w:rsid w:val="00E5107A"/>
    <w:rsid w:val="00E554BC"/>
    <w:rsid w:val="00E55E5C"/>
    <w:rsid w:val="00E61110"/>
    <w:rsid w:val="00E611A6"/>
    <w:rsid w:val="00E649C1"/>
    <w:rsid w:val="00E662ED"/>
    <w:rsid w:val="00E707C2"/>
    <w:rsid w:val="00E75B2B"/>
    <w:rsid w:val="00E8538E"/>
    <w:rsid w:val="00E90DF1"/>
    <w:rsid w:val="00E90E94"/>
    <w:rsid w:val="00E96C96"/>
    <w:rsid w:val="00EB3709"/>
    <w:rsid w:val="00EB3BD6"/>
    <w:rsid w:val="00EC0105"/>
    <w:rsid w:val="00EC1F73"/>
    <w:rsid w:val="00EC4E77"/>
    <w:rsid w:val="00ED2458"/>
    <w:rsid w:val="00ED5B90"/>
    <w:rsid w:val="00ED6CFD"/>
    <w:rsid w:val="00EF0636"/>
    <w:rsid w:val="00EF339D"/>
    <w:rsid w:val="00EF375C"/>
    <w:rsid w:val="00EF51C9"/>
    <w:rsid w:val="00F1064C"/>
    <w:rsid w:val="00F138E4"/>
    <w:rsid w:val="00F16054"/>
    <w:rsid w:val="00F21BD7"/>
    <w:rsid w:val="00F24F23"/>
    <w:rsid w:val="00F2636A"/>
    <w:rsid w:val="00F26564"/>
    <w:rsid w:val="00F35741"/>
    <w:rsid w:val="00F37D6C"/>
    <w:rsid w:val="00F44FF3"/>
    <w:rsid w:val="00F453BF"/>
    <w:rsid w:val="00F45E11"/>
    <w:rsid w:val="00F46390"/>
    <w:rsid w:val="00F529C2"/>
    <w:rsid w:val="00F54F00"/>
    <w:rsid w:val="00F606B4"/>
    <w:rsid w:val="00F6479A"/>
    <w:rsid w:val="00F6630B"/>
    <w:rsid w:val="00F66BDC"/>
    <w:rsid w:val="00F77677"/>
    <w:rsid w:val="00F778C5"/>
    <w:rsid w:val="00F80A24"/>
    <w:rsid w:val="00F87187"/>
    <w:rsid w:val="00F900B4"/>
    <w:rsid w:val="00F97ACC"/>
    <w:rsid w:val="00FA01FF"/>
    <w:rsid w:val="00FB7CB0"/>
    <w:rsid w:val="00FC1030"/>
    <w:rsid w:val="00FC2445"/>
    <w:rsid w:val="00FC66CB"/>
    <w:rsid w:val="00FD624D"/>
    <w:rsid w:val="00FE2A53"/>
    <w:rsid w:val="00FE3B42"/>
    <w:rsid w:val="00FE3DE5"/>
    <w:rsid w:val="00FF5147"/>
    <w:rsid w:val="00FF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AF4"/>
  <w15:chartTrackingRefBased/>
  <w15:docId w15:val="{9AA9A126-0B4C-A942-9A6B-89A8AAC5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D0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0A0"/>
    <w:rPr>
      <w:color w:val="0563C1" w:themeColor="hyperlink"/>
      <w:u w:val="single"/>
    </w:rPr>
  </w:style>
  <w:style w:type="character" w:styleId="UnresolvedMention">
    <w:name w:val="Unresolved Mention"/>
    <w:basedOn w:val="DefaultParagraphFont"/>
    <w:uiPriority w:val="99"/>
    <w:semiHidden/>
    <w:unhideWhenUsed/>
    <w:rsid w:val="00E370A0"/>
    <w:rPr>
      <w:color w:val="605E5C"/>
      <w:shd w:val="clear" w:color="auto" w:fill="E1DFDD"/>
    </w:rPr>
  </w:style>
  <w:style w:type="paragraph" w:styleId="NoSpacing">
    <w:name w:val="No Spacing"/>
    <w:uiPriority w:val="1"/>
    <w:qFormat/>
    <w:rsid w:val="00904A64"/>
    <w:rPr>
      <w:rFonts w:ascii="Times New Roman" w:eastAsiaTheme="minorEastAsia" w:hAnsi="Times New Roman" w:cs="Times New Roman"/>
      <w:lang w:eastAsia="ja-JP"/>
    </w:rPr>
  </w:style>
  <w:style w:type="paragraph" w:styleId="Footer">
    <w:name w:val="footer"/>
    <w:basedOn w:val="Normal"/>
    <w:link w:val="FooterChar"/>
    <w:uiPriority w:val="99"/>
    <w:unhideWhenUsed/>
    <w:rsid w:val="001B1CB8"/>
    <w:pPr>
      <w:tabs>
        <w:tab w:val="center" w:pos="4680"/>
        <w:tab w:val="right" w:pos="9360"/>
      </w:tabs>
    </w:pPr>
  </w:style>
  <w:style w:type="character" w:customStyle="1" w:styleId="FooterChar">
    <w:name w:val="Footer Char"/>
    <w:basedOn w:val="DefaultParagraphFont"/>
    <w:link w:val="Footer"/>
    <w:uiPriority w:val="99"/>
    <w:rsid w:val="001B1CB8"/>
  </w:style>
  <w:style w:type="character" w:styleId="PageNumber">
    <w:name w:val="page number"/>
    <w:basedOn w:val="DefaultParagraphFont"/>
    <w:uiPriority w:val="99"/>
    <w:semiHidden/>
    <w:unhideWhenUsed/>
    <w:rsid w:val="001B1CB8"/>
  </w:style>
  <w:style w:type="character" w:styleId="CommentReference">
    <w:name w:val="annotation reference"/>
    <w:basedOn w:val="DefaultParagraphFont"/>
    <w:uiPriority w:val="99"/>
    <w:semiHidden/>
    <w:unhideWhenUsed/>
    <w:rsid w:val="000A2581"/>
    <w:rPr>
      <w:sz w:val="16"/>
      <w:szCs w:val="16"/>
    </w:rPr>
  </w:style>
  <w:style w:type="paragraph" w:styleId="CommentText">
    <w:name w:val="annotation text"/>
    <w:basedOn w:val="Normal"/>
    <w:link w:val="CommentTextChar"/>
    <w:uiPriority w:val="99"/>
    <w:unhideWhenUsed/>
    <w:rsid w:val="000A2581"/>
    <w:rPr>
      <w:sz w:val="20"/>
      <w:szCs w:val="20"/>
    </w:rPr>
  </w:style>
  <w:style w:type="character" w:customStyle="1" w:styleId="CommentTextChar">
    <w:name w:val="Comment Text Char"/>
    <w:basedOn w:val="DefaultParagraphFont"/>
    <w:link w:val="CommentText"/>
    <w:uiPriority w:val="99"/>
    <w:rsid w:val="000A2581"/>
    <w:rPr>
      <w:sz w:val="20"/>
      <w:szCs w:val="20"/>
    </w:rPr>
  </w:style>
  <w:style w:type="paragraph" w:styleId="CommentSubject">
    <w:name w:val="annotation subject"/>
    <w:basedOn w:val="CommentText"/>
    <w:next w:val="CommentText"/>
    <w:link w:val="CommentSubjectChar"/>
    <w:uiPriority w:val="99"/>
    <w:semiHidden/>
    <w:unhideWhenUsed/>
    <w:rsid w:val="000A2581"/>
    <w:rPr>
      <w:b/>
      <w:bCs/>
    </w:rPr>
  </w:style>
  <w:style w:type="character" w:customStyle="1" w:styleId="CommentSubjectChar">
    <w:name w:val="Comment Subject Char"/>
    <w:basedOn w:val="CommentTextChar"/>
    <w:link w:val="CommentSubject"/>
    <w:uiPriority w:val="99"/>
    <w:semiHidden/>
    <w:rsid w:val="000A2581"/>
    <w:rPr>
      <w:b/>
      <w:bCs/>
      <w:sz w:val="20"/>
      <w:szCs w:val="20"/>
    </w:rPr>
  </w:style>
  <w:style w:type="paragraph" w:styleId="ListParagraph">
    <w:name w:val="List Paragraph"/>
    <w:basedOn w:val="Normal"/>
    <w:uiPriority w:val="34"/>
    <w:qFormat/>
    <w:rsid w:val="000A2581"/>
    <w:pPr>
      <w:ind w:left="720"/>
      <w:contextualSpacing/>
    </w:pPr>
  </w:style>
  <w:style w:type="paragraph" w:styleId="Bibliography">
    <w:name w:val="Bibliography"/>
    <w:basedOn w:val="Normal"/>
    <w:next w:val="Normal"/>
    <w:uiPriority w:val="37"/>
    <w:unhideWhenUsed/>
    <w:rsid w:val="007F1D06"/>
    <w:pPr>
      <w:spacing w:line="480" w:lineRule="auto"/>
      <w:ind w:left="720" w:hanging="720"/>
    </w:pPr>
  </w:style>
  <w:style w:type="character" w:customStyle="1" w:styleId="Heading3Char">
    <w:name w:val="Heading 3 Char"/>
    <w:basedOn w:val="DefaultParagraphFont"/>
    <w:link w:val="Heading3"/>
    <w:uiPriority w:val="9"/>
    <w:rsid w:val="007F1D06"/>
    <w:rPr>
      <w:rFonts w:ascii="Times New Roman" w:eastAsia="Times New Roman" w:hAnsi="Times New Roman" w:cs="Times New Roman"/>
      <w:b/>
      <w:bCs/>
      <w:sz w:val="27"/>
      <w:szCs w:val="27"/>
    </w:rPr>
  </w:style>
  <w:style w:type="paragraph" w:styleId="Revision">
    <w:name w:val="Revision"/>
    <w:hidden/>
    <w:uiPriority w:val="99"/>
    <w:semiHidden/>
    <w:rsid w:val="00842387"/>
  </w:style>
  <w:style w:type="character" w:customStyle="1" w:styleId="anchor-text">
    <w:name w:val="anchor-text"/>
    <w:basedOn w:val="DefaultParagraphFont"/>
    <w:rsid w:val="0049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290">
      <w:bodyDiv w:val="1"/>
      <w:marLeft w:val="0"/>
      <w:marRight w:val="0"/>
      <w:marTop w:val="0"/>
      <w:marBottom w:val="0"/>
      <w:divBdr>
        <w:top w:val="none" w:sz="0" w:space="0" w:color="auto"/>
        <w:left w:val="none" w:sz="0" w:space="0" w:color="auto"/>
        <w:bottom w:val="none" w:sz="0" w:space="0" w:color="auto"/>
        <w:right w:val="none" w:sz="0" w:space="0" w:color="auto"/>
      </w:divBdr>
      <w:divsChild>
        <w:div w:id="1192379737">
          <w:marLeft w:val="0"/>
          <w:marRight w:val="0"/>
          <w:marTop w:val="0"/>
          <w:marBottom w:val="0"/>
          <w:divBdr>
            <w:top w:val="none" w:sz="0" w:space="0" w:color="auto"/>
            <w:left w:val="none" w:sz="0" w:space="0" w:color="auto"/>
            <w:bottom w:val="none" w:sz="0" w:space="0" w:color="auto"/>
            <w:right w:val="none" w:sz="0" w:space="0" w:color="auto"/>
          </w:divBdr>
          <w:divsChild>
            <w:div w:id="116413000">
              <w:marLeft w:val="0"/>
              <w:marRight w:val="0"/>
              <w:marTop w:val="0"/>
              <w:marBottom w:val="0"/>
              <w:divBdr>
                <w:top w:val="none" w:sz="0" w:space="0" w:color="auto"/>
                <w:left w:val="none" w:sz="0" w:space="0" w:color="auto"/>
                <w:bottom w:val="none" w:sz="0" w:space="0" w:color="auto"/>
                <w:right w:val="none" w:sz="0" w:space="0" w:color="auto"/>
              </w:divBdr>
              <w:divsChild>
                <w:div w:id="19284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254">
      <w:bodyDiv w:val="1"/>
      <w:marLeft w:val="0"/>
      <w:marRight w:val="0"/>
      <w:marTop w:val="0"/>
      <w:marBottom w:val="0"/>
      <w:divBdr>
        <w:top w:val="none" w:sz="0" w:space="0" w:color="auto"/>
        <w:left w:val="none" w:sz="0" w:space="0" w:color="auto"/>
        <w:bottom w:val="none" w:sz="0" w:space="0" w:color="auto"/>
        <w:right w:val="none" w:sz="0" w:space="0" w:color="auto"/>
      </w:divBdr>
    </w:div>
    <w:div w:id="729159112">
      <w:bodyDiv w:val="1"/>
      <w:marLeft w:val="0"/>
      <w:marRight w:val="0"/>
      <w:marTop w:val="0"/>
      <w:marBottom w:val="0"/>
      <w:divBdr>
        <w:top w:val="none" w:sz="0" w:space="0" w:color="auto"/>
        <w:left w:val="none" w:sz="0" w:space="0" w:color="auto"/>
        <w:bottom w:val="none" w:sz="0" w:space="0" w:color="auto"/>
        <w:right w:val="none" w:sz="0" w:space="0" w:color="auto"/>
      </w:divBdr>
      <w:divsChild>
        <w:div w:id="1641155759">
          <w:marLeft w:val="0"/>
          <w:marRight w:val="0"/>
          <w:marTop w:val="0"/>
          <w:marBottom w:val="0"/>
          <w:divBdr>
            <w:top w:val="none" w:sz="0" w:space="0" w:color="auto"/>
            <w:left w:val="none" w:sz="0" w:space="0" w:color="auto"/>
            <w:bottom w:val="none" w:sz="0" w:space="0" w:color="auto"/>
            <w:right w:val="none" w:sz="0" w:space="0" w:color="auto"/>
          </w:divBdr>
          <w:divsChild>
            <w:div w:id="756445835">
              <w:marLeft w:val="0"/>
              <w:marRight w:val="0"/>
              <w:marTop w:val="0"/>
              <w:marBottom w:val="0"/>
              <w:divBdr>
                <w:top w:val="none" w:sz="0" w:space="0" w:color="auto"/>
                <w:left w:val="none" w:sz="0" w:space="0" w:color="auto"/>
                <w:bottom w:val="none" w:sz="0" w:space="0" w:color="auto"/>
                <w:right w:val="none" w:sz="0" w:space="0" w:color="auto"/>
              </w:divBdr>
              <w:divsChild>
                <w:div w:id="167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21333">
      <w:bodyDiv w:val="1"/>
      <w:marLeft w:val="0"/>
      <w:marRight w:val="0"/>
      <w:marTop w:val="0"/>
      <w:marBottom w:val="0"/>
      <w:divBdr>
        <w:top w:val="none" w:sz="0" w:space="0" w:color="auto"/>
        <w:left w:val="none" w:sz="0" w:space="0" w:color="auto"/>
        <w:bottom w:val="none" w:sz="0" w:space="0" w:color="auto"/>
        <w:right w:val="none" w:sz="0" w:space="0" w:color="auto"/>
      </w:divBdr>
      <w:divsChild>
        <w:div w:id="1930846631">
          <w:marLeft w:val="0"/>
          <w:marRight w:val="0"/>
          <w:marTop w:val="0"/>
          <w:marBottom w:val="0"/>
          <w:divBdr>
            <w:top w:val="none" w:sz="0" w:space="0" w:color="auto"/>
            <w:left w:val="none" w:sz="0" w:space="0" w:color="auto"/>
            <w:bottom w:val="none" w:sz="0" w:space="0" w:color="auto"/>
            <w:right w:val="none" w:sz="0" w:space="0" w:color="auto"/>
          </w:divBdr>
        </w:div>
      </w:divsChild>
    </w:div>
    <w:div w:id="16020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cnew/tres_pry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EEF2-44CC-9B47-866E-48DB9456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13</Pages>
  <Words>30336</Words>
  <Characters>172921</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43</cp:revision>
  <dcterms:created xsi:type="dcterms:W3CDTF">2023-03-30T14:33:00Z</dcterms:created>
  <dcterms:modified xsi:type="dcterms:W3CDTF">2023-04-04T23:19:00Z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id="lextqgaf"/&gt;&lt;style id="http://www.zotero.org/styles/animal-behaviour" hasBibliography="1" bibliographyStyleHasBeenSet="1"/&gt;&lt;prefs&gt;&lt;pref name="fieldType" value="Field"/&gt;&lt;/prefs&gt;&lt;/data&gt;</vt:lpwstr>
  </property>
</Properties>
</file>