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mos-10030"/>
    <w:p>
      <w:pPr>
        <w:pStyle w:val="Heading1"/>
      </w:pPr>
      <w:r>
        <w:t xml:space="preserve">KMOS-10030</w:t>
      </w:r>
    </w:p>
    <w:bookmarkEnd w:id="20"/>
    <w:bookmarkStart w:id="21" w:name="canonical-object-catalog"/>
    <w:p>
      <w:pPr>
        <w:pStyle w:val="Heading1"/>
      </w:pPr>
      <w:r>
        <w:t xml:space="preserve">Canonical Object Catalog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Constitutional Engineering Reference</w:t>
      </w:r>
    </w:p>
    <w:p>
      <w:pPr>
        <w:pStyle w:val="BodyText"/>
      </w:pPr>
      <w:r>
        <w:rPr>
          <w:b/>
          <w:bCs/>
        </w:rPr>
        <w:t xml:space="preserve">Audience</w:t>
      </w:r>
    </w:p>
    <w:p>
      <w:pPr>
        <w:pStyle w:val="BodyText"/>
      </w:pPr>
      <w:r>
        <w:t xml:space="preserve">Platform Engineers</w:t>
      </w:r>
    </w:p>
    <w:p>
      <w:pPr>
        <w:pStyle w:val="BodyText"/>
      </w:pPr>
      <w:r>
        <w:t xml:space="preserve">AI Coding Agents</w:t>
      </w:r>
    </w:p>
    <w:p>
      <w:pPr>
        <w:pStyle w:val="BodyText"/>
      </w:pPr>
      <w:r>
        <w:t xml:space="preserve">Technical Architects</w:t>
      </w:r>
    </w:p>
    <w:p>
      <w:pPr>
        <w:pStyle w:val="BodyText"/>
      </w:pPr>
      <w:r>
        <w:t xml:space="preserve">Service Owners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every canonical business object within the Knowledge &amp; Media Operating System (KMOS).</w:t>
      </w:r>
    </w:p>
    <w:p>
      <w:pPr>
        <w:pStyle w:val="BodyText"/>
      </w:pPr>
      <w:r>
        <w:t xml:space="preserve">Canonical Objects represent institutional concepts.</w:t>
      </w:r>
    </w:p>
    <w:p>
      <w:pPr>
        <w:pStyle w:val="BodyText"/>
      </w:pPr>
      <w:r>
        <w:t xml:space="preserve">They are independent of:</w:t>
      </w:r>
    </w:p>
    <w:p>
      <w:pPr>
        <w:pStyle w:val="BodyText"/>
      </w:pPr>
      <w:r>
        <w:t xml:space="preserve">Programming languages</w:t>
      </w:r>
    </w:p>
    <w:p>
      <w:pPr>
        <w:pStyle w:val="BodyText"/>
      </w:pPr>
      <w:r>
        <w:t xml:space="preserve">Databases</w:t>
      </w:r>
    </w:p>
    <w:p>
      <w:pPr>
        <w:pStyle w:val="BodyText"/>
      </w:pPr>
      <w:r>
        <w:t xml:space="preserve">Storage technologies</w:t>
      </w:r>
    </w:p>
    <w:p>
      <w:pPr>
        <w:pStyle w:val="BodyText"/>
      </w:pPr>
      <w:r>
        <w:t xml:space="preserve">APIs</w:t>
      </w:r>
    </w:p>
    <w:p>
      <w:pPr>
        <w:pStyle w:val="BodyText"/>
      </w:pPr>
      <w:r>
        <w:t xml:space="preserve">Applications</w:t>
      </w:r>
    </w:p>
    <w:p>
      <w:pPr>
        <w:pStyle w:val="BodyText"/>
      </w:pPr>
      <w:r>
        <w:t xml:space="preserve">Every implementation SHALL use these canonical definitions.</w:t>
      </w:r>
    </w:p>
    <w:p>
      <w:r>
        <w:pict>
          <v:rect style="width:0;height:1.5pt" o:hralign="center" o:hrstd="t" o:hr="t"/>
        </w:pict>
      </w:r>
    </w:p>
    <w:bookmarkEnd w:id="22"/>
    <w:bookmarkStart w:id="23" w:name="mission"/>
    <w:p>
      <w:pPr>
        <w:pStyle w:val="Heading1"/>
      </w:pPr>
      <w:r>
        <w:t xml:space="preserve">2. Mission</w:t>
      </w:r>
    </w:p>
    <w:p>
      <w:pPr>
        <w:pStyle w:val="FirstParagraph"/>
      </w:pPr>
      <w:r>
        <w:t xml:space="preserve">Ensure that every implementation represents institutional concepts consistently.</w:t>
      </w:r>
    </w:p>
    <w:p>
      <w:pPr>
        <w:pStyle w:val="BodyText"/>
      </w:pPr>
      <w:r>
        <w:t xml:space="preserve">There SHALL be one canonical definition for every business object.</w:t>
      </w:r>
    </w:p>
    <w:p>
      <w:pPr>
        <w:pStyle w:val="BodyText"/>
      </w:pPr>
      <w:r>
        <w:t xml:space="preserve">Duplicate business models SHALL NOT exist.</w:t>
      </w:r>
    </w:p>
    <w:p>
      <w:r>
        <w:pict>
          <v:rect style="width:0;height:1.5pt" o:hralign="center" o:hrstd="t" o:hr="t"/>
        </w:pict>
      </w:r>
    </w:p>
    <w:bookmarkEnd w:id="23"/>
    <w:bookmarkStart w:id="24" w:name="canonical-object-principles"/>
    <w:p>
      <w:pPr>
        <w:pStyle w:val="Heading1"/>
      </w:pPr>
      <w:r>
        <w:t xml:space="preserve">3. Canonical Object Principles</w:t>
      </w:r>
    </w:p>
    <w:p>
      <w:pPr>
        <w:pStyle w:val="FirstParagraph"/>
      </w:pPr>
      <w:r>
        <w:t xml:space="preserve">Every canonical object SHALL define:</w:t>
      </w:r>
    </w:p>
    <w:p>
      <w:pPr>
        <w:pStyle w:val="BodyText"/>
      </w:pPr>
      <w:r>
        <w:t xml:space="preserve">Business Meaning</w:t>
      </w:r>
    </w:p>
    <w:p>
      <w:pPr>
        <w:pStyle w:val="BodyText"/>
      </w:pPr>
      <w:r>
        <w:t xml:space="preserve">Authoritative Owner</w:t>
      </w:r>
    </w:p>
    <w:p>
      <w:pPr>
        <w:pStyle w:val="BodyText"/>
      </w:pPr>
      <w:r>
        <w:t xml:space="preserve">Lifecycle</w:t>
      </w:r>
    </w:p>
    <w:p>
      <w:pPr>
        <w:pStyle w:val="BodyText"/>
      </w:pPr>
      <w:r>
        <w:t xml:space="preserve">Versioning</w:t>
      </w:r>
    </w:p>
    <w:p>
      <w:pPr>
        <w:pStyle w:val="BodyText"/>
      </w:pPr>
      <w:r>
        <w:t xml:space="preserve">Relationships</w:t>
      </w:r>
    </w:p>
    <w:p>
      <w:pPr>
        <w:pStyle w:val="BodyText"/>
      </w:pPr>
      <w:r>
        <w:t xml:space="preserve">Governance</w:t>
      </w:r>
    </w:p>
    <w:p>
      <w:pPr>
        <w:pStyle w:val="BodyText"/>
      </w:pPr>
      <w:r>
        <w:t xml:space="preserve">Canonical Events</w:t>
      </w:r>
    </w:p>
    <w:p>
      <w:pPr>
        <w:pStyle w:val="BodyText"/>
      </w:pPr>
      <w:r>
        <w:t xml:space="preserve">Serialization Contract</w:t>
      </w:r>
    </w:p>
    <w:p>
      <w:pPr>
        <w:pStyle w:val="BodyText"/>
      </w:pPr>
      <w:r>
        <w:t xml:space="preserve">Reference Specification</w:t>
      </w:r>
    </w:p>
    <w:p>
      <w:pPr>
        <w:pStyle w:val="BodyText"/>
      </w:pPr>
      <w:r>
        <w:t xml:space="preserve">Implementation Status</w:t>
      </w:r>
    </w:p>
    <w:p>
      <w:r>
        <w:pict>
          <v:rect style="width:0;height:1.5pt" o:hralign="center" o:hrstd="t" o:hr="t"/>
        </w:pict>
      </w:r>
    </w:p>
    <w:bookmarkEnd w:id="24"/>
    <w:bookmarkStart w:id="25" w:name="object-ownership-rule"/>
    <w:p>
      <w:pPr>
        <w:pStyle w:val="Heading1"/>
      </w:pPr>
      <w:r>
        <w:t xml:space="preserve">4. Object Ownership Rule</w:t>
      </w:r>
    </w:p>
    <w:p>
      <w:pPr>
        <w:pStyle w:val="FirstParagraph"/>
      </w:pPr>
      <w:r>
        <w:t xml:space="preserve">Every canonical object SHALL have exactly one authoritative owner.</w:t>
      </w:r>
    </w:p>
    <w:p>
      <w:pPr>
        <w:pStyle w:val="BodyText"/>
      </w:pPr>
      <w:r>
        <w:t xml:space="preserve">Only the owning service MAY directly modify that object.</w:t>
      </w:r>
    </w:p>
    <w:p>
      <w:pPr>
        <w:pStyle w:val="BodyText"/>
      </w:pPr>
      <w:r>
        <w:t xml:space="preserve">Other services SHALL reference canonical identifiers.</w:t>
      </w:r>
    </w:p>
    <w:p>
      <w:r>
        <w:pict>
          <v:rect style="width:0;height:1.5pt" o:hralign="center" o:hrstd="t" o:hr="t"/>
        </w:pict>
      </w:r>
    </w:p>
    <w:bookmarkEnd w:id="25"/>
    <w:bookmarkStart w:id="26" w:name="canonical-object-inventory"/>
    <w:p>
      <w:pPr>
        <w:pStyle w:val="Heading1"/>
      </w:pPr>
      <w:r>
        <w:t xml:space="preserve">5. Canonical Object Inventory</w:t>
      </w:r>
    </w:p>
    <w:p>
      <w:pPr>
        <w:pStyle w:val="FirstParagraph"/>
      </w:pPr>
      <w:r>
        <w:t xml:space="preserve">The current KMOS object inventory is organized by owning service.</w:t>
      </w:r>
    </w:p>
    <w:p>
      <w:r>
        <w:pict>
          <v:rect style="width:0;height:1.5pt" o:hralign="center" o:hrstd="t" o:hr="t"/>
        </w:pict>
      </w:r>
    </w:p>
    <w:bookmarkEnd w:id="26"/>
    <w:bookmarkStart w:id="32" w:name="knowledge-service-objects"/>
    <w:p>
      <w:pPr>
        <w:pStyle w:val="Heading1"/>
      </w:pPr>
      <w:r>
        <w:t xml:space="preserve">6. Knowledge Service Objects</w:t>
      </w:r>
    </w:p>
    <w:bookmarkStart w:id="27" w:name="knowledgeobject"/>
    <w:p>
      <w:pPr>
        <w:pStyle w:val="Heading2"/>
      </w:pPr>
      <w:r>
        <w:t xml:space="preserve">KnowledgeObject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Represents institutional knowledge.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Knowledge Service.</w:t>
      </w:r>
    </w:p>
    <w:p>
      <w:pPr>
        <w:pStyle w:val="BodyText"/>
      </w:pPr>
      <w:r>
        <w:t xml:space="preserve">Relationships</w:t>
      </w:r>
    </w:p>
    <w:p>
      <w:pPr>
        <w:pStyle w:val="BodyText"/>
      </w:pPr>
      <w:r>
        <w:t xml:space="preserve">Assets</w:t>
      </w:r>
    </w:p>
    <w:p>
      <w:pPr>
        <w:pStyle w:val="BodyText"/>
      </w:pPr>
      <w:r>
        <w:t xml:space="preserve">Vocabulary</w:t>
      </w:r>
    </w:p>
    <w:p>
      <w:pPr>
        <w:pStyle w:val="BodyText"/>
      </w:pPr>
      <w:r>
        <w:t xml:space="preserve">Concepts</w:t>
      </w:r>
    </w:p>
    <w:p>
      <w:pPr>
        <w:pStyle w:val="BodyText"/>
      </w:pPr>
      <w:r>
        <w:t xml:space="preserve">Collections</w:t>
      </w:r>
    </w:p>
    <w:p>
      <w:pPr>
        <w:pStyle w:val="BodyText"/>
      </w:pPr>
      <w:r>
        <w:t xml:space="preserve">Workflow History</w:t>
      </w:r>
    </w:p>
    <w:p>
      <w:pPr>
        <w:pStyle w:val="BodyText"/>
      </w:pPr>
      <w:r>
        <w:t xml:space="preserve">Events</w:t>
      </w:r>
    </w:p>
    <w:p>
      <w:pPr>
        <w:pStyle w:val="BodyText"/>
      </w:pPr>
      <w:r>
        <w:t xml:space="preserve">KnowledgeCreated</w:t>
      </w:r>
    </w:p>
    <w:p>
      <w:pPr>
        <w:pStyle w:val="BodyText"/>
      </w:pPr>
      <w:r>
        <w:t xml:space="preserve">KnowledgeUpdated</w:t>
      </w:r>
    </w:p>
    <w:p>
      <w:pPr>
        <w:pStyle w:val="BodyText"/>
      </w:pPr>
      <w:r>
        <w:t xml:space="preserve">KnowledgeApproved</w:t>
      </w:r>
    </w:p>
    <w:p>
      <w:pPr>
        <w:pStyle w:val="BodyText"/>
      </w:pPr>
      <w:r>
        <w:t xml:space="preserve">KnowledgeArchived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Core Object</w:t>
      </w:r>
    </w:p>
    <w:p>
      <w:r>
        <w:pict>
          <v:rect style="width:0;height:1.5pt" o:hralign="center" o:hrstd="t" o:hr="t"/>
        </w:pict>
      </w:r>
    </w:p>
    <w:bookmarkEnd w:id="27"/>
    <w:bookmarkStart w:id="28" w:name="concept"/>
    <w:p>
      <w:pPr>
        <w:pStyle w:val="Heading2"/>
      </w:pPr>
      <w:r>
        <w:t xml:space="preserve">Concept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Represents a semantic concept.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Knowledge Service.</w:t>
      </w:r>
    </w:p>
    <w:p>
      <w:pPr>
        <w:pStyle w:val="BodyText"/>
      </w:pPr>
      <w:r>
        <w:t xml:space="preserve">Relationships</w:t>
      </w:r>
    </w:p>
    <w:p>
      <w:pPr>
        <w:pStyle w:val="BodyText"/>
      </w:pPr>
      <w:r>
        <w:t xml:space="preserve">KnowledgeObject</w:t>
      </w:r>
    </w:p>
    <w:p>
      <w:pPr>
        <w:pStyle w:val="BodyText"/>
      </w:pPr>
      <w:r>
        <w:t xml:space="preserve">Vocabulary</w:t>
      </w:r>
    </w:p>
    <w:p>
      <w:pPr>
        <w:pStyle w:val="BodyText"/>
      </w:pPr>
      <w:r>
        <w:t xml:space="preserve">Ontology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Core Object</w:t>
      </w:r>
    </w:p>
    <w:p>
      <w:r>
        <w:pict>
          <v:rect style="width:0;height:1.5pt" o:hralign="center" o:hrstd="t" o:hr="t"/>
        </w:pict>
      </w:r>
    </w:p>
    <w:bookmarkEnd w:id="28"/>
    <w:bookmarkStart w:id="29" w:name="vocabulary"/>
    <w:p>
      <w:pPr>
        <w:pStyle w:val="Heading2"/>
      </w:pPr>
      <w:r>
        <w:t xml:space="preserve">Vocabulary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Represents institutional terminology.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Knowledge Service.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Core Object</w:t>
      </w:r>
    </w:p>
    <w:p>
      <w:r>
        <w:pict>
          <v:rect style="width:0;height:1.5pt" o:hralign="center" o:hrstd="t" o:hr="t"/>
        </w:pict>
      </w:r>
    </w:p>
    <w:bookmarkEnd w:id="29"/>
    <w:bookmarkStart w:id="30" w:name="relationship"/>
    <w:p>
      <w:pPr>
        <w:pStyle w:val="Heading2"/>
      </w:pPr>
      <w:r>
        <w:t xml:space="preserve">Relationship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Represents semantic relationships.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Knowledge Service.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Core Object</w:t>
      </w:r>
    </w:p>
    <w:p>
      <w:r>
        <w:pict>
          <v:rect style="width:0;height:1.5pt" o:hralign="center" o:hrstd="t" o:hr="t"/>
        </w:pict>
      </w:r>
    </w:p>
    <w:bookmarkEnd w:id="30"/>
    <w:bookmarkStart w:id="31" w:name="collection"/>
    <w:p>
      <w:pPr>
        <w:pStyle w:val="Heading2"/>
      </w:pPr>
      <w:r>
        <w:t xml:space="preserve">Collection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Groups Knowledge Objects.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Knowledge Service.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Core Object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asset-registry-objects"/>
    <w:p>
      <w:pPr>
        <w:pStyle w:val="Heading1"/>
      </w:pPr>
      <w:r>
        <w:t xml:space="preserve">7. Asset Registry Objects</w:t>
      </w:r>
    </w:p>
    <w:bookmarkStart w:id="33" w:name="asset"/>
    <w:p>
      <w:pPr>
        <w:pStyle w:val="Heading2"/>
      </w:pPr>
      <w:r>
        <w:t xml:space="preserve">Asset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Represents digital evidence.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Asset Registry.</w:t>
      </w:r>
    </w:p>
    <w:p>
      <w:pPr>
        <w:pStyle w:val="BodyText"/>
      </w:pPr>
      <w:r>
        <w:t xml:space="preserve">Relationships</w:t>
      </w:r>
    </w:p>
    <w:p>
      <w:pPr>
        <w:pStyle w:val="BodyText"/>
      </w:pPr>
      <w:r>
        <w:t xml:space="preserve">Knowledge</w:t>
      </w:r>
    </w:p>
    <w:p>
      <w:pPr>
        <w:pStyle w:val="BodyText"/>
      </w:pPr>
      <w:r>
        <w:t xml:space="preserve">Workflow</w:t>
      </w:r>
    </w:p>
    <w:p>
      <w:pPr>
        <w:pStyle w:val="BodyText"/>
      </w:pPr>
      <w:r>
        <w:t xml:space="preserve">Versions</w:t>
      </w:r>
    </w:p>
    <w:p>
      <w:pPr>
        <w:pStyle w:val="BodyText"/>
      </w:pPr>
      <w:r>
        <w:t xml:space="preserve">Storage</w:t>
      </w:r>
    </w:p>
    <w:p>
      <w:pPr>
        <w:pStyle w:val="BodyText"/>
      </w:pPr>
      <w:r>
        <w:t xml:space="preserve">Events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Core Object</w:t>
      </w:r>
    </w:p>
    <w:p>
      <w:r>
        <w:pict>
          <v:rect style="width:0;height:1.5pt" o:hralign="center" o:hrstd="t" o:hr="t"/>
        </w:pict>
      </w:r>
    </w:p>
    <w:bookmarkEnd w:id="33"/>
    <w:bookmarkStart w:id="34" w:name="assetversion"/>
    <w:p>
      <w:pPr>
        <w:pStyle w:val="Heading2"/>
      </w:pPr>
      <w:r>
        <w:t xml:space="preserve">AssetVersion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Immutable version of an Asset.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Asset Registry.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Core Object</w:t>
      </w:r>
    </w:p>
    <w:p>
      <w:r>
        <w:pict>
          <v:rect style="width:0;height:1.5pt" o:hralign="center" o:hrstd="t" o:hr="t"/>
        </w:pict>
      </w:r>
    </w:p>
    <w:bookmarkEnd w:id="34"/>
    <w:bookmarkStart w:id="35" w:name="provenance"/>
    <w:p>
      <w:pPr>
        <w:pStyle w:val="Heading2"/>
      </w:pPr>
      <w:r>
        <w:t xml:space="preserve">Provenance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Explains origin.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Asset Registry.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Core Object</w:t>
      </w:r>
    </w:p>
    <w:p>
      <w:r>
        <w:pict>
          <v:rect style="width:0;height:1.5pt" o:hralign="center" o:hrstd="t" o:hr="t"/>
        </w:pict>
      </w:r>
    </w:p>
    <w:bookmarkEnd w:id="35"/>
    <w:bookmarkStart w:id="36" w:name="lineage"/>
    <w:p>
      <w:pPr>
        <w:pStyle w:val="Heading2"/>
      </w:pPr>
      <w:r>
        <w:t xml:space="preserve">Lineage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Explains derivation.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Asset Registry.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Core Object</w:t>
      </w:r>
    </w:p>
    <w:p>
      <w:r>
        <w:pict>
          <v:rect style="width:0;height:1.5pt" o:hralign="center" o:hrstd="t" o:hr="t"/>
        </w:pict>
      </w:r>
    </w:p>
    <w:bookmarkEnd w:id="36"/>
    <w:bookmarkStart w:id="37" w:name="evidencepackage"/>
    <w:p>
      <w:pPr>
        <w:pStyle w:val="Heading2"/>
      </w:pPr>
      <w:r>
        <w:t xml:space="preserve">EvidencePackage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Bundles evidence supporting institutional trust.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Asset Registry.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Core Object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event-service-objects"/>
    <w:p>
      <w:pPr>
        <w:pStyle w:val="Heading1"/>
      </w:pPr>
      <w:r>
        <w:t xml:space="preserve">8. Event Service Objects</w:t>
      </w:r>
    </w:p>
    <w:bookmarkStart w:id="39" w:name="canonicalevent"/>
    <w:p>
      <w:pPr>
        <w:pStyle w:val="Heading2"/>
      </w:pPr>
      <w:r>
        <w:t xml:space="preserve">CanonicalEvent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Represents an immutable business fact.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Event Service.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Core Object</w:t>
      </w:r>
    </w:p>
    <w:p>
      <w:r>
        <w:pict>
          <v:rect style="width:0;height:1.5pt" o:hralign="center" o:hrstd="t" o:hr="t"/>
        </w:pict>
      </w:r>
    </w:p>
    <w:bookmarkEnd w:id="39"/>
    <w:bookmarkStart w:id="40" w:name="eventschema"/>
    <w:p>
      <w:pPr>
        <w:pStyle w:val="Heading2"/>
      </w:pPr>
      <w:r>
        <w:t xml:space="preserve">EventSchema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Defines event contract.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Event Service.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Core Object</w:t>
      </w:r>
    </w:p>
    <w:p>
      <w:r>
        <w:pict>
          <v:rect style="width:0;height:1.5pt" o:hralign="center" o:hrstd="t" o:hr="t"/>
        </w:pict>
      </w:r>
    </w:p>
    <w:bookmarkEnd w:id="40"/>
    <w:bookmarkStart w:id="41" w:name="subscription"/>
    <w:p>
      <w:pPr>
        <w:pStyle w:val="Heading2"/>
      </w:pPr>
      <w:r>
        <w:t xml:space="preserve">Subscription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Defines event consumers.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Event Service.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Core Object</w:t>
      </w:r>
    </w:p>
    <w:p>
      <w:r>
        <w:pict>
          <v:rect style="width:0;height:1.5pt" o:hralign="center" o:hrstd="t" o:hr="t"/>
        </w:pict>
      </w:r>
    </w:p>
    <w:bookmarkEnd w:id="41"/>
    <w:bookmarkStart w:id="42" w:name="replaysession"/>
    <w:p>
      <w:pPr>
        <w:pStyle w:val="Heading2"/>
      </w:pPr>
      <w:r>
        <w:t xml:space="preserve">ReplaySession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Coordinates replay.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Event Service.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Core Object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workflow-objects"/>
    <w:p>
      <w:pPr>
        <w:pStyle w:val="Heading1"/>
      </w:pPr>
      <w:r>
        <w:t xml:space="preserve">9. Workflow Objects</w:t>
      </w:r>
    </w:p>
    <w:bookmarkStart w:id="44" w:name="workflowdefinition"/>
    <w:p>
      <w:pPr>
        <w:pStyle w:val="Heading2"/>
      </w:pPr>
      <w:r>
        <w:t xml:space="preserve">WorkflowDefinition</w:t>
      </w:r>
    </w:p>
    <w:p>
      <w:pPr>
        <w:pStyle w:val="FirstParagraph"/>
      </w:pPr>
      <w:r>
        <w:t xml:space="preserve">Owner</w:t>
      </w:r>
    </w:p>
    <w:p>
      <w:pPr>
        <w:pStyle w:val="BodyText"/>
      </w:pPr>
      <w:r>
        <w:t xml:space="preserve">Workflow Service.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Business process definition.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Core Object.</w:t>
      </w:r>
    </w:p>
    <w:p>
      <w:r>
        <w:pict>
          <v:rect style="width:0;height:1.5pt" o:hralign="center" o:hrstd="t" o:hr="t"/>
        </w:pict>
      </w:r>
    </w:p>
    <w:bookmarkEnd w:id="44"/>
    <w:bookmarkStart w:id="45" w:name="workflowexecution"/>
    <w:p>
      <w:pPr>
        <w:pStyle w:val="Heading2"/>
      </w:pPr>
      <w:r>
        <w:t xml:space="preserve">WorkflowExecution</w:t>
      </w:r>
    </w:p>
    <w:p>
      <w:pPr>
        <w:pStyle w:val="FirstParagraph"/>
      </w:pPr>
      <w:r>
        <w:t xml:space="preserve">Owner</w:t>
      </w:r>
    </w:p>
    <w:p>
      <w:pPr>
        <w:pStyle w:val="BodyText"/>
      </w:pPr>
      <w:r>
        <w:t xml:space="preserve">Workflow Service.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Execution instance.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Core Object.</w:t>
      </w:r>
    </w:p>
    <w:p>
      <w:r>
        <w:pict>
          <v:rect style="width:0;height:1.5pt" o:hralign="center" o:hrstd="t" o:hr="t"/>
        </w:pict>
      </w:r>
    </w:p>
    <w:bookmarkEnd w:id="45"/>
    <w:bookmarkStart w:id="46" w:name="humantask"/>
    <w:p>
      <w:pPr>
        <w:pStyle w:val="Heading2"/>
      </w:pPr>
      <w:r>
        <w:t xml:space="preserve">HumanTask</w:t>
      </w:r>
    </w:p>
    <w:p>
      <w:pPr>
        <w:pStyle w:val="FirstParagraph"/>
      </w:pPr>
      <w:r>
        <w:t xml:space="preserve">Owner</w:t>
      </w:r>
    </w:p>
    <w:p>
      <w:pPr>
        <w:pStyle w:val="BodyText"/>
      </w:pPr>
      <w:r>
        <w:t xml:space="preserve">Workflow Service.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Human participation.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Core Object.</w:t>
      </w:r>
    </w:p>
    <w:p>
      <w:r>
        <w:pict>
          <v:rect style="width:0;height:1.5pt" o:hralign="center" o:hrstd="t" o:hr="t"/>
        </w:pict>
      </w:r>
    </w:p>
    <w:bookmarkEnd w:id="46"/>
    <w:bookmarkStart w:id="47" w:name="approvaltask"/>
    <w:p>
      <w:pPr>
        <w:pStyle w:val="Heading2"/>
      </w:pPr>
      <w:r>
        <w:t xml:space="preserve">ApprovalTask</w:t>
      </w:r>
    </w:p>
    <w:p>
      <w:pPr>
        <w:pStyle w:val="FirstParagraph"/>
      </w:pPr>
      <w:r>
        <w:t xml:space="preserve">Owner</w:t>
      </w:r>
    </w:p>
    <w:p>
      <w:pPr>
        <w:pStyle w:val="BodyText"/>
      </w:pPr>
      <w:r>
        <w:t xml:space="preserve">Workflow Service.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Governed approval.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Core Object.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capability-objects"/>
    <w:p>
      <w:pPr>
        <w:pStyle w:val="Heading1"/>
      </w:pPr>
      <w:r>
        <w:t xml:space="preserve">10. Capability Objects</w:t>
      </w:r>
    </w:p>
    <w:bookmarkStart w:id="49" w:name="capability"/>
    <w:p>
      <w:pPr>
        <w:pStyle w:val="Heading2"/>
      </w:pPr>
      <w:r>
        <w:t xml:space="preserve">Capability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Business ability.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Capability Registry.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Core Object.</w:t>
      </w:r>
    </w:p>
    <w:p>
      <w:r>
        <w:pict>
          <v:rect style="width:0;height:1.5pt" o:hralign="center" o:hrstd="t" o:hr="t"/>
        </w:pict>
      </w:r>
    </w:p>
    <w:bookmarkEnd w:id="49"/>
    <w:bookmarkStart w:id="50" w:name="capabilitymanifest"/>
    <w:p>
      <w:pPr>
        <w:pStyle w:val="Heading2"/>
      </w:pPr>
      <w:r>
        <w:t xml:space="preserve">CapabilityManifest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Capability description.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Capability Registry.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Core Object.</w:t>
      </w:r>
    </w:p>
    <w:p>
      <w:r>
        <w:pict>
          <v:rect style="width:0;height:1.5pt" o:hralign="center" o:hrstd="t" o:hr="t"/>
        </w:pict>
      </w:r>
    </w:p>
    <w:bookmarkEnd w:id="50"/>
    <w:bookmarkStart w:id="51" w:name="capabilitycontract"/>
    <w:p>
      <w:pPr>
        <w:pStyle w:val="Heading2"/>
      </w:pPr>
      <w:r>
        <w:t xml:space="preserve">CapabilityContract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Business interface.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Capability Registry.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Core Object.</w:t>
      </w:r>
    </w:p>
    <w:p>
      <w:r>
        <w:pict>
          <v:rect style="width:0;height:1.5pt" o:hralign="center" o:hrstd="t" o:hr="t"/>
        </w:pict>
      </w:r>
    </w:p>
    <w:bookmarkEnd w:id="51"/>
    <w:bookmarkStart w:id="52" w:name="capabilitycertification"/>
    <w:p>
      <w:pPr>
        <w:pStyle w:val="Heading2"/>
      </w:pPr>
      <w:r>
        <w:t xml:space="preserve">CapabilityCertification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Execution trust.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Capability Registry.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Core Object.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identity-objects"/>
    <w:p>
      <w:pPr>
        <w:pStyle w:val="Heading1"/>
      </w:pPr>
      <w:r>
        <w:t xml:space="preserve">11. Identity Objects</w:t>
      </w:r>
    </w:p>
    <w:bookmarkStart w:id="54" w:name="identity"/>
    <w:p>
      <w:pPr>
        <w:pStyle w:val="Heading2"/>
      </w:pPr>
      <w:r>
        <w:t xml:space="preserve">Identity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Canonical participant.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Identity Service.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Core Object.</w:t>
      </w:r>
    </w:p>
    <w:p>
      <w:r>
        <w:pict>
          <v:rect style="width:0;height:1.5pt" o:hralign="center" o:hrstd="t" o:hr="t"/>
        </w:pict>
      </w:r>
    </w:p>
    <w:bookmarkEnd w:id="54"/>
    <w:bookmarkStart w:id="55" w:name="organization"/>
    <w:p>
      <w:pPr>
        <w:pStyle w:val="Heading2"/>
      </w:pPr>
      <w:r>
        <w:t xml:space="preserve">Organization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Institutional organization.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Identity Service.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Core Object.</w:t>
      </w:r>
    </w:p>
    <w:p>
      <w:r>
        <w:pict>
          <v:rect style="width:0;height:1.5pt" o:hralign="center" o:hrstd="t" o:hr="t"/>
        </w:pict>
      </w:r>
    </w:p>
    <w:bookmarkEnd w:id="55"/>
    <w:bookmarkStart w:id="56" w:name="role"/>
    <w:p>
      <w:pPr>
        <w:pStyle w:val="Heading2"/>
      </w:pPr>
      <w:r>
        <w:t xml:space="preserve">Role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Business responsibility.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Identity Service.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Core Object.</w:t>
      </w:r>
    </w:p>
    <w:p>
      <w:r>
        <w:pict>
          <v:rect style="width:0;height:1.5pt" o:hralign="center" o:hrstd="t" o:hr="t"/>
        </w:pict>
      </w:r>
    </w:p>
    <w:bookmarkEnd w:id="56"/>
    <w:bookmarkStart w:id="57" w:name="permission"/>
    <w:p>
      <w:pPr>
        <w:pStyle w:val="Heading2"/>
      </w:pPr>
      <w:r>
        <w:t xml:space="preserve">Permission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Authorization.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Identity Service.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Core Object.</w:t>
      </w:r>
    </w:p>
    <w:p>
      <w:r>
        <w:pict>
          <v:rect style="width:0;height:1.5pt" o:hralign="center" o:hrstd="t" o:hr="t"/>
        </w:pict>
      </w:r>
    </w:p>
    <w:bookmarkEnd w:id="57"/>
    <w:bookmarkStart w:id="58" w:name="delegation"/>
    <w:p>
      <w:pPr>
        <w:pStyle w:val="Heading2"/>
      </w:pPr>
      <w:r>
        <w:t xml:space="preserve">Delegation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Temporary authority.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Identity Service.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Core Object.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governance-objects"/>
    <w:p>
      <w:pPr>
        <w:pStyle w:val="Heading1"/>
      </w:pPr>
      <w:r>
        <w:t xml:space="preserve">12. Governance Objects</w:t>
      </w:r>
    </w:p>
    <w:bookmarkStart w:id="60" w:name="policy"/>
    <w:p>
      <w:pPr>
        <w:pStyle w:val="Heading2"/>
      </w:pPr>
      <w:r>
        <w:t xml:space="preserve">Policy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Business rule.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Governance Service.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Core Object.</w:t>
      </w:r>
    </w:p>
    <w:p>
      <w:r>
        <w:pict>
          <v:rect style="width:0;height:1.5pt" o:hralign="center" o:hrstd="t" o:hr="t"/>
        </w:pict>
      </w:r>
    </w:p>
    <w:bookmarkEnd w:id="60"/>
    <w:bookmarkStart w:id="61" w:name="approval"/>
    <w:p>
      <w:pPr>
        <w:pStyle w:val="Heading2"/>
      </w:pPr>
      <w:r>
        <w:t xml:space="preserve">Approval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Institutional approval.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Governance Service.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Core Object.</w:t>
      </w:r>
    </w:p>
    <w:p>
      <w:r>
        <w:pict>
          <v:rect style="width:0;height:1.5pt" o:hralign="center" o:hrstd="t" o:hr="t"/>
        </w:pict>
      </w:r>
    </w:p>
    <w:bookmarkEnd w:id="61"/>
    <w:bookmarkStart w:id="62" w:name="certification"/>
    <w:p>
      <w:pPr>
        <w:pStyle w:val="Heading2"/>
      </w:pPr>
      <w:r>
        <w:t xml:space="preserve">Certification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Trust verification.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Governance Service.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Core Object.</w:t>
      </w:r>
    </w:p>
    <w:p>
      <w:r>
        <w:pict>
          <v:rect style="width:0;height:1.5pt" o:hralign="center" o:hrstd="t" o:hr="t"/>
        </w:pict>
      </w:r>
    </w:p>
    <w:bookmarkEnd w:id="62"/>
    <w:bookmarkStart w:id="63" w:name="compliancerecord"/>
    <w:p>
      <w:pPr>
        <w:pStyle w:val="Heading2"/>
      </w:pPr>
      <w:r>
        <w:t xml:space="preserve">ComplianceRecord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Compliance evidence.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Governance Service.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Core Object.</w:t>
      </w:r>
    </w:p>
    <w:p>
      <w:r>
        <w:pict>
          <v:rect style="width:0;height:1.5pt" o:hralign="center" o:hrstd="t" o:hr="t"/>
        </w:pict>
      </w:r>
    </w:p>
    <w:bookmarkEnd w:id="63"/>
    <w:bookmarkStart w:id="64" w:name="trustassessment"/>
    <w:p>
      <w:pPr>
        <w:pStyle w:val="Heading2"/>
      </w:pPr>
      <w:r>
        <w:t xml:space="preserve">TrustAssessment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Institutional trust evaluation.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Governance Service.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Core Object.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cross-service-object-relationships"/>
    <w:p>
      <w:pPr>
        <w:pStyle w:val="Heading1"/>
      </w:pPr>
      <w:r>
        <w:t xml:space="preserve">13. Cross-Service Object Relationships</w:t>
      </w:r>
    </w:p>
    <w:p>
      <w:pPr>
        <w:pStyle w:val="FirstParagraph"/>
      </w:pPr>
      <w:r>
        <w:t xml:space="preserve">Canonical relationships include:</w:t>
      </w:r>
    </w:p>
    <w:p>
      <w:pPr>
        <w:pStyle w:val="BodyText"/>
      </w:pPr>
      <w:r>
        <w:t xml:space="preserve">KnowledgeObject</w:t>
      </w:r>
    </w:p>
    <w:p>
      <w:pPr>
        <w:pStyle w:val="BodyText"/>
      </w:pPr>
      <w:r>
        <w:t xml:space="preserve">← supported by →</w:t>
      </w:r>
    </w:p>
    <w:p>
      <w:pPr>
        <w:pStyle w:val="BodyText"/>
      </w:pPr>
      <w:r>
        <w:t xml:space="preserve">Asset</w:t>
      </w:r>
    </w:p>
    <w:p>
      <w:pPr>
        <w:pStyle w:val="BodyText"/>
      </w:pPr>
      <w:r>
        <w:t xml:space="preserve">KnowledgeObject</w:t>
      </w:r>
    </w:p>
    <w:p>
      <w:pPr>
        <w:pStyle w:val="BodyText"/>
      </w:pPr>
      <w:r>
        <w:t xml:space="preserve">← produced by →</w:t>
      </w:r>
    </w:p>
    <w:p>
      <w:pPr>
        <w:pStyle w:val="BodyText"/>
      </w:pPr>
      <w:r>
        <w:t xml:space="preserve">WorkflowExecution</w:t>
      </w:r>
    </w:p>
    <w:p>
      <w:pPr>
        <w:pStyle w:val="BodyText"/>
      </w:pPr>
      <w:r>
        <w:t xml:space="preserve">WorkflowExecution</w:t>
      </w:r>
    </w:p>
    <w:p>
      <w:pPr>
        <w:pStyle w:val="BodyText"/>
      </w:pPr>
      <w:r>
        <w:t xml:space="preserve">← invokes →</w:t>
      </w:r>
    </w:p>
    <w:p>
      <w:pPr>
        <w:pStyle w:val="BodyText"/>
      </w:pPr>
      <w:r>
        <w:t xml:space="preserve">Capability</w:t>
      </w:r>
    </w:p>
    <w:p>
      <w:pPr>
        <w:pStyle w:val="BodyText"/>
      </w:pPr>
      <w:r>
        <w:t xml:space="preserve">Capability</w:t>
      </w:r>
    </w:p>
    <w:p>
      <w:pPr>
        <w:pStyle w:val="BodyText"/>
      </w:pPr>
      <w:r>
        <w:t xml:space="preserve">← governed by →</w:t>
      </w:r>
    </w:p>
    <w:p>
      <w:pPr>
        <w:pStyle w:val="BodyText"/>
      </w:pPr>
      <w:r>
        <w:t xml:space="preserve">Policy</w:t>
      </w:r>
    </w:p>
    <w:p>
      <w:pPr>
        <w:pStyle w:val="BodyText"/>
      </w:pPr>
      <w:r>
        <w:t xml:space="preserve">Identity</w:t>
      </w:r>
    </w:p>
    <w:p>
      <w:pPr>
        <w:pStyle w:val="BodyText"/>
      </w:pPr>
      <w:r>
        <w:t xml:space="preserve">← approves →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Asset</w:t>
      </w:r>
    </w:p>
    <w:p>
      <w:pPr>
        <w:pStyle w:val="BodyText"/>
      </w:pPr>
      <w:r>
        <w:t xml:space="preserve">← referenced by →</w:t>
      </w:r>
    </w:p>
    <w:p>
      <w:pPr>
        <w:pStyle w:val="BodyText"/>
      </w:pPr>
      <w:r>
        <w:t xml:space="preserve">KnowledgeObject</w:t>
      </w:r>
    </w:p>
    <w:p>
      <w:pPr>
        <w:pStyle w:val="BodyText"/>
      </w:pPr>
      <w:r>
        <w:t xml:space="preserve">Canonical relationships SHALL remain explicit.</w:t>
      </w:r>
    </w:p>
    <w:p>
      <w:r>
        <w:pict>
          <v:rect style="width:0;height:1.5pt" o:hralign="center" o:hrstd="t" o:hr="t"/>
        </w:pict>
      </w:r>
    </w:p>
    <w:bookmarkEnd w:id="66"/>
    <w:bookmarkStart w:id="67" w:name="serialization-rules"/>
    <w:p>
      <w:pPr>
        <w:pStyle w:val="Heading1"/>
      </w:pPr>
      <w:r>
        <w:t xml:space="preserve">14. Serialization Rules</w:t>
      </w:r>
    </w:p>
    <w:p>
      <w:pPr>
        <w:pStyle w:val="FirstParagraph"/>
      </w:pPr>
      <w:r>
        <w:t xml:space="preserve">Every object SHALL contain:</w:t>
      </w:r>
    </w:p>
    <w:p>
      <w:pPr>
        <w:pStyle w:val="BodyText"/>
      </w:pPr>
      <w:r>
        <w:t xml:space="preserve">Canonical Identifier</w:t>
      </w:r>
    </w:p>
    <w:p>
      <w:pPr>
        <w:pStyle w:val="BodyText"/>
      </w:pPr>
      <w:r>
        <w:t xml:space="preserve">Schema Version</w:t>
      </w:r>
    </w:p>
    <w:p>
      <w:pPr>
        <w:pStyle w:val="BodyText"/>
      </w:pPr>
      <w:r>
        <w:t xml:space="preserve">Lifecycle State</w:t>
      </w:r>
    </w:p>
    <w:p>
      <w:pPr>
        <w:pStyle w:val="BodyText"/>
      </w:pPr>
      <w:r>
        <w:t xml:space="preserve">Created Timestamp</w:t>
      </w:r>
    </w:p>
    <w:p>
      <w:pPr>
        <w:pStyle w:val="BodyText"/>
      </w:pPr>
      <w:r>
        <w:t xml:space="preserve">Updated Timestamp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Relationships</w:t>
      </w:r>
    </w:p>
    <w:p>
      <w:pPr>
        <w:pStyle w:val="BodyText"/>
      </w:pPr>
      <w:r>
        <w:t xml:space="preserve">Governance Metadata</w:t>
      </w:r>
    </w:p>
    <w:p>
      <w:pPr>
        <w:pStyle w:val="BodyText"/>
      </w:pPr>
      <w:r>
        <w:t xml:space="preserve">Extensions SHALL NOT alter canonical identity.</w:t>
      </w:r>
    </w:p>
    <w:p>
      <w:r>
        <w:pict>
          <v:rect style="width:0;height:1.5pt" o:hralign="center" o:hrstd="t" o:hr="t"/>
        </w:pict>
      </w:r>
    </w:p>
    <w:bookmarkEnd w:id="67"/>
    <w:bookmarkStart w:id="68" w:name="versioning-rules"/>
    <w:p>
      <w:pPr>
        <w:pStyle w:val="Heading1"/>
      </w:pPr>
      <w:r>
        <w:t xml:space="preserve">15. Versioning Rules</w:t>
      </w:r>
    </w:p>
    <w:p>
      <w:pPr>
        <w:pStyle w:val="FirstParagraph"/>
      </w:pPr>
      <w:r>
        <w:t xml:space="preserve">Every canonical object SHALL support:</w:t>
      </w:r>
    </w:p>
    <w:p>
      <w:pPr>
        <w:pStyle w:val="BodyText"/>
      </w:pPr>
      <w:r>
        <w:t xml:space="preserve">Immutable history.</w:t>
      </w:r>
    </w:p>
    <w:p>
      <w:pPr>
        <w:pStyle w:val="BodyText"/>
      </w:pPr>
      <w:r>
        <w:t xml:space="preserve">Backward compatibility.</w:t>
      </w:r>
    </w:p>
    <w:p>
      <w:pPr>
        <w:pStyle w:val="BodyText"/>
      </w:pPr>
      <w:r>
        <w:t xml:space="preserve">Schema evolution.</w:t>
      </w:r>
    </w:p>
    <w:p>
      <w:pPr>
        <w:pStyle w:val="BodyText"/>
      </w:pPr>
      <w:r>
        <w:t xml:space="preserve">Migration.</w:t>
      </w:r>
    </w:p>
    <w:p>
      <w:pPr>
        <w:pStyle w:val="BodyText"/>
      </w:pPr>
      <w:r>
        <w:t xml:space="preserve">Historical reconstruction.</w:t>
      </w:r>
    </w:p>
    <w:p>
      <w:r>
        <w:pict>
          <v:rect style="width:0;height:1.5pt" o:hralign="center" o:hrstd="t" o:hr="t"/>
        </w:pict>
      </w:r>
    </w:p>
    <w:bookmarkEnd w:id="68"/>
    <w:bookmarkStart w:id="69" w:name="lifecycle-rules"/>
    <w:p>
      <w:pPr>
        <w:pStyle w:val="Heading1"/>
      </w:pPr>
      <w:r>
        <w:t xml:space="preserve">16. Lifecycle Rules</w:t>
      </w:r>
    </w:p>
    <w:p>
      <w:pPr>
        <w:pStyle w:val="FirstParagraph"/>
      </w:pPr>
      <w:r>
        <w:t xml:space="preserve">Every object SHALL define:</w:t>
      </w:r>
    </w:p>
    <w:p>
      <w:pPr>
        <w:pStyle w:val="BodyText"/>
      </w:pPr>
      <w:r>
        <w:t xml:space="preserve">Creation</w:t>
      </w:r>
    </w:p>
    <w:p>
      <w:pPr>
        <w:pStyle w:val="BodyText"/>
      </w:pPr>
      <w:r>
        <w:t xml:space="preserve">Modification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Publication</w:t>
      </w:r>
    </w:p>
    <w:p>
      <w:pPr>
        <w:pStyle w:val="BodyText"/>
      </w:pPr>
      <w:r>
        <w:t xml:space="preserve">Archival</w:t>
      </w:r>
    </w:p>
    <w:p>
      <w:pPr>
        <w:pStyle w:val="BodyText"/>
      </w:pPr>
      <w:r>
        <w:t xml:space="preserve">Retirement</w:t>
      </w:r>
    </w:p>
    <w:p>
      <w:pPr>
        <w:pStyle w:val="BodyText"/>
      </w:pPr>
      <w:r>
        <w:t xml:space="preserve">Lifecycle SHALL be externally observable.</w:t>
      </w:r>
    </w:p>
    <w:p>
      <w:r>
        <w:pict>
          <v:rect style="width:0;height:1.5pt" o:hralign="center" o:hrstd="t" o:hr="t"/>
        </w:pict>
      </w:r>
    </w:p>
    <w:bookmarkEnd w:id="69"/>
    <w:bookmarkStart w:id="70" w:name="governance-rules"/>
    <w:p>
      <w:pPr>
        <w:pStyle w:val="Heading1"/>
      </w:pPr>
      <w:r>
        <w:t xml:space="preserve">17. Governance Rules</w:t>
      </w:r>
    </w:p>
    <w:p>
      <w:pPr>
        <w:pStyle w:val="FirstParagraph"/>
      </w:pPr>
      <w:r>
        <w:t xml:space="preserve">Every canonical object SHALL support:</w:t>
      </w:r>
    </w:p>
    <w:p>
      <w:pPr>
        <w:pStyle w:val="BodyText"/>
      </w:pPr>
      <w:r>
        <w:t xml:space="preserve">Ownership.</w:t>
      </w:r>
    </w:p>
    <w:p>
      <w:pPr>
        <w:pStyle w:val="BodyText"/>
      </w:pPr>
      <w:r>
        <w:t xml:space="preserve">Audit.</w:t>
      </w:r>
    </w:p>
    <w:p>
      <w:pPr>
        <w:pStyle w:val="BodyText"/>
      </w:pPr>
      <w:r>
        <w:t xml:space="preserve">History.</w:t>
      </w:r>
    </w:p>
    <w:p>
      <w:pPr>
        <w:pStyle w:val="BodyText"/>
      </w:pPr>
      <w:r>
        <w:t xml:space="preserve">Authorization.</w:t>
      </w:r>
    </w:p>
    <w:p>
      <w:pPr>
        <w:pStyle w:val="BodyText"/>
      </w:pPr>
      <w:r>
        <w:t xml:space="preserve">Approval.</w:t>
      </w:r>
    </w:p>
    <w:p>
      <w:pPr>
        <w:pStyle w:val="BodyText"/>
      </w:pPr>
      <w:r>
        <w:t xml:space="preserve">Classification.</w:t>
      </w:r>
    </w:p>
    <w:p>
      <w:pPr>
        <w:pStyle w:val="BodyText"/>
      </w:pPr>
      <w:r>
        <w:t xml:space="preserve">Retention.</w:t>
      </w:r>
    </w:p>
    <w:p>
      <w:pPr>
        <w:pStyle w:val="BodyText"/>
      </w:pPr>
      <w:r>
        <w:t xml:space="preserve">Institutional objects SHALL never become anonymous.</w:t>
      </w:r>
    </w:p>
    <w:p>
      <w:r>
        <w:pict>
          <v:rect style="width:0;height:1.5pt" o:hralign="center" o:hrstd="t" o:hr="t"/>
        </w:pict>
      </w:r>
    </w:p>
    <w:bookmarkEnd w:id="70"/>
    <w:bookmarkStart w:id="71" w:name="object-evolution"/>
    <w:p>
      <w:pPr>
        <w:pStyle w:val="Heading1"/>
      </w:pPr>
      <w:r>
        <w:t xml:space="preserve">18. Object Evolution</w:t>
      </w:r>
    </w:p>
    <w:p>
      <w:pPr>
        <w:pStyle w:val="FirstParagraph"/>
      </w:pPr>
      <w:r>
        <w:t xml:space="preserve">Future objects SHALL:</w:t>
      </w:r>
    </w:p>
    <w:p>
      <w:pPr>
        <w:pStyle w:val="BodyText"/>
      </w:pPr>
      <w:r>
        <w:t xml:space="preserve">Reference existing canonical objects.</w:t>
      </w:r>
    </w:p>
    <w:p>
      <w:pPr>
        <w:pStyle w:val="BodyText"/>
      </w:pPr>
      <w:r>
        <w:t xml:space="preserve">Declare ownership.</w:t>
      </w:r>
    </w:p>
    <w:p>
      <w:pPr>
        <w:pStyle w:val="BodyText"/>
      </w:pPr>
      <w:r>
        <w:t xml:space="preserve">Define lifecycle.</w:t>
      </w:r>
    </w:p>
    <w:p>
      <w:pPr>
        <w:pStyle w:val="BodyText"/>
      </w:pPr>
      <w:r>
        <w:t xml:space="preserve">Define relationships.</w:t>
      </w:r>
    </w:p>
    <w:p>
      <w:pPr>
        <w:pStyle w:val="BodyText"/>
      </w:pPr>
      <w:r>
        <w:t xml:space="preserve">Publish canonical events.</w:t>
      </w:r>
    </w:p>
    <w:p>
      <w:pPr>
        <w:pStyle w:val="BodyText"/>
      </w:pPr>
      <w:r>
        <w:t xml:space="preserve">Remain backward compatible where practical.</w:t>
      </w:r>
    </w:p>
    <w:p>
      <w:r>
        <w:pict>
          <v:rect style="width:0;height:1.5pt" o:hralign="center" o:hrstd="t" o:hr="t"/>
        </w:pict>
      </w:r>
    </w:p>
    <w:bookmarkEnd w:id="71"/>
    <w:bookmarkStart w:id="75" w:name="reality-check"/>
    <w:p>
      <w:pPr>
        <w:pStyle w:val="Heading1"/>
      </w:pPr>
      <w:r>
        <w:t xml:space="preserve">19. Reality Check</w:t>
      </w:r>
    </w:p>
    <w:p>
      <w:pPr>
        <w:pStyle w:val="FirstParagraph"/>
      </w:pPr>
      <w:r>
        <w:t xml:space="preserve">The object catalog reflects three maturity levels.</w:t>
      </w:r>
    </w:p>
    <w:bookmarkStart w:id="72" w:name="proven"/>
    <w:p>
      <w:pPr>
        <w:pStyle w:val="Heading3"/>
      </w:pPr>
      <w:r>
        <w:t xml:space="preserve">Proven</w:t>
      </w:r>
    </w:p>
    <w:p>
      <w:pPr>
        <w:pStyle w:val="FirstParagraph"/>
      </w:pPr>
      <w:r>
        <w:t xml:space="preserve">Asset</w:t>
      </w:r>
    </w:p>
    <w:p>
      <w:pPr>
        <w:pStyle w:val="BodyText"/>
      </w:pPr>
      <w:r>
        <w:t xml:space="preserve">Knowledge</w:t>
      </w:r>
    </w:p>
    <w:p>
      <w:pPr>
        <w:pStyle w:val="BodyText"/>
      </w:pPr>
      <w:r>
        <w:t xml:space="preserve">Workflow</w:t>
      </w:r>
    </w:p>
    <w:p>
      <w:pPr>
        <w:pStyle w:val="BodyText"/>
      </w:pPr>
      <w:r>
        <w:t xml:space="preserve">Capability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Identity</w:t>
      </w:r>
    </w:p>
    <w:p>
      <w:pPr>
        <w:pStyle w:val="BodyText"/>
      </w:pPr>
      <w:r>
        <w:t xml:space="preserve">Version History</w:t>
      </w:r>
    </w:p>
    <w:p>
      <w:pPr>
        <w:pStyle w:val="BodyText"/>
      </w:pPr>
      <w:r>
        <w:t xml:space="preserve">Lineage</w:t>
      </w:r>
    </w:p>
    <w:bookmarkEnd w:id="72"/>
    <w:bookmarkStart w:id="73" w:name="partial"/>
    <w:p>
      <w:pPr>
        <w:pStyle w:val="Heading3"/>
      </w:pPr>
      <w:r>
        <w:t xml:space="preserve">Partial</w:t>
      </w:r>
    </w:p>
    <w:p>
      <w:pPr>
        <w:pStyle w:val="FirstParagraph"/>
      </w:pPr>
      <w:r>
        <w:t xml:space="preserve">Policy</w:t>
      </w:r>
    </w:p>
    <w:p>
      <w:pPr>
        <w:pStyle w:val="BodyText"/>
      </w:pPr>
      <w:r>
        <w:t xml:space="preserve">Trust Assessment</w:t>
      </w:r>
    </w:p>
    <w:p>
      <w:pPr>
        <w:pStyle w:val="BodyText"/>
      </w:pPr>
      <w:r>
        <w:t xml:space="preserve">Delegation</w:t>
      </w:r>
    </w:p>
    <w:p>
      <w:pPr>
        <w:pStyle w:val="BodyText"/>
      </w:pPr>
      <w:r>
        <w:t xml:space="preserve">Replay Session</w:t>
      </w:r>
    </w:p>
    <w:p>
      <w:pPr>
        <w:pStyle w:val="BodyText"/>
      </w:pPr>
      <w:r>
        <w:t xml:space="preserve">Certification</w:t>
      </w:r>
    </w:p>
    <w:bookmarkEnd w:id="73"/>
    <w:bookmarkStart w:id="74" w:name="planned"/>
    <w:p>
      <w:pPr>
        <w:pStyle w:val="Heading3"/>
      </w:pPr>
      <w:r>
        <w:t xml:space="preserve">Planned</w:t>
      </w:r>
    </w:p>
    <w:p>
      <w:pPr>
        <w:pStyle w:val="FirstParagraph"/>
      </w:pPr>
      <w:r>
        <w:t xml:space="preserve">Marketplace Objects</w:t>
      </w:r>
    </w:p>
    <w:p>
      <w:pPr>
        <w:pStyle w:val="BodyText"/>
      </w:pPr>
      <w:r>
        <w:t xml:space="preserve">Federation Objects</w:t>
      </w:r>
    </w:p>
    <w:p>
      <w:pPr>
        <w:pStyle w:val="BodyText"/>
      </w:pPr>
      <w:r>
        <w:t xml:space="preserve">Collaboration Objects</w:t>
      </w:r>
    </w:p>
    <w:p>
      <w:pPr>
        <w:pStyle w:val="BodyText"/>
      </w:pPr>
      <w:r>
        <w:t xml:space="preserve">Distributed Governance Objects</w:t>
      </w:r>
    </w:p>
    <w:p>
      <w:pPr>
        <w:pStyle w:val="BodyText"/>
      </w:pPr>
      <w:r>
        <w:t xml:space="preserve">The implementation SHALL prioritize proven objects before introducing new object families.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claude-implementation-guidance"/>
    <w:p>
      <w:pPr>
        <w:pStyle w:val="Heading1"/>
      </w:pPr>
      <w:r>
        <w:t xml:space="preserve">20. Claude Implementation Guidance</w:t>
      </w:r>
    </w:p>
    <w:p>
      <w:pPr>
        <w:pStyle w:val="FirstParagraph"/>
      </w:pPr>
      <w:r>
        <w:t xml:space="preserve">Before implementing any service:</w:t>
      </w:r>
    </w:p>
    <w:p>
      <w:pPr>
        <w:pStyle w:val="BodyText"/>
      </w:pPr>
      <w:r>
        <w:t xml:space="preserve">Identify canonical objects owned by the service.</w:t>
      </w:r>
    </w:p>
    <w:p>
      <w:pPr>
        <w:pStyle w:val="BodyText"/>
      </w:pPr>
      <w:r>
        <w:t xml:space="preserve">Do not redefine objects.</w:t>
      </w:r>
    </w:p>
    <w:p>
      <w:pPr>
        <w:pStyle w:val="BodyText"/>
      </w:pPr>
      <w:r>
        <w:t xml:space="preserve">Reference this catalog.</w:t>
      </w:r>
    </w:p>
    <w:p>
      <w:pPr>
        <w:pStyle w:val="BodyText"/>
      </w:pPr>
      <w:r>
        <w:t xml:space="preserve">Generate one domain model per canonical object.</w:t>
      </w:r>
    </w:p>
    <w:p>
      <w:pPr>
        <w:pStyle w:val="BodyText"/>
      </w:pPr>
      <w:r>
        <w:t xml:space="preserve">Generate serialization tests.</w:t>
      </w:r>
    </w:p>
    <w:p>
      <w:pPr>
        <w:pStyle w:val="BodyText"/>
      </w:pPr>
      <w:r>
        <w:t xml:space="preserve">Generate migration support.</w:t>
      </w:r>
    </w:p>
    <w:p>
      <w:pPr>
        <w:pStyle w:val="BodyText"/>
      </w:pPr>
      <w:r>
        <w:t xml:space="preserve">Generate version compatibility tests.</w:t>
      </w:r>
    </w:p>
    <w:p>
      <w:pPr>
        <w:pStyle w:val="BodyText"/>
      </w:pPr>
      <w:r>
        <w:t xml:space="preserve">Canonical Objects SHALL become the foundation of every implementation.</w:t>
      </w:r>
    </w:p>
    <w:p>
      <w:r>
        <w:pict>
          <v:rect style="width:0;height:1.5pt" o:hralign="center" o:hrstd="t" o:hr="t"/>
        </w:pict>
      </w:r>
    </w:p>
    <w:bookmarkEnd w:id="76"/>
    <w:bookmarkStart w:id="77" w:name="relationship-to-other-documents"/>
    <w:p>
      <w:pPr>
        <w:pStyle w:val="Heading1"/>
      </w:pPr>
      <w:r>
        <w:t xml:space="preserve">21. Relationship to Other Documents</w:t>
      </w:r>
    </w:p>
    <w:p>
      <w:pPr>
        <w:pStyle w:val="FirstParagraph"/>
      </w:pPr>
      <w:r>
        <w:t xml:space="preserve">This catalog operationalizes:</w:t>
      </w:r>
    </w:p>
    <w:p>
      <w:pPr>
        <w:pStyle w:val="BodyText"/>
      </w:pPr>
      <w:r>
        <w:t xml:space="preserve">KMOS-0100 Canonical Objects</w:t>
      </w:r>
    </w:p>
    <w:p>
      <w:pPr>
        <w:pStyle w:val="BodyText"/>
      </w:pPr>
      <w:r>
        <w:t xml:space="preserve">KMOS-0201–0207 Platform Services</w:t>
      </w:r>
    </w:p>
    <w:p>
      <w:pPr>
        <w:pStyle w:val="BodyText"/>
      </w:pPr>
      <w:r>
        <w:t xml:space="preserve">KMOS-9999 Implementation Constitution</w:t>
      </w:r>
    </w:p>
    <w:p>
      <w:pPr>
        <w:pStyle w:val="BodyText"/>
      </w:pPr>
      <w:r>
        <w:t xml:space="preserve">KMOS-10000 Implementation Dossier</w:t>
      </w:r>
    </w:p>
    <w:p>
      <w:pPr>
        <w:pStyle w:val="BodyText"/>
      </w:pPr>
      <w:r>
        <w:t xml:space="preserve">Every service specification SHALL reference this catalog rather than redefining business objects.</w:t>
      </w:r>
    </w:p>
    <w:p>
      <w:r>
        <w:pict>
          <v:rect style="width:0;height:1.5pt" o:hralign="center" o:hrstd="t" o:hr="t"/>
        </w:pict>
      </w:r>
    </w:p>
    <w:bookmarkEnd w:id="77"/>
    <w:bookmarkStart w:id="78" w:name="closing-statement"/>
    <w:p>
      <w:pPr>
        <w:pStyle w:val="Heading1"/>
      </w:pPr>
      <w:r>
        <w:t xml:space="preserve">22. Closing Statement</w:t>
      </w:r>
    </w:p>
    <w:p>
      <w:pPr>
        <w:pStyle w:val="FirstParagraph"/>
      </w:pPr>
      <w:r>
        <w:t xml:space="preserve">Canonical Objects are the language of KMOS.</w:t>
      </w:r>
    </w:p>
    <w:p>
      <w:pPr>
        <w:pStyle w:val="BodyText"/>
      </w:pPr>
      <w:r>
        <w:t xml:space="preserve">Every API, workflow, capability, event, governance decision, application, and future extension communicates through these shared business concepts.</w:t>
      </w:r>
    </w:p>
    <w:p>
      <w:pPr>
        <w:pStyle w:val="BodyText"/>
      </w:pPr>
      <w:r>
        <w:t xml:space="preserve">Maintaining one authoritative object catalog ensures that the platform evolves through shared understanding rather than duplicated models.</w:t>
      </w:r>
    </w:p>
    <w:p>
      <w:pPr>
        <w:pStyle w:val="BodyText"/>
      </w:pPr>
      <w:r>
        <w:t xml:space="preserve">The Canonical Object Catalog therefore becomes one of the most important long-term engineering assets of the KMOS platform.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2026-06-30T09:12:01Z</dcterms:created>
  <dcterms:modified xsi:type="dcterms:W3CDTF">2026-06-30T09:12:01Z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