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mos-10050"/>
    <w:p>
      <w:pPr>
        <w:pStyle w:val="Heading1"/>
      </w:pPr>
      <w:r>
        <w:t xml:space="preserve">KMOS-10050</w:t>
      </w:r>
    </w:p>
    <w:bookmarkEnd w:id="20"/>
    <w:bookmarkStart w:id="21" w:name="reference-architecture-atlas"/>
    <w:p>
      <w:pPr>
        <w:pStyle w:val="Heading1"/>
      </w:pPr>
      <w:r>
        <w:t xml:space="preserve">Reference Architecture Atlas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Constitutional Reference Architecture</w:t>
      </w:r>
    </w:p>
    <w:p>
      <w:pPr>
        <w:pStyle w:val="BodyText"/>
      </w:pPr>
      <w:r>
        <w:rPr>
          <w:b/>
          <w:bCs/>
        </w:rPr>
        <w:t xml:space="preserve">Audience</w:t>
      </w:r>
    </w:p>
    <w:p>
      <w:pPr>
        <w:pStyle w:val="Compact"/>
        <w:numPr>
          <w:ilvl w:val="0"/>
          <w:numId w:val="1001"/>
        </w:numPr>
      </w:pPr>
      <w:r>
        <w:t xml:space="preserve">Principal Architects</w:t>
      </w:r>
    </w:p>
    <w:p>
      <w:pPr>
        <w:pStyle w:val="Compact"/>
        <w:numPr>
          <w:ilvl w:val="0"/>
          <w:numId w:val="1001"/>
        </w:numPr>
      </w:pPr>
      <w:r>
        <w:t xml:space="preserve">Engineering Teams</w:t>
      </w:r>
    </w:p>
    <w:p>
      <w:pPr>
        <w:pStyle w:val="Compact"/>
        <w:numPr>
          <w:ilvl w:val="0"/>
          <w:numId w:val="1001"/>
        </w:numPr>
      </w:pPr>
      <w:r>
        <w:t xml:space="preserve">AI Coding Agents</w:t>
      </w:r>
    </w:p>
    <w:p>
      <w:pPr>
        <w:pStyle w:val="Compact"/>
        <w:numPr>
          <w:ilvl w:val="0"/>
          <w:numId w:val="1001"/>
        </w:numPr>
      </w:pPr>
      <w:r>
        <w:t xml:space="preserve">Platform Maintainers</w:t>
      </w:r>
    </w:p>
    <w:p>
      <w:pPr>
        <w:pStyle w:val="Compact"/>
        <w:numPr>
          <w:ilvl w:val="0"/>
          <w:numId w:val="1001"/>
        </w:numPr>
      </w:pPr>
      <w:r>
        <w:t xml:space="preserve">Technical Reviewers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The Reference Architecture Atlas provides the complete architectural map of the Knowledge &amp; Media Operating System (KMOS).</w:t>
      </w:r>
    </w:p>
    <w:p>
      <w:pPr>
        <w:pStyle w:val="BodyText"/>
      </w:pPr>
      <w:r>
        <w:t xml:space="preserve">Unlike service specifications, which define individual components, the Atlas illustrates how every component relates to every other component.</w:t>
      </w:r>
    </w:p>
    <w:p>
      <w:pPr>
        <w:pStyle w:val="BodyText"/>
      </w:pPr>
      <w:r>
        <w:t xml:space="preserve">It is the primary navigation document for understanding the platform as a whole.</w:t>
      </w:r>
    </w:p>
    <w:p>
      <w:pPr>
        <w:pStyle w:val="BodyText"/>
      </w:pPr>
      <w:r>
        <w:t xml:space="preserve">The Atlas SHALL introduce no new architectural requirements.</w:t>
      </w:r>
    </w:p>
    <w:p>
      <w:pPr>
        <w:pStyle w:val="BodyText"/>
      </w:pPr>
      <w:r>
        <w:t xml:space="preserve">It SHALL describe and connect the architecture defined by the KMOS specification series.</w:t>
      </w:r>
    </w:p>
    <w:p>
      <w:r>
        <w:pict>
          <v:rect style="width:0;height:1.5pt" o:hralign="center" o:hrstd="t" o:hr="t"/>
        </w:pict>
      </w:r>
    </w:p>
    <w:bookmarkEnd w:id="22"/>
    <w:bookmarkStart w:id="23" w:name="mission"/>
    <w:p>
      <w:pPr>
        <w:pStyle w:val="Heading1"/>
      </w:pPr>
      <w:r>
        <w:t xml:space="preserve">2. Mission</w:t>
      </w:r>
    </w:p>
    <w:p>
      <w:pPr>
        <w:pStyle w:val="FirstParagraph"/>
      </w:pPr>
      <w:r>
        <w:t xml:space="preserve">Provide a complete architectural view of KMOS that enables engineers to:</w:t>
      </w:r>
    </w:p>
    <w:p>
      <w:pPr>
        <w:pStyle w:val="BodyText"/>
      </w:pPr>
      <w:r>
        <w:t xml:space="preserve">Understand the platform.</w:t>
      </w:r>
    </w:p>
    <w:p>
      <w:pPr>
        <w:pStyle w:val="BodyText"/>
      </w:pPr>
      <w:r>
        <w:t xml:space="preserve">Navigate implementation.</w:t>
      </w:r>
    </w:p>
    <w:p>
      <w:pPr>
        <w:pStyle w:val="BodyText"/>
      </w:pPr>
      <w:r>
        <w:t xml:space="preserve">Identify dependencies.</w:t>
      </w:r>
    </w:p>
    <w:p>
      <w:pPr>
        <w:pStyle w:val="BodyText"/>
      </w:pPr>
      <w:r>
        <w:t xml:space="preserve">Reason about changes.</w:t>
      </w:r>
    </w:p>
    <w:p>
      <w:pPr>
        <w:pStyle w:val="BodyText"/>
      </w:pPr>
      <w:r>
        <w:t xml:space="preserve">Avoid architectural drift.</w:t>
      </w:r>
    </w:p>
    <w:p>
      <w:pPr>
        <w:pStyle w:val="BodyText"/>
      </w:pPr>
      <w:r>
        <w:t xml:space="preserve">Preserve institutional consistency.</w:t>
      </w:r>
    </w:p>
    <w:p>
      <w:r>
        <w:pict>
          <v:rect style="width:0;height:1.5pt" o:hralign="center" o:hrstd="t" o:hr="t"/>
        </w:pict>
      </w:r>
    </w:p>
    <w:bookmarkEnd w:id="23"/>
    <w:bookmarkStart w:id="24" w:name="architectural-layers"/>
    <w:p>
      <w:pPr>
        <w:pStyle w:val="Heading1"/>
      </w:pPr>
      <w:r>
        <w:t xml:space="preserve">3. Architectural Layers</w:t>
      </w:r>
    </w:p>
    <w:p>
      <w:pPr>
        <w:pStyle w:val="FirstParagraph"/>
      </w:pPr>
      <w:r>
        <w:t xml:space="preserve">KMOS is organized into six architectural layers.</w:t>
      </w:r>
    </w:p>
    <w:p>
      <w:pPr>
        <w:pStyle w:val="BodyText"/>
      </w:pPr>
      <w:r>
        <w:rPr>
          <w:rStyle w:val="VerbatimChar"/>
        </w:rPr>
        <w:t xml:space="preserve">text id="atlas-layer-stack" ┌──────────────────────────────────────────┐ │ Applications                             │ ├──────────────────────────────────────────┤ │ Domain Services                          │ ├──────────────────────────────────────────┤ │ Capabilities                             │ ├──────────────────────────────────────────┤ │ Platform Services                        │ ├──────────────────────────────────────────┤ │ Foundational Institutional Engines       │ ├──────────────────────────────────────────┤ │ Infrastructure                           │ └──────────────────────────────────────────┘</w:t>
      </w:r>
    </w:p>
    <w:p>
      <w:pPr>
        <w:pStyle w:val="BodyText"/>
      </w:pPr>
      <w:r>
        <w:t xml:space="preserve">Each layer depends only upon lower layers.</w:t>
      </w:r>
    </w:p>
    <w:p>
      <w:pPr>
        <w:pStyle w:val="BodyText"/>
      </w:pPr>
      <w:r>
        <w:t xml:space="preserve">Reverse dependencies SHALL be avoided.</w:t>
      </w:r>
    </w:p>
    <w:p>
      <w:r>
        <w:pict>
          <v:rect style="width:0;height:1.5pt" o:hralign="center" o:hrstd="t" o:hr="t"/>
        </w:pict>
      </w:r>
    </w:p>
    <w:bookmarkEnd w:id="24"/>
    <w:bookmarkStart w:id="25" w:name="foundational-institutional-engines"/>
    <w:p>
      <w:pPr>
        <w:pStyle w:val="Heading1"/>
      </w:pPr>
      <w:r>
        <w:t xml:space="preserve">4. Foundational Institutional Engines</w:t>
      </w:r>
    </w:p>
    <w:p>
      <w:pPr>
        <w:pStyle w:val="FirstParagraph"/>
      </w:pPr>
      <w:r>
        <w:t xml:space="preserve">The permanent foundation of KMOS consists of seven engines.</w:t>
      </w:r>
    </w:p>
    <w:p>
      <w:pPr>
        <w:pStyle w:val="BodyText"/>
      </w:pPr>
      <w:r>
        <w:t xml:space="preserve">```text id=</w:t>
      </w:r>
      <w:r>
        <w:t xml:space="preserve">“foundation-engines”</w:t>
      </w:r>
      <w:r>
        <w:t xml:space="preserve"> </w:t>
      </w:r>
      <w:r>
        <w:t xml:space="preserve">Knowledge Service</w:t>
      </w:r>
      <w:r>
        <w:t xml:space="preserve"> </w:t>
      </w:r>
      <w:r>
        <w:t xml:space="preserve">│</w:t>
      </w:r>
      <w:r>
        <w:t xml:space="preserve"> </w:t>
      </w:r>
      <w:r>
        <w:t xml:space="preserve">Meaning</w:t>
      </w:r>
    </w:p>
    <w:p>
      <w:pPr>
        <w:pStyle w:val="BodyText"/>
      </w:pPr>
      <w:r>
        <w:t xml:space="preserve">Asset Registry</w:t>
      </w:r>
      <w:r>
        <w:t xml:space="preserve"> </w:t>
      </w:r>
      <w:r>
        <w:t xml:space="preserve">│</w:t>
      </w:r>
      <w:r>
        <w:t xml:space="preserve"> </w:t>
      </w:r>
      <w:r>
        <w:t xml:space="preserve">Evidence</w:t>
      </w:r>
    </w:p>
    <w:p>
      <w:pPr>
        <w:pStyle w:val="BodyText"/>
      </w:pPr>
      <w:r>
        <w:t xml:space="preserve">Event Service</w:t>
      </w:r>
      <w:r>
        <w:t xml:space="preserve"> </w:t>
      </w:r>
      <w:r>
        <w:t xml:space="preserve">│</w:t>
      </w:r>
      <w:r>
        <w:t xml:space="preserve"> </w:t>
      </w:r>
      <w:r>
        <w:t xml:space="preserve">Communication</w:t>
      </w:r>
    </w:p>
    <w:p>
      <w:pPr>
        <w:pStyle w:val="BodyText"/>
      </w:pPr>
      <w:r>
        <w:t xml:space="preserve">Workflow Service</w:t>
      </w:r>
      <w:r>
        <w:t xml:space="preserve"> </w:t>
      </w:r>
      <w:r>
        <w:t xml:space="preserve">│</w:t>
      </w:r>
      <w:r>
        <w:t xml:space="preserve"> </w:t>
      </w:r>
      <w:r>
        <w:t xml:space="preserve">Coordination</w:t>
      </w:r>
    </w:p>
    <w:p>
      <w:pPr>
        <w:pStyle w:val="BodyText"/>
      </w:pPr>
      <w:r>
        <w:t xml:space="preserve">Capability Registry</w:t>
      </w:r>
      <w:r>
        <w:t xml:space="preserve"> </w:t>
      </w:r>
      <w:r>
        <w:t xml:space="preserve">│</w:t>
      </w:r>
      <w:r>
        <w:t xml:space="preserve"> </w:t>
      </w:r>
      <w:r>
        <w:t xml:space="preserve">Execution Knowledge</w:t>
      </w:r>
    </w:p>
    <w:p>
      <w:pPr>
        <w:pStyle w:val="BodyText"/>
      </w:pPr>
      <w:r>
        <w:t xml:space="preserve">Identity Service</w:t>
      </w:r>
      <w:r>
        <w:t xml:space="preserve"> </w:t>
      </w:r>
      <w:r>
        <w:t xml:space="preserve">│</w:t>
      </w:r>
      <w:r>
        <w:t xml:space="preserve"> </w:t>
      </w:r>
      <w:r>
        <w:t xml:space="preserve">Accountability</w:t>
      </w:r>
    </w:p>
    <w:p>
      <w:pPr>
        <w:pStyle w:val="BodyText"/>
      </w:pPr>
      <w:r>
        <w:t xml:space="preserve">Governance Service</w:t>
      </w:r>
      <w:r>
        <w:t xml:space="preserve"> </w:t>
      </w:r>
      <w:r>
        <w:t xml:space="preserve">│</w:t>
      </w:r>
      <w:r>
        <w:t xml:space="preserve"> </w:t>
      </w:r>
      <w:r>
        <w:t xml:space="preserve">Trust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These engines remain stable regardless of domain.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5. Platform Service Map</w:t>
      </w:r>
      <w:r>
        <w:br/>
      </w:r>
      <w:r>
        <w:br/>
      </w:r>
      <w:r>
        <w:rPr>
          <w:rStyle w:val="VerbatimChar"/>
        </w:rPr>
        <w:t xml:space="preserve">Platform Services cooperate through Canonical Objects and Canonical Events.</w:t>
      </w:r>
      <w:r>
        <w:br/>
      </w:r>
      <w:r>
        <w:br/>
      </w:r>
      <w:r>
        <w:rPr>
          <w:rStyle w:val="VerbatimChar"/>
        </w:rPr>
        <w:t xml:space="preserve">```text id="platform-map"</w:t>
      </w:r>
      <w:r>
        <w:br/>
      </w:r>
      <w:r>
        <w:rPr>
          <w:rStyle w:val="VerbatimChar"/>
        </w:rPr>
        <w:t xml:space="preserve">Knowledge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Assets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Identity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Governance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Capability Registry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Workflow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Configuration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Search</w:t>
      </w:r>
    </w:p>
    <w:p>
      <w:pPr>
        <w:pStyle w:val="FirstParagraph"/>
      </w:pPr>
      <w:r>
        <w:t xml:space="preserve">No Platform Service owns another Platform Service.</w:t>
      </w:r>
    </w:p>
    <w:p>
      <w:pPr>
        <w:pStyle w:val="BodyText"/>
      </w:pPr>
      <w:r>
        <w:t xml:space="preserve">Each owns its own business concepts.</w:t>
      </w:r>
    </w:p>
    <w:p>
      <w:r>
        <w:pict>
          <v:rect style="width:0;height:1.5pt" o:hralign="center" o:hrstd="t" o:hr="t"/>
        </w:pict>
      </w:r>
    </w:p>
    <w:bookmarkEnd w:id="25"/>
    <w:bookmarkStart w:id="26" w:name="capability-architecture"/>
    <w:p>
      <w:pPr>
        <w:pStyle w:val="Heading1"/>
      </w:pPr>
      <w:r>
        <w:t xml:space="preserve">6. Capability Architecture</w:t>
      </w:r>
    </w:p>
    <w:p>
      <w:pPr>
        <w:pStyle w:val="FirstParagraph"/>
      </w:pPr>
      <w:r>
        <w:t xml:space="preserve">Business logic exists exclusively inside Capabilities.</w:t>
      </w:r>
    </w:p>
    <w:p>
      <w:pPr>
        <w:pStyle w:val="BodyText"/>
      </w:pPr>
      <w:r>
        <w:t xml:space="preserve">```text id=</w:t>
      </w:r>
      <w:r>
        <w:t xml:space="preserve">“capability-view”</w:t>
      </w:r>
      <w:r>
        <w:t xml:space="preserve"> </w:t>
      </w:r>
      <w:r>
        <w:t xml:space="preserve">Applications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Workflow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Capability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</w:t>
      </w:r>
      <w:r>
        <w:t xml:space="preserve"> </w:t>
      </w:r>
      <w:r>
        <w:t xml:space="preserve">Assets</w:t>
      </w:r>
      <w:r>
        <w:t xml:space="preserve"> </w:t>
      </w:r>
      <w:r>
        <w:t xml:space="preserve">Events</w:t>
      </w:r>
      <w:r>
        <w:t xml:space="preserve"> </w:t>
      </w:r>
      <w:r>
        <w:t xml:space="preserve">Identity</w:t>
      </w:r>
      <w:r>
        <w:t xml:space="preserve"> </w:t>
      </w:r>
      <w:r>
        <w:t xml:space="preserve">Governance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Capabilities SHALL remain independently executable and reusable.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7. Domain Composition</w:t>
      </w:r>
      <w:r>
        <w:br/>
      </w:r>
      <w:r>
        <w:br/>
      </w:r>
      <w:r>
        <w:rPr>
          <w:rStyle w:val="VerbatimChar"/>
        </w:rPr>
        <w:t xml:space="preserve">Domains compose Capabilities.</w:t>
      </w:r>
      <w:r>
        <w:br/>
      </w:r>
      <w:r>
        <w:br/>
      </w:r>
      <w:r>
        <w:rPr>
          <w:rStyle w:val="VerbatimChar"/>
        </w:rPr>
        <w:t xml:space="preserve">Examples include:</w:t>
      </w:r>
      <w:r>
        <w:br/>
      </w:r>
      <w:r>
        <w:br/>
      </w:r>
      <w:r>
        <w:rPr>
          <w:rStyle w:val="VerbatimChar"/>
        </w:rPr>
        <w:t xml:space="preserve">Media</w:t>
      </w:r>
      <w:r>
        <w:br/>
      </w:r>
      <w:r>
        <w:br/>
      </w:r>
      <w:r>
        <w:rPr>
          <w:rStyle w:val="VerbatimChar"/>
        </w:rPr>
        <w:t xml:space="preserve">Language</w:t>
      </w:r>
      <w:r>
        <w:br/>
      </w:r>
      <w:r>
        <w:br/>
      </w:r>
      <w:r>
        <w:rPr>
          <w:rStyle w:val="VerbatimChar"/>
        </w:rPr>
        <w:t xml:space="preserve">Publishing</w:t>
      </w:r>
      <w:r>
        <w:br/>
      </w:r>
      <w:r>
        <w:br/>
      </w:r>
      <w:r>
        <w:rPr>
          <w:rStyle w:val="VerbatimChar"/>
        </w:rPr>
        <w:t xml:space="preserve">Research</w:t>
      </w:r>
      <w:r>
        <w:br/>
      </w:r>
      <w:r>
        <w:br/>
      </w:r>
      <w:r>
        <w:rPr>
          <w:rStyle w:val="VerbatimChar"/>
        </w:rPr>
        <w:t xml:space="preserve">Learning</w:t>
      </w:r>
      <w:r>
        <w:br/>
      </w:r>
      <w:r>
        <w:br/>
      </w:r>
      <w:r>
        <w:rPr>
          <w:rStyle w:val="VerbatimChar"/>
        </w:rPr>
        <w:t xml:space="preserve">Preservation</w:t>
      </w:r>
      <w:r>
        <w:br/>
      </w:r>
      <w:r>
        <w:br/>
      </w:r>
      <w:r>
        <w:rPr>
          <w:rStyle w:val="VerbatimChar"/>
        </w:rPr>
        <w:t xml:space="preserve">Analytics</w:t>
      </w:r>
      <w:r>
        <w:br/>
      </w:r>
      <w:r>
        <w:br/>
      </w:r>
      <w:r>
        <w:rPr>
          <w:rStyle w:val="VerbatimChar"/>
        </w:rPr>
        <w:t xml:space="preserve">Future domains SHALL be composed rather than hard-coded.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8. Application Architecture</w:t>
      </w:r>
      <w:r>
        <w:br/>
      </w:r>
      <w:r>
        <w:br/>
      </w:r>
      <w:r>
        <w:rPr>
          <w:rStyle w:val="VerbatimChar"/>
        </w:rPr>
        <w:t xml:space="preserve">Applications provide user experiences.</w:t>
      </w:r>
      <w:r>
        <w:br/>
      </w:r>
      <w:r>
        <w:br/>
      </w:r>
      <w:r>
        <w:rPr>
          <w:rStyle w:val="VerbatimChar"/>
        </w:rPr>
        <w:t xml:space="preserve">Examples:</w:t>
      </w:r>
      <w:r>
        <w:br/>
      </w:r>
      <w:r>
        <w:br/>
      </w:r>
      <w:r>
        <w:rPr>
          <w:rStyle w:val="VerbatimChar"/>
        </w:rPr>
        <w:t xml:space="preserve">Studio</w:t>
      </w:r>
      <w:r>
        <w:br/>
      </w:r>
      <w:r>
        <w:br/>
      </w:r>
      <w:r>
        <w:rPr>
          <w:rStyle w:val="VerbatimChar"/>
        </w:rPr>
        <w:t xml:space="preserve">Archive Explorer</w:t>
      </w:r>
      <w:r>
        <w:br/>
      </w:r>
      <w:r>
        <w:br/>
      </w:r>
      <w:r>
        <w:rPr>
          <w:rStyle w:val="VerbatimChar"/>
        </w:rPr>
        <w:t xml:space="preserve">Research Portal</w:t>
      </w:r>
      <w:r>
        <w:br/>
      </w:r>
      <w:r>
        <w:br/>
      </w:r>
      <w:r>
        <w:rPr>
          <w:rStyle w:val="VerbatimChar"/>
        </w:rPr>
        <w:t xml:space="preserve">Administration</w:t>
      </w:r>
      <w:r>
        <w:br/>
      </w:r>
      <w:r>
        <w:br/>
      </w:r>
      <w:r>
        <w:rPr>
          <w:rStyle w:val="VerbatimChar"/>
        </w:rPr>
        <w:t xml:space="preserve">Mobile Applications</w:t>
      </w:r>
      <w:r>
        <w:br/>
      </w:r>
      <w:r>
        <w:br/>
      </w:r>
      <w:r>
        <w:rPr>
          <w:rStyle w:val="VerbatimChar"/>
        </w:rPr>
        <w:t xml:space="preserve">Applications SHALL:</w:t>
      </w:r>
      <w:r>
        <w:br/>
      </w:r>
      <w:r>
        <w:br/>
      </w:r>
      <w:r>
        <w:rPr>
          <w:rStyle w:val="VerbatimChar"/>
        </w:rPr>
        <w:t xml:space="preserve">Remain thin.</w:t>
      </w:r>
      <w:r>
        <w:br/>
      </w:r>
      <w:r>
        <w:br/>
      </w:r>
      <w:r>
        <w:rPr>
          <w:rStyle w:val="VerbatimChar"/>
        </w:rPr>
        <w:t xml:space="preserve">Avoid business logic.</w:t>
      </w:r>
      <w:r>
        <w:br/>
      </w:r>
      <w:r>
        <w:br/>
      </w:r>
      <w:r>
        <w:rPr>
          <w:rStyle w:val="VerbatimChar"/>
        </w:rPr>
        <w:t xml:space="preserve">Consume Platform Services through Business APIs.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9. Canonical Object Relationships</w:t>
      </w:r>
      <w:r>
        <w:br/>
      </w:r>
      <w:r>
        <w:br/>
      </w:r>
      <w:r>
        <w:rPr>
          <w:rStyle w:val="VerbatimChar"/>
        </w:rPr>
        <w:t xml:space="preserve">Canonical Objects connect the platform.</w:t>
      </w:r>
      <w:r>
        <w:br/>
      </w:r>
      <w:r>
        <w:br/>
      </w:r>
      <w:r>
        <w:rPr>
          <w:rStyle w:val="VerbatimChar"/>
        </w:rPr>
        <w:t xml:space="preserve">```text id="object-relationship"</w:t>
      </w:r>
      <w:r>
        <w:br/>
      </w:r>
      <w:r>
        <w:rPr>
          <w:rStyle w:val="VerbatimChar"/>
        </w:rPr>
        <w:t xml:space="preserve">KnowledgeObject</w:t>
      </w:r>
      <w:r>
        <w:br/>
      </w:r>
      <w:r>
        <w:br/>
      </w:r>
      <w:r>
        <w:rPr>
          <w:rStyle w:val="VerbatimChar"/>
        </w:rPr>
        <w:t xml:space="preserve">← supported by →</w:t>
      </w:r>
      <w:r>
        <w:br/>
      </w:r>
      <w:r>
        <w:br/>
      </w:r>
      <w:r>
        <w:rPr>
          <w:rStyle w:val="VerbatimChar"/>
        </w:rPr>
        <w:t xml:space="preserve">Asset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produced by</w:t>
      </w:r>
      <w:r>
        <w:br/>
      </w:r>
      <w:r>
        <w:br/>
      </w:r>
      <w:r>
        <w:rPr>
          <w:rStyle w:val="VerbatimChar"/>
        </w:rPr>
        <w:t xml:space="preserve">WorkflowExecution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invokes</w:t>
      </w:r>
      <w:r>
        <w:br/>
      </w:r>
      <w:r>
        <w:br/>
      </w:r>
      <w:r>
        <w:rPr>
          <w:rStyle w:val="VerbatimChar"/>
        </w:rPr>
        <w:t xml:space="preserve">Capability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governed by</w:t>
      </w:r>
      <w:r>
        <w:br/>
      </w:r>
      <w:r>
        <w:br/>
      </w:r>
      <w:r>
        <w:rPr>
          <w:rStyle w:val="VerbatimChar"/>
        </w:rPr>
        <w:t xml:space="preserve">Policy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approved by</w:t>
      </w:r>
      <w:r>
        <w:br/>
      </w:r>
      <w:r>
        <w:br/>
      </w:r>
      <w:r>
        <w:rPr>
          <w:rStyle w:val="VerbatimChar"/>
        </w:rPr>
        <w:t xml:space="preserve">Identity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recorded through</w:t>
      </w:r>
      <w:r>
        <w:br/>
      </w:r>
      <w:r>
        <w:br/>
      </w:r>
      <w:r>
        <w:rPr>
          <w:rStyle w:val="VerbatimChar"/>
        </w:rPr>
        <w:t xml:space="preserve">CanonicalEvent</w:t>
      </w:r>
    </w:p>
    <w:p>
      <w:pPr>
        <w:pStyle w:val="FirstParagraph"/>
      </w:pPr>
      <w:r>
        <w:t xml:space="preserve">Every relationship SHALL remain explicit.</w:t>
      </w:r>
    </w:p>
    <w:p>
      <w:r>
        <w:pict>
          <v:rect style="width:0;height:1.5pt" o:hralign="center" o:hrstd="t" o:hr="t"/>
        </w:pict>
      </w:r>
    </w:p>
    <w:bookmarkEnd w:id="26"/>
    <w:bookmarkStart w:id="27" w:name="canonical-event-flow"/>
    <w:p>
      <w:pPr>
        <w:pStyle w:val="Heading1"/>
      </w:pPr>
      <w:r>
        <w:t xml:space="preserve">10. Canonical Event Flow</w:t>
      </w:r>
    </w:p>
    <w:p>
      <w:pPr>
        <w:pStyle w:val="FirstParagraph"/>
      </w:pPr>
      <w:r>
        <w:t xml:space="preserve">Institutional activity progresses through events.</w:t>
      </w:r>
    </w:p>
    <w:p>
      <w:pPr>
        <w:pStyle w:val="BodyText"/>
      </w:pPr>
      <w:r>
        <w:t xml:space="preserve">```text id=</w:t>
      </w:r>
      <w:r>
        <w:t xml:space="preserve">“event-flow”</w:t>
      </w:r>
      <w:r>
        <w:t xml:space="preserve"> </w:t>
      </w:r>
      <w:r>
        <w:t xml:space="preserve">Business Action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Capability Execution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Canonical Event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Workflow Progression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Governance Evaluation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Update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Application Notification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Events become the institutional history of KMOS.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11. Workflow Architecture</w:t>
      </w:r>
      <w:r>
        <w:br/>
      </w:r>
      <w:r>
        <w:br/>
      </w:r>
      <w:r>
        <w:rPr>
          <w:rStyle w:val="VerbatimChar"/>
        </w:rPr>
        <w:t xml:space="preserve">Workflows coordinate institutional activity.</w:t>
      </w:r>
      <w:r>
        <w:br/>
      </w:r>
      <w:r>
        <w:br/>
      </w:r>
      <w:r>
        <w:rPr>
          <w:rStyle w:val="VerbatimChar"/>
        </w:rPr>
        <w:t xml:space="preserve">```text id="workflow-view"</w:t>
      </w:r>
      <w:r>
        <w:br/>
      </w:r>
      <w:r>
        <w:rPr>
          <w:rStyle w:val="VerbatimChar"/>
        </w:rPr>
        <w:t xml:space="preserve">Trigger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Workflow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Capabilities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Canonical Events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Governance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Completion</w:t>
      </w:r>
    </w:p>
    <w:p>
      <w:pPr>
        <w:pStyle w:val="FirstParagraph"/>
      </w:pPr>
      <w:r>
        <w:t xml:space="preserve">Workflow coordinates.</w:t>
      </w:r>
    </w:p>
    <w:p>
      <w:pPr>
        <w:pStyle w:val="BodyText"/>
      </w:pPr>
      <w:r>
        <w:t xml:space="preserve">Capabilities compute.</w:t>
      </w:r>
    </w:p>
    <w:p>
      <w:r>
        <w:pict>
          <v:rect style="width:0;height:1.5pt" o:hralign="center" o:hrstd="t" o:hr="t"/>
        </w:pict>
      </w:r>
    </w:p>
    <w:bookmarkEnd w:id="27"/>
    <w:bookmarkStart w:id="28" w:name="governance-flow"/>
    <w:p>
      <w:pPr>
        <w:pStyle w:val="Heading1"/>
      </w:pPr>
      <w:r>
        <w:t xml:space="preserve">12. Governance Flow</w:t>
      </w:r>
    </w:p>
    <w:p>
      <w:pPr>
        <w:pStyle w:val="FirstParagraph"/>
      </w:pPr>
      <w:r>
        <w:t xml:space="preserve">Institutional trust emerges from evidence.</w:t>
      </w:r>
    </w:p>
    <w:p>
      <w:pPr>
        <w:pStyle w:val="BodyText"/>
      </w:pPr>
      <w:r>
        <w:t xml:space="preserve">```text id=</w:t>
      </w:r>
      <w:r>
        <w:t xml:space="preserve">“governance-flow”</w:t>
      </w:r>
      <w:r>
        <w:t xml:space="preserve"> </w:t>
      </w:r>
      <w:r>
        <w:t xml:space="preserve">Evidence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Policy Evaluation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Trust Assessment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Publication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Trust SHALL be explainable through evidence.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13. AI Participation Model</w:t>
      </w:r>
      <w:r>
        <w:br/>
      </w:r>
      <w:r>
        <w:br/>
      </w:r>
      <w:r>
        <w:rPr>
          <w:rStyle w:val="VerbatimChar"/>
        </w:rPr>
        <w:t xml:space="preserve">AI is integrated as a Capability.</w:t>
      </w:r>
      <w:r>
        <w:br/>
      </w:r>
      <w:r>
        <w:br/>
      </w:r>
      <w:r>
        <w:rPr>
          <w:rStyle w:val="VerbatimChar"/>
        </w:rPr>
        <w:t xml:space="preserve">```text id="ai-model"</w:t>
      </w:r>
      <w:r>
        <w:br/>
      </w:r>
      <w:r>
        <w:rPr>
          <w:rStyle w:val="VerbatimChar"/>
        </w:rPr>
        <w:t xml:space="preserve">Workflow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Capability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AI Model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Result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Human Review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Governance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Knowledge</w:t>
      </w:r>
    </w:p>
    <w:p>
      <w:pPr>
        <w:pStyle w:val="FirstParagraph"/>
      </w:pPr>
      <w:r>
        <w:t xml:space="preserve">AI SHALL never become the authoritative source of institutional knowledge.</w:t>
      </w:r>
    </w:p>
    <w:p>
      <w:r>
        <w:pict>
          <v:rect style="width:0;height:1.5pt" o:hralign="center" o:hrstd="t" o:hr="t"/>
        </w:pict>
      </w:r>
    </w:p>
    <w:bookmarkEnd w:id="28"/>
    <w:bookmarkStart w:id="29" w:name="reference-application-mapping"/>
    <w:p>
      <w:pPr>
        <w:pStyle w:val="Heading1"/>
      </w:pPr>
      <w:r>
        <w:t xml:space="preserve">14. Reference Application Mapping</w:t>
      </w:r>
    </w:p>
    <w:p>
      <w:pPr>
        <w:pStyle w:val="FirstParagraph"/>
      </w:pPr>
      <w:r>
        <w:t xml:space="preserve">The architecture SHALL be continuously validated through reference applications.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 Application</w:t>
            </w:r>
          </w:p>
        </w:tc>
        <w:tc>
          <w:tcPr/>
          <w:p>
            <w:pPr>
              <w:pStyle w:val="Compact"/>
            </w:pPr>
            <w:r>
              <w:t xml:space="preserve">Architectural Concepts Validated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Production Platform</w:t>
            </w:r>
          </w:p>
        </w:tc>
        <w:tc>
          <w:tcPr/>
          <w:p>
            <w:pPr>
              <w:pStyle w:val="Compact"/>
            </w:pPr>
            <w:r>
              <w:t xml:space="preserve">Workflow, Assets, Capabilities, Lineage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Preservation Platform</w:t>
            </w:r>
          </w:p>
        </w:tc>
        <w:tc>
          <w:tcPr/>
          <w:p>
            <w:pPr>
              <w:pStyle w:val="Compact"/>
            </w:pPr>
            <w:r>
              <w:t xml:space="preserve">Knowledge, Vocabulary,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MuhammadanWay Platform</w:t>
            </w:r>
          </w:p>
        </w:tc>
        <w:tc>
          <w:tcPr/>
          <w:p>
            <w:pPr>
              <w:pStyle w:val="Compact"/>
            </w:pPr>
            <w:r>
              <w:t xml:space="preserve">Publishing, Learning,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Platform</w:t>
            </w:r>
          </w:p>
        </w:tc>
        <w:tc>
          <w:tcPr/>
          <w:p>
            <w:pPr>
              <w:pStyle w:val="Compact"/>
            </w:pPr>
            <w:r>
              <w:t xml:space="preserve">Knowledge, Search, Collections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Educational Publishing Platform</w:t>
            </w:r>
          </w:p>
        </w:tc>
        <w:tc>
          <w:tcPr/>
          <w:p>
            <w:pPr>
              <w:pStyle w:val="Compact"/>
            </w:pPr>
            <w:r>
              <w:t xml:space="preserve">Workflow, Governance, Publications</w:t>
            </w:r>
          </w:p>
        </w:tc>
      </w:tr>
    </w:tbl>
    <w:p>
      <w:pPr>
        <w:pStyle w:val="BodyText"/>
      </w:pPr>
      <w:r>
        <w:t xml:space="preserve">Reference applications SHALL drive architectural refinement.</w:t>
      </w:r>
    </w:p>
    <w:p>
      <w:r>
        <w:pict>
          <v:rect style="width:0;height:1.5pt" o:hralign="center" o:hrstd="t" o:hr="t"/>
        </w:pict>
      </w:r>
    </w:p>
    <w:bookmarkEnd w:id="29"/>
    <w:bookmarkStart w:id="30" w:name="media-pipeline-mapping"/>
    <w:p>
      <w:pPr>
        <w:pStyle w:val="Heading1"/>
      </w:pPr>
      <w:r>
        <w:t xml:space="preserve">15. Media Pipeline Mapping</w:t>
      </w:r>
    </w:p>
    <w:p>
      <w:pPr>
        <w:pStyle w:val="FirstParagraph"/>
      </w:pPr>
      <w:r>
        <w:t xml:space="preserve">The Media Pipeline provides proven engineering patterns that directly inform KMOS.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Media Pipeline Pattern</w:t>
            </w:r>
          </w:p>
        </w:tc>
        <w:tc>
          <w:tcPr/>
          <w:p>
            <w:pPr>
              <w:pStyle w:val="Compact"/>
            </w:pPr>
            <w:r>
              <w:t xml:space="preserve">KMOS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Registry</w:t>
            </w:r>
          </w:p>
        </w:tc>
        <w:tc>
          <w:tcPr/>
          <w:p>
            <w:pPr>
              <w:pStyle w:val="Compact"/>
            </w:pPr>
            <w:r>
              <w:t xml:space="preserve">Asset Registry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Derivative Lineage</w:t>
            </w:r>
          </w:p>
        </w:tc>
        <w:tc>
          <w:tcPr/>
          <w:p>
            <w:pPr>
              <w:pStyle w:val="Compact"/>
            </w:pPr>
            <w:r>
              <w:t xml:space="preserve">Asset Lineage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Transcript Correction</w:t>
            </w:r>
          </w:p>
        </w:tc>
        <w:tc>
          <w:tcPr/>
          <w:p>
            <w:pPr>
              <w:pStyle w:val="Compact"/>
            </w:pPr>
            <w:r>
              <w:t xml:space="preserve">Knowledge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Libraries</w:t>
            </w:r>
          </w:p>
        </w:tc>
        <w:tc>
          <w:tcPr/>
          <w:p>
            <w:pPr>
              <w:pStyle w:val="Compact"/>
            </w:pPr>
            <w:r>
              <w:t xml:space="preserve">Capability 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Rendering Pipeline</w:t>
            </w:r>
          </w:p>
        </w:tc>
        <w:tc>
          <w:tcPr/>
          <w:p>
            <w:pPr>
              <w:pStyle w:val="Compact"/>
            </w:pPr>
            <w:r>
              <w:t xml:space="preserve">Capability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Gates</w:t>
            </w:r>
          </w:p>
        </w:tc>
        <w:tc>
          <w:tcPr/>
          <w:p>
            <w:pPr>
              <w:pStyle w:val="Compact"/>
            </w:pPr>
            <w:r>
              <w:t xml:space="preserve">Governance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Catalog-first Discovery</w:t>
            </w:r>
          </w:p>
        </w:tc>
        <w:tc>
          <w:tcPr/>
          <w:p>
            <w:pPr>
              <w:pStyle w:val="Compact"/>
            </w:pPr>
            <w:r>
              <w:t xml:space="preserve">Search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Orchestration</w:t>
            </w:r>
          </w:p>
        </w:tc>
        <w:tc>
          <w:tcPr/>
          <w:p>
            <w:pPr>
              <w:pStyle w:val="Compact"/>
            </w:pPr>
            <w:r>
              <w:t xml:space="preserve">Workflow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Certification</w:t>
            </w:r>
          </w:p>
        </w:tc>
        <w:tc>
          <w:tcPr/>
          <w:p>
            <w:pPr>
              <w:pStyle w:val="Compact"/>
            </w:pPr>
            <w:r>
              <w:t xml:space="preserve">Governance Certification</w:t>
            </w:r>
          </w:p>
        </w:tc>
      </w:tr>
    </w:tbl>
    <w:p>
      <w:pPr>
        <w:pStyle w:val="BodyText"/>
      </w:pPr>
      <w:r>
        <w:t xml:space="preserve">Existing implementations SHALL be treated as architectural evidence.</w:t>
      </w:r>
    </w:p>
    <w:p>
      <w:r>
        <w:pict>
          <v:rect style="width:0;height:1.5pt" o:hralign="center" o:hrstd="t" o:hr="t"/>
        </w:pict>
      </w:r>
    </w:p>
    <w:bookmarkEnd w:id="30"/>
    <w:bookmarkStart w:id="31" w:name="implementation-dependency-graph"/>
    <w:p>
      <w:pPr>
        <w:pStyle w:val="Heading1"/>
      </w:pPr>
      <w:r>
        <w:t xml:space="preserve">16. Implementation Dependency Graph</w:t>
      </w:r>
    </w:p>
    <w:p>
      <w:pPr>
        <w:pStyle w:val="FirstParagraph"/>
      </w:pPr>
      <w:r>
        <w:t xml:space="preserve">The recommended implementation order is:</w:t>
      </w:r>
    </w:p>
    <w:p>
      <w:pPr>
        <w:pStyle w:val="BodyText"/>
      </w:pPr>
      <w:r>
        <w:t xml:space="preserve">```text id=</w:t>
      </w:r>
      <w:r>
        <w:t xml:space="preserve">“dependency-graph”</w:t>
      </w:r>
      <w:r>
        <w:t xml:space="preserve"> </w:t>
      </w:r>
      <w:r>
        <w:t xml:space="preserve">Foundational Engines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Capability Registry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Capability Runtime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Workflow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Configuration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Search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Domain Services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Applications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Every implementation SHALL preserve dependency ordering unless explicitly justified.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17. Repository Mapping</w:t>
      </w:r>
      <w:r>
        <w:br/>
      </w:r>
      <w:r>
        <w:br/>
      </w:r>
      <w:r>
        <w:rPr>
          <w:rStyle w:val="VerbatimChar"/>
        </w:rPr>
        <w:t xml:space="preserve">The repository organization reflects the architecture.</w:t>
      </w:r>
      <w:r>
        <w:br/>
      </w:r>
      <w:r>
        <w:br/>
      </w:r>
      <w:r>
        <w:rPr>
          <w:rStyle w:val="VerbatimChar"/>
        </w:rPr>
        <w:t xml:space="preserve">```text id="repository-map"</w:t>
      </w:r>
      <w:r>
        <w:br/>
      </w:r>
      <w:r>
        <w:rPr>
          <w:rStyle w:val="VerbatimChar"/>
        </w:rPr>
        <w:t xml:space="preserve">specifications/</w:t>
      </w:r>
      <w:r>
        <w:br/>
      </w:r>
      <w:r>
        <w:br/>
      </w:r>
      <w:r>
        <w:rPr>
          <w:rStyle w:val="VerbatimChar"/>
        </w:rPr>
        <w:t xml:space="preserve">constitution/</w:t>
      </w:r>
      <w:r>
        <w:br/>
      </w:r>
      <w:r>
        <w:br/>
      </w:r>
      <w:r>
        <w:rPr>
          <w:rStyle w:val="VerbatimChar"/>
        </w:rPr>
        <w:t xml:space="preserve">architecture/</w:t>
      </w:r>
      <w:r>
        <w:br/>
      </w:r>
      <w:r>
        <w:br/>
      </w:r>
      <w:r>
        <w:rPr>
          <w:rStyle w:val="VerbatimChar"/>
        </w:rPr>
        <w:t xml:space="preserve">platform/</w:t>
      </w:r>
      <w:r>
        <w:br/>
      </w:r>
      <w:r>
        <w:br/>
      </w:r>
      <w:r>
        <w:rPr>
          <w:rStyle w:val="VerbatimChar"/>
        </w:rPr>
        <w:t xml:space="preserve">engines/</w:t>
      </w:r>
      <w:r>
        <w:br/>
      </w:r>
      <w:r>
        <w:br/>
      </w:r>
      <w:r>
        <w:rPr>
          <w:rStyle w:val="VerbatimChar"/>
        </w:rPr>
        <w:t xml:space="preserve">capabilities/</w:t>
      </w:r>
      <w:r>
        <w:br/>
      </w:r>
      <w:r>
        <w:br/>
      </w:r>
      <w:r>
        <w:rPr>
          <w:rStyle w:val="VerbatimChar"/>
        </w:rPr>
        <w:t xml:space="preserve">domains/</w:t>
      </w:r>
      <w:r>
        <w:br/>
      </w:r>
      <w:r>
        <w:br/>
      </w:r>
      <w:r>
        <w:rPr>
          <w:rStyle w:val="VerbatimChar"/>
        </w:rPr>
        <w:t xml:space="preserve">applications/</w:t>
      </w:r>
      <w:r>
        <w:br/>
      </w:r>
      <w:r>
        <w:br/>
      </w:r>
      <w:r>
        <w:rPr>
          <w:rStyle w:val="VerbatimChar"/>
        </w:rPr>
        <w:t xml:space="preserve">extensions/</w:t>
      </w:r>
      <w:r>
        <w:br/>
      </w:r>
      <w:r>
        <w:br/>
      </w:r>
      <w:r>
        <w:rPr>
          <w:rStyle w:val="VerbatimChar"/>
        </w:rPr>
        <w:t xml:space="preserve">deployment/</w:t>
      </w:r>
      <w:r>
        <w:br/>
      </w:r>
      <w:r>
        <w:br/>
      </w:r>
      <w:r>
        <w:rPr>
          <w:rStyle w:val="VerbatimChar"/>
        </w:rPr>
        <w:t xml:space="preserve">testing/</w:t>
      </w:r>
      <w:r>
        <w:br/>
      </w:r>
      <w:r>
        <w:br/>
      </w:r>
      <w:r>
        <w:rPr>
          <w:rStyle w:val="VerbatimChar"/>
        </w:rPr>
        <w:t xml:space="preserve">documentation/</w:t>
      </w:r>
    </w:p>
    <w:p>
      <w:pPr>
        <w:pStyle w:val="FirstParagraph"/>
      </w:pPr>
      <w:r>
        <w:t xml:space="preserve">Repository organization SHALL reinforce architectural understanding.</w:t>
      </w:r>
    </w:p>
    <w:p>
      <w:r>
        <w:pict>
          <v:rect style="width:0;height:1.5pt" o:hralign="center" o:hrstd="t" o:hr="t"/>
        </w:pict>
      </w:r>
    </w:p>
    <w:bookmarkEnd w:id="31"/>
    <w:bookmarkStart w:id="32" w:name="engineering-lifecycle"/>
    <w:p>
      <w:pPr>
        <w:pStyle w:val="Heading1"/>
      </w:pPr>
      <w:r>
        <w:t xml:space="preserve">18. Engineering Lifecycle</w:t>
      </w:r>
    </w:p>
    <w:p>
      <w:pPr>
        <w:pStyle w:val="FirstParagraph"/>
      </w:pPr>
      <w:r>
        <w:t xml:space="preserve">Every feature SHALL follow the same lifecycle.</w:t>
      </w:r>
    </w:p>
    <w:p>
      <w:pPr>
        <w:pStyle w:val="BodyText"/>
      </w:pPr>
      <w:r>
        <w:t xml:space="preserve">```text id=</w:t>
      </w:r>
      <w:r>
        <w:t xml:space="preserve">“engineering-lifecycle”</w:t>
      </w:r>
      <w:r>
        <w:t xml:space="preserve"> </w:t>
      </w:r>
      <w:r>
        <w:t xml:space="preserve">Specification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Implementation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Testing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Documentation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Governance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Deployment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Reference Validation</w:t>
      </w:r>
      <w:r>
        <w:t xml:space="preserve"> </w:t>
      </w:r>
      <w:r>
        <w:t xml:space="preserve">```</w:t>
      </w:r>
    </w:p>
    <w:p>
      <w:pPr>
        <w:pStyle w:val="BodyText"/>
      </w:pPr>
      <w:r>
        <w:t xml:space="preserve">Engineering SHALL remain evidence-driven.</w:t>
      </w:r>
    </w:p>
    <w:p>
      <w:r>
        <w:pict>
          <v:rect style="width:0;height:1.5pt" o:hralign="center" o:hrstd="t" o:hr="t"/>
        </w:pict>
      </w:r>
    </w:p>
    <w:bookmarkEnd w:id="32"/>
    <w:bookmarkStart w:id="33" w:name="decision-guide"/>
    <w:p>
      <w:pPr>
        <w:pStyle w:val="Heading1"/>
      </w:pPr>
      <w:r>
        <w:t xml:space="preserve">19. Decision Guide</w:t>
      </w:r>
    </w:p>
    <w:p>
      <w:pPr>
        <w:pStyle w:val="FirstParagraph"/>
      </w:pPr>
      <w:r>
        <w:t xml:space="preserve">When making implementation decisions:</w:t>
      </w:r>
    </w:p>
    <w:p>
      <w:pPr>
        <w:pStyle w:val="Compact"/>
        <w:numPr>
          <w:ilvl w:val="0"/>
          <w:numId w:val="1002"/>
        </w:numPr>
      </w:pPr>
      <w:r>
        <w:t xml:space="preserve">Consult the Product Vision &amp; Engineering Charter.</w:t>
      </w:r>
    </w:p>
    <w:p>
      <w:pPr>
        <w:pStyle w:val="Compact"/>
        <w:numPr>
          <w:ilvl w:val="0"/>
          <w:numId w:val="1002"/>
        </w:numPr>
      </w:pPr>
      <w:r>
        <w:t xml:space="preserve">Follow the Implementation Constitution.</w:t>
      </w:r>
    </w:p>
    <w:p>
      <w:pPr>
        <w:pStyle w:val="Compact"/>
        <w:numPr>
          <w:ilvl w:val="0"/>
          <w:numId w:val="1002"/>
        </w:numPr>
      </w:pPr>
      <w:r>
        <w:t xml:space="preserve">Consult the relevant service specification.</w:t>
      </w:r>
    </w:p>
    <w:p>
      <w:pPr>
        <w:pStyle w:val="Compact"/>
        <w:numPr>
          <w:ilvl w:val="0"/>
          <w:numId w:val="1002"/>
        </w:numPr>
      </w:pPr>
      <w:r>
        <w:t xml:space="preserve">Verify Canonical Objects.</w:t>
      </w:r>
    </w:p>
    <w:p>
      <w:pPr>
        <w:pStyle w:val="Compact"/>
        <w:numPr>
          <w:ilvl w:val="0"/>
          <w:numId w:val="1002"/>
        </w:numPr>
      </w:pPr>
      <w:r>
        <w:t xml:space="preserve">Verify Canonical Events.</w:t>
      </w:r>
    </w:p>
    <w:p>
      <w:pPr>
        <w:pStyle w:val="Compact"/>
        <w:numPr>
          <w:ilvl w:val="0"/>
          <w:numId w:val="1002"/>
        </w:numPr>
      </w:pPr>
      <w:r>
        <w:t xml:space="preserve">Update documentation.</w:t>
      </w:r>
    </w:p>
    <w:p>
      <w:pPr>
        <w:pStyle w:val="Compact"/>
        <w:numPr>
          <w:ilvl w:val="0"/>
          <w:numId w:val="1002"/>
        </w:numPr>
      </w:pPr>
      <w:r>
        <w:t xml:space="preserve">Validate through a reference application.</w:t>
      </w:r>
    </w:p>
    <w:p>
      <w:pPr>
        <w:pStyle w:val="FirstParagraph"/>
      </w:pPr>
      <w:r>
        <w:t xml:space="preserve">This sequence SHALL minimize architectural inconsistency.</w:t>
      </w:r>
    </w:p>
    <w:p>
      <w:r>
        <w:pict>
          <v:rect style="width:0;height:1.5pt" o:hralign="center" o:hrstd="t" o:hr="t"/>
        </w:pict>
      </w:r>
    </w:p>
    <w:bookmarkEnd w:id="33"/>
    <w:bookmarkStart w:id="34" w:name="atlas-navigation"/>
    <w:p>
      <w:pPr>
        <w:pStyle w:val="Heading1"/>
      </w:pPr>
      <w:r>
        <w:t xml:space="preserve">20. Atlas Navigation</w:t>
      </w:r>
    </w:p>
    <w:p>
      <w:pPr>
        <w:pStyle w:val="FirstParagraph"/>
      </w:pPr>
      <w:r>
        <w:t xml:space="preserve">The recommended reading order for new engineers and AI coding agents is:</w:t>
      </w:r>
    </w:p>
    <w:p>
      <w:pPr>
        <w:pStyle w:val="Compact"/>
        <w:numPr>
          <w:ilvl w:val="0"/>
          <w:numId w:val="1003"/>
        </w:numPr>
      </w:pPr>
      <w:r>
        <w:t xml:space="preserve">KMOS-10005 Product Vision &amp; Engineering Charter</w:t>
      </w:r>
    </w:p>
    <w:p>
      <w:pPr>
        <w:pStyle w:val="Compact"/>
        <w:numPr>
          <w:ilvl w:val="0"/>
          <w:numId w:val="1003"/>
        </w:numPr>
      </w:pPr>
      <w:r>
        <w:t xml:space="preserve">KMOS-9999 Implementation Constitution</w:t>
      </w:r>
    </w:p>
    <w:p>
      <w:pPr>
        <w:pStyle w:val="Compact"/>
        <w:numPr>
          <w:ilvl w:val="0"/>
          <w:numId w:val="1003"/>
        </w:numPr>
      </w:pPr>
      <w:r>
        <w:t xml:space="preserve">KMOS-10000 Implementation Dossier</w:t>
      </w:r>
    </w:p>
    <w:p>
      <w:pPr>
        <w:pStyle w:val="Compact"/>
        <w:numPr>
          <w:ilvl w:val="0"/>
          <w:numId w:val="1003"/>
        </w:numPr>
      </w:pPr>
      <w:r>
        <w:t xml:space="preserve">KMOS-10010 Master Implementation Roadmap</w:t>
      </w:r>
    </w:p>
    <w:p>
      <w:pPr>
        <w:pStyle w:val="Compact"/>
        <w:numPr>
          <w:ilvl w:val="0"/>
          <w:numId w:val="1003"/>
        </w:numPr>
      </w:pPr>
      <w:r>
        <w:t xml:space="preserve">KMOS-10020 Repository Constitution</w:t>
      </w:r>
    </w:p>
    <w:p>
      <w:pPr>
        <w:pStyle w:val="Compact"/>
        <w:numPr>
          <w:ilvl w:val="0"/>
          <w:numId w:val="1003"/>
        </w:numPr>
      </w:pPr>
      <w:r>
        <w:t xml:space="preserve">KMOS-10030 Canonical Object Catalog</w:t>
      </w:r>
    </w:p>
    <w:p>
      <w:pPr>
        <w:pStyle w:val="Compact"/>
        <w:numPr>
          <w:ilvl w:val="0"/>
          <w:numId w:val="1003"/>
        </w:numPr>
      </w:pPr>
      <w:r>
        <w:t xml:space="preserve">KMOS-10040 Canonical Event Catalog</w:t>
      </w:r>
    </w:p>
    <w:p>
      <w:pPr>
        <w:pStyle w:val="Compact"/>
        <w:numPr>
          <w:ilvl w:val="0"/>
          <w:numId w:val="1003"/>
        </w:numPr>
      </w:pPr>
      <w:r>
        <w:t xml:space="preserve">KMOS-10050 Reference Architecture Atlas</w:t>
      </w:r>
    </w:p>
    <w:p>
      <w:pPr>
        <w:pStyle w:val="Compact"/>
        <w:numPr>
          <w:ilvl w:val="0"/>
          <w:numId w:val="1003"/>
        </w:numPr>
      </w:pPr>
      <w:r>
        <w:t xml:space="preserve">KMOS-0201–0207 Platform Service Specifications</w:t>
      </w:r>
    </w:p>
    <w:p>
      <w:pPr>
        <w:pStyle w:val="Compact"/>
        <w:numPr>
          <w:ilvl w:val="0"/>
          <w:numId w:val="1003"/>
        </w:numPr>
      </w:pPr>
      <w:r>
        <w:t xml:space="preserve">Domain Service Specifications</w:t>
      </w:r>
    </w:p>
    <w:p>
      <w:pPr>
        <w:pStyle w:val="FirstParagraph"/>
      </w:pPr>
      <w:r>
        <w:t xml:space="preserve">This reading order provides context before implementation details.</w:t>
      </w:r>
    </w:p>
    <w:p>
      <w:r>
        <w:pict>
          <v:rect style="width:0;height:1.5pt" o:hralign="center" o:hrstd="t" o:hr="t"/>
        </w:pict>
      </w:r>
    </w:p>
    <w:bookmarkEnd w:id="34"/>
    <w:bookmarkStart w:id="35" w:name="architectural-evolution"/>
    <w:p>
      <w:pPr>
        <w:pStyle w:val="Heading1"/>
      </w:pPr>
      <w:r>
        <w:t xml:space="preserve">21. Architectural Evolution</w:t>
      </w:r>
    </w:p>
    <w:p>
      <w:pPr>
        <w:pStyle w:val="FirstParagraph"/>
      </w:pPr>
      <w:r>
        <w:t xml:space="preserve">Future architecture SHALL evolve by:</w:t>
      </w:r>
    </w:p>
    <w:p>
      <w:pPr>
        <w:pStyle w:val="BodyText"/>
      </w:pPr>
      <w:r>
        <w:t xml:space="preserve">Adding Capabilities.</w:t>
      </w:r>
    </w:p>
    <w:p>
      <w:pPr>
        <w:pStyle w:val="BodyText"/>
      </w:pPr>
      <w:r>
        <w:t xml:space="preserve">Adding Domain Services.</w:t>
      </w:r>
    </w:p>
    <w:p>
      <w:pPr>
        <w:pStyle w:val="BodyText"/>
      </w:pPr>
      <w:r>
        <w:t xml:space="preserve">Adding Extensions.</w:t>
      </w:r>
    </w:p>
    <w:p>
      <w:pPr>
        <w:pStyle w:val="BodyText"/>
      </w:pPr>
      <w:r>
        <w:t xml:space="preserve">Adding Reference Applications.</w:t>
      </w:r>
    </w:p>
    <w:p>
      <w:pPr>
        <w:pStyle w:val="BodyText"/>
      </w:pPr>
      <w:r>
        <w:t xml:space="preserve">The seven Foundational Institutional Engines SHALL remain stable except through formal constitutional review.</w:t>
      </w:r>
    </w:p>
    <w:p>
      <w:r>
        <w:pict>
          <v:rect style="width:0;height:1.5pt" o:hralign="center" o:hrstd="t" o:hr="t"/>
        </w:pict>
      </w:r>
    </w:p>
    <w:bookmarkEnd w:id="35"/>
    <w:bookmarkStart w:id="36" w:name="architectural-validation"/>
    <w:p>
      <w:pPr>
        <w:pStyle w:val="Heading1"/>
      </w:pPr>
      <w:r>
        <w:t xml:space="preserve">22. Architectural Validation</w:t>
      </w:r>
    </w:p>
    <w:p>
      <w:pPr>
        <w:pStyle w:val="FirstParagraph"/>
      </w:pPr>
      <w:r>
        <w:t xml:space="preserve">The Atlas SHALL be reviewed whenever:</w:t>
      </w:r>
    </w:p>
    <w:p>
      <w:pPr>
        <w:pStyle w:val="BodyText"/>
      </w:pPr>
      <w:r>
        <w:t xml:space="preserve">A new Platform Service is introduced.</w:t>
      </w:r>
    </w:p>
    <w:p>
      <w:pPr>
        <w:pStyle w:val="BodyText"/>
      </w:pPr>
      <w:r>
        <w:t xml:space="preserve">A Foundational Engine changes.</w:t>
      </w:r>
    </w:p>
    <w:p>
      <w:pPr>
        <w:pStyle w:val="BodyText"/>
      </w:pPr>
      <w:r>
        <w:t xml:space="preserve">A new Canonical Object is added.</w:t>
      </w:r>
    </w:p>
    <w:p>
      <w:pPr>
        <w:pStyle w:val="BodyText"/>
      </w:pPr>
      <w:r>
        <w:t xml:space="preserve">A new Canonical Event family is introduced.</w:t>
      </w:r>
    </w:p>
    <w:p>
      <w:pPr>
        <w:pStyle w:val="BodyText"/>
      </w:pPr>
      <w:r>
        <w:t xml:space="preserve">A new Domain Service is created.</w:t>
      </w:r>
    </w:p>
    <w:p>
      <w:pPr>
        <w:pStyle w:val="BodyText"/>
      </w:pPr>
      <w:r>
        <w:t xml:space="preserve">The Atlas SHALL remain synchronized with the architecture.</w:t>
      </w:r>
    </w:p>
    <w:p>
      <w:r>
        <w:pict>
          <v:rect style="width:0;height:1.5pt" o:hralign="center" o:hrstd="t" o:hr="t"/>
        </w:pict>
      </w:r>
    </w:p>
    <w:bookmarkEnd w:id="36"/>
    <w:bookmarkStart w:id="37" w:name="relationship-to-previous-documents"/>
    <w:p>
      <w:pPr>
        <w:pStyle w:val="Heading1"/>
      </w:pPr>
      <w:r>
        <w:t xml:space="preserve">23. Relationship to Previous Documents</w:t>
      </w:r>
    </w:p>
    <w:p>
      <w:pPr>
        <w:pStyle w:val="FirstParagraph"/>
      </w:pPr>
      <w:r>
        <w:t xml:space="preserve">This Atlas integrates:</w:t>
      </w:r>
    </w:p>
    <w:p>
      <w:pPr>
        <w:pStyle w:val="BodyText"/>
      </w:pPr>
      <w:r>
        <w:t xml:space="preserve">KMOS Constitution Series</w:t>
      </w:r>
    </w:p>
    <w:p>
      <w:pPr>
        <w:pStyle w:val="BodyText"/>
      </w:pPr>
      <w:r>
        <w:t xml:space="preserve">Engineering Foundation Series</w:t>
      </w:r>
    </w:p>
    <w:p>
      <w:pPr>
        <w:pStyle w:val="BodyText"/>
      </w:pPr>
      <w:r>
        <w:t xml:space="preserve">Platform Service Specifications</w:t>
      </w:r>
    </w:p>
    <w:p>
      <w:pPr>
        <w:pStyle w:val="BodyText"/>
      </w:pPr>
      <w:r>
        <w:t xml:space="preserve">Implementation Constitution</w:t>
      </w:r>
    </w:p>
    <w:p>
      <w:pPr>
        <w:pStyle w:val="BodyText"/>
      </w:pPr>
      <w:r>
        <w:t xml:space="preserve">Implementation Dossier</w:t>
      </w:r>
    </w:p>
    <w:p>
      <w:pPr>
        <w:pStyle w:val="BodyText"/>
      </w:pPr>
      <w:r>
        <w:t xml:space="preserve">Engineering Charter</w:t>
      </w:r>
    </w:p>
    <w:p>
      <w:pPr>
        <w:pStyle w:val="BodyText"/>
      </w:pPr>
      <w:r>
        <w:t xml:space="preserve">Implementation Roadmap</w:t>
      </w:r>
    </w:p>
    <w:p>
      <w:pPr>
        <w:pStyle w:val="BodyText"/>
      </w:pPr>
      <w:r>
        <w:t xml:space="preserve">Repository Constitution</w:t>
      </w:r>
    </w:p>
    <w:p>
      <w:pPr>
        <w:pStyle w:val="BodyText"/>
      </w:pPr>
      <w:r>
        <w:t xml:space="preserve">Canonical Object Catalog</w:t>
      </w:r>
    </w:p>
    <w:p>
      <w:pPr>
        <w:pStyle w:val="BodyText"/>
      </w:pPr>
      <w:r>
        <w:t xml:space="preserve">Canonical Event Catalog</w:t>
      </w:r>
    </w:p>
    <w:p>
      <w:pPr>
        <w:pStyle w:val="BodyText"/>
      </w:pPr>
      <w:r>
        <w:t xml:space="preserve">It serves as the architectural index to the complete KMOS documentation set.</w:t>
      </w:r>
    </w:p>
    <w:p>
      <w:r>
        <w:pict>
          <v:rect style="width:0;height:1.5pt" o:hralign="center" o:hrstd="t" o:hr="t"/>
        </w:pict>
      </w:r>
    </w:p>
    <w:bookmarkEnd w:id="37"/>
    <w:bookmarkStart w:id="38" w:name="closing-statement"/>
    <w:p>
      <w:pPr>
        <w:pStyle w:val="Heading1"/>
      </w:pPr>
      <w:r>
        <w:t xml:space="preserve">24. Closing Statement</w:t>
      </w:r>
    </w:p>
    <w:p>
      <w:pPr>
        <w:pStyle w:val="FirstParagraph"/>
      </w:pPr>
      <w:r>
        <w:t xml:space="preserve">The Reference Architecture Atlas is the navigational map of KMOS.</w:t>
      </w:r>
    </w:p>
    <w:p>
      <w:pPr>
        <w:pStyle w:val="BodyText"/>
      </w:pPr>
      <w:r>
        <w:t xml:space="preserve">It enables engineers, architects, and AI coding agents to understand not merely the individual components of the platform, but the relationships, dependencies, and guiding principles that bind them into a coherent institutional operating system.</w:t>
      </w:r>
    </w:p>
    <w:p>
      <w:pPr>
        <w:pStyle w:val="BodyText"/>
      </w:pPr>
      <w:r>
        <w:t xml:space="preserve">The Atlas is intended to remain a stable architectural companion throughout the lifetime of KMOS, ensuring that future innovation extends the platform without compromising its foundational vision of preserving institutional knowledge, evidence, accountability, and trust.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2026-06-30T09:12:33Z</dcterms:created>
  <dcterms:modified xsi:type="dcterms:W3CDTF">2026-06-30T09:12:33Z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