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mos-0002"/>
    <w:p>
      <w:pPr>
        <w:pStyle w:val="Heading1"/>
      </w:pPr>
      <w:r>
        <w:t xml:space="preserve">KMOS-0002</w:t>
      </w:r>
    </w:p>
    <w:bookmarkStart w:id="22" w:name="domain-model-bounded-contexts"/>
    <w:p>
      <w:pPr>
        <w:pStyle w:val="Heading2"/>
      </w:pPr>
      <w:r>
        <w:t xml:space="preserve">Domain Model &amp; Bounded Contexts</w:t>
      </w:r>
    </w:p>
    <w:bookmarkStart w:id="20" w:name="version-1.0"/>
    <w:p>
      <w:pPr>
        <w:pStyle w:val="Heading3"/>
      </w:pPr>
      <w:r>
        <w:t xml:space="preserve">Version 1.0</w:t>
      </w:r>
    </w:p>
    <w:bookmarkEnd w:id="20"/>
    <w:bookmarkStart w:id="21" w:name="status-draft"/>
    <w:p>
      <w:pPr>
        <w:pStyle w:val="Heading3"/>
      </w:pPr>
      <w:r>
        <w:t xml:space="preserve">Status: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permanent domains of the Knowledge &amp; Media Operating System (KMOS).</w:t>
      </w:r>
    </w:p>
    <w:p>
      <w:pPr>
        <w:pStyle w:val="BodyText"/>
      </w:pPr>
      <w:r>
        <w:t xml:space="preserve">A domain represents an area of responsibility with clear ownership of data, business rules, events, and capabilities.</w:t>
      </w:r>
    </w:p>
    <w:p>
      <w:pPr>
        <w:pStyle w:val="BodyText"/>
      </w:pPr>
      <w:r>
        <w:t xml:space="preserve">Applications MUST NOT own business logic. Applications compose capabilities provided by domains.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The platform follows Domain-Driven Design (DDD).</w:t>
      </w:r>
    </w:p>
    <w:p>
      <w:pPr>
        <w:pStyle w:val="BodyText"/>
      </w:pPr>
      <w:r>
        <w:t xml:space="preserve">Each domain:</w:t>
      </w:r>
    </w:p>
    <w:p>
      <w:pPr>
        <w:pStyle w:val="Compact"/>
        <w:numPr>
          <w:ilvl w:val="0"/>
          <w:numId w:val="1001"/>
        </w:numPr>
      </w:pPr>
      <w:r>
        <w:t xml:space="preserve">Owns its data.</w:t>
      </w:r>
    </w:p>
    <w:p>
      <w:pPr>
        <w:pStyle w:val="Compact"/>
        <w:numPr>
          <w:ilvl w:val="0"/>
          <w:numId w:val="1001"/>
        </w:numPr>
      </w:pPr>
      <w:r>
        <w:t xml:space="preserve">Owns its business rules.</w:t>
      </w:r>
    </w:p>
    <w:p>
      <w:pPr>
        <w:pStyle w:val="Compact"/>
        <w:numPr>
          <w:ilvl w:val="0"/>
          <w:numId w:val="1001"/>
        </w:numPr>
      </w:pPr>
      <w:r>
        <w:t xml:space="preserve">Publishes events.</w:t>
      </w:r>
    </w:p>
    <w:p>
      <w:pPr>
        <w:pStyle w:val="Compact"/>
        <w:numPr>
          <w:ilvl w:val="0"/>
          <w:numId w:val="1001"/>
        </w:numPr>
      </w:pPr>
      <w:r>
        <w:t xml:space="preserve">Consumes events.</w:t>
      </w:r>
    </w:p>
    <w:p>
      <w:pPr>
        <w:pStyle w:val="Compact"/>
        <w:numPr>
          <w:ilvl w:val="0"/>
          <w:numId w:val="1001"/>
        </w:numPr>
      </w:pPr>
      <w:r>
        <w:t xml:space="preserve">Evolves independently.</w:t>
      </w:r>
    </w:p>
    <w:p>
      <w:pPr>
        <w:pStyle w:val="Compact"/>
        <w:numPr>
          <w:ilvl w:val="0"/>
          <w:numId w:val="1001"/>
        </w:numPr>
      </w:pPr>
      <w:r>
        <w:t xml:space="preserve">May be implemented by one or more services.</w:t>
      </w:r>
    </w:p>
    <w:p>
      <w:pPr>
        <w:pStyle w:val="FirstParagraph"/>
      </w:pPr>
      <w:r>
        <w:t xml:space="preserve">Domains communicate through events and published contracts rather than direct knowledge of each other’s internals.</w:t>
      </w:r>
    </w:p>
    <w:p>
      <w:r>
        <w:pict>
          <v:rect style="width:0;height:1.5pt" o:hralign="center" o:hrstd="t" o:hr="t"/>
        </w:pict>
      </w:r>
    </w:p>
    <w:bookmarkEnd w:id="25"/>
    <w:bookmarkStart w:id="36" w:name="top-level-domains"/>
    <w:p>
      <w:pPr>
        <w:pStyle w:val="Heading1"/>
      </w:pPr>
      <w:r>
        <w:t xml:space="preserve">3. Top-Level Domains</w:t>
      </w:r>
    </w:p>
    <w:p>
      <w:pPr>
        <w:pStyle w:val="FirstParagraph"/>
      </w:pPr>
      <w:r>
        <w:t xml:space="preserve">The platform is organized into ten primary domains.</w:t>
      </w:r>
    </w:p>
    <w:bookmarkStart w:id="26" w:name="domain-1-knowledge"/>
    <w:p>
      <w:pPr>
        <w:pStyle w:val="Heading2"/>
      </w:pPr>
      <w:r>
        <w:t xml:space="preserve">Domain 1 — Knowledge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Represents human knowledge independent of any media format.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2"/>
        </w:numPr>
      </w:pPr>
      <w:r>
        <w:t xml:space="preserve">Concepts</w:t>
      </w:r>
    </w:p>
    <w:p>
      <w:pPr>
        <w:pStyle w:val="Compact"/>
        <w:numPr>
          <w:ilvl w:val="0"/>
          <w:numId w:val="1002"/>
        </w:numPr>
      </w:pPr>
      <w:r>
        <w:t xml:space="preserve">Topics</w:t>
      </w:r>
    </w:p>
    <w:p>
      <w:pPr>
        <w:pStyle w:val="Compact"/>
        <w:numPr>
          <w:ilvl w:val="0"/>
          <w:numId w:val="1002"/>
        </w:numPr>
      </w:pPr>
      <w:r>
        <w:t xml:space="preserve">Vocabulary</w:t>
      </w:r>
    </w:p>
    <w:p>
      <w:pPr>
        <w:pStyle w:val="Compact"/>
        <w:numPr>
          <w:ilvl w:val="0"/>
          <w:numId w:val="1002"/>
        </w:numPr>
      </w:pPr>
      <w:r>
        <w:t xml:space="preserve">Terminology</w:t>
      </w:r>
    </w:p>
    <w:p>
      <w:pPr>
        <w:pStyle w:val="Compact"/>
        <w:numPr>
          <w:ilvl w:val="0"/>
          <w:numId w:val="1002"/>
        </w:numPr>
      </w:pPr>
      <w:r>
        <w:t xml:space="preserve">Relationships</w:t>
      </w:r>
    </w:p>
    <w:p>
      <w:pPr>
        <w:pStyle w:val="Compact"/>
        <w:numPr>
          <w:ilvl w:val="0"/>
          <w:numId w:val="1002"/>
        </w:numPr>
      </w:pPr>
      <w:r>
        <w:t xml:space="preserve">Ontology</w:t>
      </w:r>
    </w:p>
    <w:p>
      <w:pPr>
        <w:pStyle w:val="Compact"/>
        <w:numPr>
          <w:ilvl w:val="0"/>
          <w:numId w:val="1002"/>
        </w:numPr>
      </w:pPr>
      <w:r>
        <w:t xml:space="preserve">Citations</w:t>
      </w:r>
    </w:p>
    <w:p>
      <w:pPr>
        <w:pStyle w:val="Compact"/>
        <w:numPr>
          <w:ilvl w:val="0"/>
          <w:numId w:val="1002"/>
        </w:numPr>
      </w:pPr>
      <w:r>
        <w:t xml:space="preserve">Definitions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Semantic links</w:t>
      </w:r>
    </w:p>
    <w:p>
      <w:pPr>
        <w:pStyle w:val="FirstParagraph"/>
      </w:pPr>
      <w:r>
        <w:rPr>
          <w:b/>
          <w:bCs/>
        </w:rPr>
        <w:t xml:space="preserve">Produces</w:t>
      </w:r>
    </w:p>
    <w:p>
      <w:pPr>
        <w:pStyle w:val="Compact"/>
        <w:numPr>
          <w:ilvl w:val="0"/>
          <w:numId w:val="1003"/>
        </w:numPr>
      </w:pPr>
      <w:r>
        <w:t xml:space="preserve">Knowledge Objects</w:t>
      </w:r>
    </w:p>
    <w:p>
      <w:pPr>
        <w:pStyle w:val="Compact"/>
        <w:numPr>
          <w:ilvl w:val="0"/>
          <w:numId w:val="1003"/>
        </w:numPr>
      </w:pPr>
      <w:r>
        <w:t xml:space="preserve">Knowledge Graph</w:t>
      </w:r>
    </w:p>
    <w:p>
      <w:pPr>
        <w:pStyle w:val="Compact"/>
        <w:numPr>
          <w:ilvl w:val="0"/>
          <w:numId w:val="1003"/>
        </w:numPr>
      </w:pPr>
      <w:r>
        <w:t xml:space="preserve">Semantic Relationships</w:t>
      </w:r>
    </w:p>
    <w:p>
      <w:pPr>
        <w:pStyle w:val="FirstParagraph"/>
      </w:pPr>
      <w:r>
        <w:rPr>
          <w:b/>
          <w:bCs/>
        </w:rPr>
        <w:t xml:space="preserve">Consumes</w:t>
      </w:r>
    </w:p>
    <w:p>
      <w:pPr>
        <w:pStyle w:val="Compact"/>
        <w:numPr>
          <w:ilvl w:val="0"/>
          <w:numId w:val="1004"/>
        </w:numPr>
      </w:pPr>
      <w:r>
        <w:t xml:space="preserve">Transcripts</w:t>
      </w:r>
    </w:p>
    <w:p>
      <w:pPr>
        <w:pStyle w:val="Compact"/>
        <w:numPr>
          <w:ilvl w:val="0"/>
          <w:numId w:val="1004"/>
        </w:numPr>
      </w:pPr>
      <w:r>
        <w:t xml:space="preserve">Documents</w:t>
      </w:r>
    </w:p>
    <w:p>
      <w:pPr>
        <w:pStyle w:val="Compact"/>
        <w:numPr>
          <w:ilvl w:val="0"/>
          <w:numId w:val="1004"/>
        </w:numPr>
      </w:pPr>
      <w:r>
        <w:t xml:space="preserve">Human corrections</w:t>
      </w:r>
    </w:p>
    <w:p>
      <w:pPr>
        <w:pStyle w:val="Compact"/>
        <w:numPr>
          <w:ilvl w:val="0"/>
          <w:numId w:val="1004"/>
        </w:numPr>
      </w:pPr>
      <w:r>
        <w:t xml:space="preserve">External references</w:t>
      </w:r>
    </w:p>
    <w:p>
      <w:pPr>
        <w:pStyle w:val="FirstParagraph"/>
      </w:pPr>
      <w:r>
        <w:t xml:space="preserve">Knowledge is the permanent center of the platform.</w:t>
      </w:r>
    </w:p>
    <w:p>
      <w:r>
        <w:pict>
          <v:rect style="width:0;height:1.5pt" o:hralign="center" o:hrstd="t" o:hr="t"/>
        </w:pict>
      </w:r>
    </w:p>
    <w:bookmarkEnd w:id="26"/>
    <w:bookmarkStart w:id="27" w:name="domain-2-language"/>
    <w:p>
      <w:pPr>
        <w:pStyle w:val="Heading2"/>
      </w:pPr>
      <w:r>
        <w:t xml:space="preserve">Domain 2 — Language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Transforms spoken and written language into structured knowledge.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5"/>
        </w:numPr>
      </w:pPr>
      <w:r>
        <w:t xml:space="preserve">Speech recognition</w:t>
      </w:r>
    </w:p>
    <w:p>
      <w:pPr>
        <w:pStyle w:val="Compact"/>
        <w:numPr>
          <w:ilvl w:val="0"/>
          <w:numId w:val="1005"/>
        </w:numPr>
      </w:pPr>
      <w:r>
        <w:t xml:space="preserve">Transcript correction</w:t>
      </w:r>
    </w:p>
    <w:p>
      <w:pPr>
        <w:pStyle w:val="Compact"/>
        <w:numPr>
          <w:ilvl w:val="0"/>
          <w:numId w:val="1005"/>
        </w:numPr>
      </w:pPr>
      <w:r>
        <w:t xml:space="preserve">Translation</w:t>
      </w:r>
    </w:p>
    <w:p>
      <w:pPr>
        <w:pStyle w:val="Compact"/>
        <w:numPr>
          <w:ilvl w:val="0"/>
          <w:numId w:val="1005"/>
        </w:numPr>
      </w:pPr>
      <w:r>
        <w:t xml:space="preserve">Transliteration</w:t>
      </w:r>
    </w:p>
    <w:p>
      <w:pPr>
        <w:pStyle w:val="Compact"/>
        <w:numPr>
          <w:ilvl w:val="0"/>
          <w:numId w:val="1005"/>
        </w:numPr>
      </w:pPr>
      <w:r>
        <w:t xml:space="preserve">Grammar</w:t>
      </w:r>
    </w:p>
    <w:p>
      <w:pPr>
        <w:pStyle w:val="Compact"/>
        <w:numPr>
          <w:ilvl w:val="0"/>
          <w:numId w:val="1005"/>
        </w:numPr>
      </w:pPr>
      <w:r>
        <w:t xml:space="preserve">Speaker identification</w:t>
      </w:r>
    </w:p>
    <w:p>
      <w:pPr>
        <w:pStyle w:val="Compact"/>
        <w:numPr>
          <w:ilvl w:val="0"/>
          <w:numId w:val="1005"/>
        </w:numPr>
      </w:pPr>
      <w:r>
        <w:t xml:space="preserve">Vocabulary learning</w:t>
      </w:r>
    </w:p>
    <w:p>
      <w:pPr>
        <w:pStyle w:val="Compact"/>
        <w:numPr>
          <w:ilvl w:val="0"/>
          <w:numId w:val="1005"/>
        </w:numPr>
      </w:pPr>
      <w:r>
        <w:t xml:space="preserve">Pronunciation memory</w:t>
      </w:r>
    </w:p>
    <w:p>
      <w:pPr>
        <w:pStyle w:val="FirstParagraph"/>
      </w:pPr>
      <w:r>
        <w:t xml:space="preserve">This domain continuously improves as institutional vocabulary grows.</w:t>
      </w:r>
    </w:p>
    <w:p>
      <w:r>
        <w:pict>
          <v:rect style="width:0;height:1.5pt" o:hralign="center" o:hrstd="t" o:hr="t"/>
        </w:pict>
      </w:r>
    </w:p>
    <w:bookmarkEnd w:id="27"/>
    <w:bookmarkStart w:id="28" w:name="domain-3-media"/>
    <w:p>
      <w:pPr>
        <w:pStyle w:val="Heading2"/>
      </w:pPr>
      <w:r>
        <w:t xml:space="preserve">Domain 3 — Media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Creates and transforms media assets.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6"/>
        </w:numPr>
      </w:pPr>
      <w:r>
        <w:t xml:space="preserve">Video</w:t>
      </w:r>
    </w:p>
    <w:p>
      <w:pPr>
        <w:pStyle w:val="Compact"/>
        <w:numPr>
          <w:ilvl w:val="0"/>
          <w:numId w:val="1006"/>
        </w:numPr>
      </w:pPr>
      <w:r>
        <w:t xml:space="preserve">Audio</w:t>
      </w:r>
    </w:p>
    <w:p>
      <w:pPr>
        <w:pStyle w:val="Compact"/>
        <w:numPr>
          <w:ilvl w:val="0"/>
          <w:numId w:val="1006"/>
        </w:numPr>
      </w:pPr>
      <w:r>
        <w:t xml:space="preserve">Images</w:t>
      </w:r>
    </w:p>
    <w:p>
      <w:pPr>
        <w:pStyle w:val="Compact"/>
        <w:numPr>
          <w:ilvl w:val="0"/>
          <w:numId w:val="1006"/>
        </w:numPr>
      </w:pPr>
      <w:r>
        <w:t xml:space="preserve">Animation</w:t>
      </w:r>
    </w:p>
    <w:p>
      <w:pPr>
        <w:pStyle w:val="Compact"/>
        <w:numPr>
          <w:ilvl w:val="0"/>
          <w:numId w:val="1006"/>
        </w:numPr>
      </w:pPr>
      <w:r>
        <w:t xml:space="preserve">Voice</w:t>
      </w:r>
    </w:p>
    <w:p>
      <w:pPr>
        <w:pStyle w:val="Compact"/>
        <w:numPr>
          <w:ilvl w:val="0"/>
          <w:numId w:val="1006"/>
        </w:numPr>
      </w:pPr>
      <w:r>
        <w:t xml:space="preserve">Subtitle generation</w:t>
      </w:r>
    </w:p>
    <w:p>
      <w:pPr>
        <w:pStyle w:val="Compact"/>
        <w:numPr>
          <w:ilvl w:val="0"/>
          <w:numId w:val="1006"/>
        </w:numPr>
      </w:pPr>
      <w:r>
        <w:t xml:space="preserve">Storyboards</w:t>
      </w:r>
    </w:p>
    <w:p>
      <w:pPr>
        <w:pStyle w:val="Compact"/>
        <w:numPr>
          <w:ilvl w:val="0"/>
          <w:numId w:val="1006"/>
        </w:numPr>
      </w:pPr>
      <w:r>
        <w:t xml:space="preserve">Scene generation</w:t>
      </w:r>
    </w:p>
    <w:p>
      <w:pPr>
        <w:pStyle w:val="Compact"/>
        <w:numPr>
          <w:ilvl w:val="0"/>
          <w:numId w:val="1006"/>
        </w:numPr>
      </w:pPr>
      <w:r>
        <w:t xml:space="preserve">Rendering</w:t>
      </w:r>
    </w:p>
    <w:p>
      <w:pPr>
        <w:pStyle w:val="FirstParagraph"/>
      </w:pPr>
      <w:r>
        <w:t xml:space="preserve">Media is considered a representation of knowledge rather than knowledge itself.</w:t>
      </w:r>
    </w:p>
    <w:p>
      <w:r>
        <w:pict>
          <v:rect style="width:0;height:1.5pt" o:hralign="center" o:hrstd="t" o:hr="t"/>
        </w:pict>
      </w:r>
    </w:p>
    <w:bookmarkEnd w:id="28"/>
    <w:bookmarkStart w:id="29" w:name="domain-4-asset-management"/>
    <w:p>
      <w:pPr>
        <w:pStyle w:val="Heading2"/>
      </w:pPr>
      <w:r>
        <w:t xml:space="preserve">Domain 4 — Asset Management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Provides permanent identity and lifecycle management for every artifact.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7"/>
        </w:numPr>
      </w:pPr>
      <w:r>
        <w:t xml:space="preserve">Asset Registry</w:t>
      </w:r>
    </w:p>
    <w:p>
      <w:pPr>
        <w:pStyle w:val="Compact"/>
        <w:numPr>
          <w:ilvl w:val="0"/>
          <w:numId w:val="1007"/>
        </w:numPr>
      </w:pPr>
      <w:r>
        <w:t xml:space="preserve">Asset Identity</w:t>
      </w:r>
    </w:p>
    <w:p>
      <w:pPr>
        <w:pStyle w:val="Compact"/>
        <w:numPr>
          <w:ilvl w:val="0"/>
          <w:numId w:val="1007"/>
        </w:numPr>
      </w:pPr>
      <w:r>
        <w:t xml:space="preserve">Metadata</w:t>
      </w:r>
    </w:p>
    <w:p>
      <w:pPr>
        <w:pStyle w:val="Compact"/>
        <w:numPr>
          <w:ilvl w:val="0"/>
          <w:numId w:val="1007"/>
        </w:numPr>
      </w:pPr>
      <w:r>
        <w:t xml:space="preserve">Checksums</w:t>
      </w:r>
    </w:p>
    <w:p>
      <w:pPr>
        <w:pStyle w:val="Compact"/>
        <w:numPr>
          <w:ilvl w:val="0"/>
          <w:numId w:val="1007"/>
        </w:numPr>
      </w:pPr>
      <w:r>
        <w:t xml:space="preserve">Storage locations</w:t>
      </w:r>
    </w:p>
    <w:p>
      <w:pPr>
        <w:pStyle w:val="Compact"/>
        <w:numPr>
          <w:ilvl w:val="0"/>
          <w:numId w:val="1007"/>
        </w:numPr>
      </w:pPr>
      <w:r>
        <w:t xml:space="preserve">Version history</w:t>
      </w:r>
    </w:p>
    <w:p>
      <w:pPr>
        <w:pStyle w:val="FirstParagraph"/>
      </w:pPr>
      <w:r>
        <w:t xml:space="preserve">Every platform object that exists as a file must be registered as an asset.</w:t>
      </w:r>
    </w:p>
    <w:p>
      <w:r>
        <w:pict>
          <v:rect style="width:0;height:1.5pt" o:hralign="center" o:hrstd="t" o:hr="t"/>
        </w:pict>
      </w:r>
    </w:p>
    <w:bookmarkEnd w:id="29"/>
    <w:bookmarkStart w:id="30" w:name="domain-5-workflow"/>
    <w:p>
      <w:pPr>
        <w:pStyle w:val="Heading2"/>
      </w:pPr>
      <w:r>
        <w:t xml:space="preserve">Domain 5 — Workflow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Coordinates execution.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8"/>
        </w:numPr>
      </w:pPr>
      <w:r>
        <w:t xml:space="preserve">Jobs</w:t>
      </w:r>
    </w:p>
    <w:p>
      <w:pPr>
        <w:pStyle w:val="Compact"/>
        <w:numPr>
          <w:ilvl w:val="0"/>
          <w:numId w:val="1008"/>
        </w:numPr>
      </w:pPr>
      <w:r>
        <w:t xml:space="preserve">Pipelines</w:t>
      </w:r>
    </w:p>
    <w:p>
      <w:pPr>
        <w:pStyle w:val="Compact"/>
        <w:numPr>
          <w:ilvl w:val="0"/>
          <w:numId w:val="1008"/>
        </w:numPr>
      </w:pPr>
      <w:r>
        <w:t xml:space="preserve">Scheduling</w:t>
      </w:r>
    </w:p>
    <w:p>
      <w:pPr>
        <w:pStyle w:val="Compact"/>
        <w:numPr>
          <w:ilvl w:val="0"/>
          <w:numId w:val="1008"/>
        </w:numPr>
      </w:pPr>
      <w:r>
        <w:t xml:space="preserve">Retry policies</w:t>
      </w:r>
    </w:p>
    <w:p>
      <w:pPr>
        <w:pStyle w:val="Compact"/>
        <w:numPr>
          <w:ilvl w:val="0"/>
          <w:numId w:val="1008"/>
        </w:numPr>
      </w:pPr>
      <w:r>
        <w:t xml:space="preserve">State machines</w:t>
      </w:r>
    </w:p>
    <w:p>
      <w:pPr>
        <w:pStyle w:val="Compact"/>
        <w:numPr>
          <w:ilvl w:val="0"/>
          <w:numId w:val="1008"/>
        </w:numPr>
      </w:pPr>
      <w:r>
        <w:t xml:space="preserve">Dependencies</w:t>
      </w:r>
    </w:p>
    <w:p>
      <w:pPr>
        <w:pStyle w:val="FirstParagraph"/>
      </w:pPr>
      <w:r>
        <w:t xml:space="preserve">The workflow domain never performs business logic.</w:t>
      </w:r>
    </w:p>
    <w:p>
      <w:pPr>
        <w:pStyle w:val="BodyText"/>
      </w:pPr>
      <w:r>
        <w:t xml:space="preserve">It coordinates capabilities.</w:t>
      </w:r>
    </w:p>
    <w:p>
      <w:r>
        <w:pict>
          <v:rect style="width:0;height:1.5pt" o:hralign="center" o:hrstd="t" o:hr="t"/>
        </w:pict>
      </w:r>
    </w:p>
    <w:bookmarkEnd w:id="30"/>
    <w:bookmarkStart w:id="31" w:name="domain-6-governance"/>
    <w:p>
      <w:pPr>
        <w:pStyle w:val="Heading2"/>
      </w:pPr>
      <w:r>
        <w:t xml:space="preserve">Domain 6 — Governance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Provides trust.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9"/>
        </w:numPr>
      </w:pPr>
      <w:r>
        <w:t xml:space="preserve">Lineage</w:t>
      </w:r>
    </w:p>
    <w:p>
      <w:pPr>
        <w:pStyle w:val="Compact"/>
        <w:numPr>
          <w:ilvl w:val="0"/>
          <w:numId w:val="1009"/>
        </w:numPr>
      </w:pPr>
      <w:r>
        <w:t xml:space="preserve">Audit</w:t>
      </w:r>
    </w:p>
    <w:p>
      <w:pPr>
        <w:pStyle w:val="Compact"/>
        <w:numPr>
          <w:ilvl w:val="0"/>
          <w:numId w:val="1009"/>
        </w:numPr>
      </w:pPr>
      <w:r>
        <w:t xml:space="preserve">Evidence</w:t>
      </w:r>
    </w:p>
    <w:p>
      <w:pPr>
        <w:pStyle w:val="Compact"/>
        <w:numPr>
          <w:ilvl w:val="0"/>
          <w:numId w:val="1009"/>
        </w:numPr>
      </w:pPr>
      <w:r>
        <w:t xml:space="preserve">Approvals</w:t>
      </w:r>
    </w:p>
    <w:p>
      <w:pPr>
        <w:pStyle w:val="Compact"/>
        <w:numPr>
          <w:ilvl w:val="0"/>
          <w:numId w:val="1009"/>
        </w:numPr>
      </w:pPr>
      <w:r>
        <w:t xml:space="preserve">Policy</w:t>
      </w:r>
    </w:p>
    <w:p>
      <w:pPr>
        <w:pStyle w:val="Compact"/>
        <w:numPr>
          <w:ilvl w:val="0"/>
          <w:numId w:val="1009"/>
        </w:numPr>
      </w:pPr>
      <w:r>
        <w:t xml:space="preserve">Certification</w:t>
      </w:r>
    </w:p>
    <w:p>
      <w:pPr>
        <w:pStyle w:val="Compact"/>
        <w:numPr>
          <w:ilvl w:val="0"/>
          <w:numId w:val="1009"/>
        </w:numPr>
      </w:pPr>
      <w:r>
        <w:t xml:space="preserve">Review history</w:t>
      </w:r>
    </w:p>
    <w:p>
      <w:pPr>
        <w:pStyle w:val="FirstParagraph"/>
      </w:pPr>
      <w:r>
        <w:t xml:space="preserve">Every significant action must be explainable through governance records.</w:t>
      </w:r>
    </w:p>
    <w:p>
      <w:r>
        <w:pict>
          <v:rect style="width:0;height:1.5pt" o:hralign="center" o:hrstd="t" o:hr="t"/>
        </w:pict>
      </w:r>
    </w:p>
    <w:bookmarkEnd w:id="31"/>
    <w:bookmarkStart w:id="32" w:name="domain-7-publishing"/>
    <w:p>
      <w:pPr>
        <w:pStyle w:val="Heading2"/>
      </w:pPr>
      <w:r>
        <w:t xml:space="preserve">Domain 7 — Publishing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Transforms approved knowledge and media into publishable products.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10"/>
        </w:numPr>
      </w:pPr>
      <w:r>
        <w:t xml:space="preserve">Publication packages</w:t>
      </w:r>
    </w:p>
    <w:p>
      <w:pPr>
        <w:pStyle w:val="Compact"/>
        <w:numPr>
          <w:ilvl w:val="0"/>
          <w:numId w:val="1010"/>
        </w:numPr>
      </w:pPr>
      <w:r>
        <w:t xml:space="preserve">Distribution channels</w:t>
      </w:r>
    </w:p>
    <w:p>
      <w:pPr>
        <w:pStyle w:val="Compact"/>
        <w:numPr>
          <w:ilvl w:val="0"/>
          <w:numId w:val="1010"/>
        </w:numPr>
      </w:pPr>
      <w:r>
        <w:t xml:space="preserve">Metadata optimization</w:t>
      </w:r>
    </w:p>
    <w:p>
      <w:pPr>
        <w:pStyle w:val="Compact"/>
        <w:numPr>
          <w:ilvl w:val="0"/>
          <w:numId w:val="1010"/>
        </w:numPr>
      </w:pPr>
      <w:r>
        <w:t xml:space="preserve">Scheduling</w:t>
      </w:r>
    </w:p>
    <w:p>
      <w:pPr>
        <w:pStyle w:val="Compact"/>
        <w:numPr>
          <w:ilvl w:val="0"/>
          <w:numId w:val="1010"/>
        </w:numPr>
      </w:pPr>
      <w:r>
        <w:t xml:space="preserve">Release management</w:t>
      </w:r>
    </w:p>
    <w:p>
      <w:pPr>
        <w:pStyle w:val="FirstParagraph"/>
      </w:pPr>
      <w:r>
        <w:t xml:space="preserve">Targets include websites, mobile applications, social platforms, podcasts, books, archives, and future destinations.</w:t>
      </w:r>
    </w:p>
    <w:p>
      <w:r>
        <w:pict>
          <v:rect style="width:0;height:1.5pt" o:hralign="center" o:hrstd="t" o:hr="t"/>
        </w:pict>
      </w:r>
    </w:p>
    <w:bookmarkEnd w:id="32"/>
    <w:bookmarkStart w:id="33" w:name="domain-8-search-discovery"/>
    <w:p>
      <w:pPr>
        <w:pStyle w:val="Heading2"/>
      </w:pPr>
      <w:r>
        <w:t xml:space="preserve">Domain 8 — Search &amp; Discovery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Makes knowledge discoverable.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11"/>
        </w:numPr>
      </w:pPr>
      <w:r>
        <w:t xml:space="preserve">Search indexes</w:t>
      </w:r>
    </w:p>
    <w:p>
      <w:pPr>
        <w:pStyle w:val="Compact"/>
        <w:numPr>
          <w:ilvl w:val="0"/>
          <w:numId w:val="1011"/>
        </w:numPr>
      </w:pPr>
      <w:r>
        <w:t xml:space="preserve">Semantic retrieval</w:t>
      </w:r>
    </w:p>
    <w:p>
      <w:pPr>
        <w:pStyle w:val="Compact"/>
        <w:numPr>
          <w:ilvl w:val="0"/>
          <w:numId w:val="1011"/>
        </w:numPr>
      </w:pPr>
      <w:r>
        <w:t xml:space="preserve">Recommendations</w:t>
      </w:r>
    </w:p>
    <w:p>
      <w:pPr>
        <w:pStyle w:val="Compact"/>
        <w:numPr>
          <w:ilvl w:val="0"/>
          <w:numId w:val="1011"/>
        </w:numPr>
      </w:pPr>
      <w:r>
        <w:t xml:space="preserve">Similarity</w:t>
      </w:r>
    </w:p>
    <w:p>
      <w:pPr>
        <w:pStyle w:val="Compact"/>
        <w:numPr>
          <w:ilvl w:val="0"/>
          <w:numId w:val="1011"/>
        </w:numPr>
      </w:pPr>
      <w:r>
        <w:t xml:space="preserve">Collections</w:t>
      </w:r>
    </w:p>
    <w:p>
      <w:pPr>
        <w:pStyle w:val="Compact"/>
        <w:numPr>
          <w:ilvl w:val="0"/>
          <w:numId w:val="1011"/>
        </w:numPr>
      </w:pPr>
      <w:r>
        <w:t xml:space="preserve">Navigation</w:t>
      </w:r>
    </w:p>
    <w:p>
      <w:pPr>
        <w:pStyle w:val="Compact"/>
        <w:numPr>
          <w:ilvl w:val="0"/>
          <w:numId w:val="1011"/>
        </w:numPr>
      </w:pPr>
      <w:r>
        <w:t xml:space="preserve">Knowledge exploration</w:t>
      </w:r>
    </w:p>
    <w:p>
      <w:pPr>
        <w:pStyle w:val="FirstParagraph"/>
      </w:pPr>
      <w:r>
        <w:t xml:space="preserve">Search operates across knowledge rather than isolated files.</w:t>
      </w:r>
    </w:p>
    <w:p>
      <w:r>
        <w:pict>
          <v:rect style="width:0;height:1.5pt" o:hralign="center" o:hrstd="t" o:hr="t"/>
        </w:pict>
      </w:r>
    </w:p>
    <w:bookmarkEnd w:id="33"/>
    <w:bookmarkStart w:id="34" w:name="domain-9-identity-collaboration"/>
    <w:p>
      <w:pPr>
        <w:pStyle w:val="Heading2"/>
      </w:pPr>
      <w:r>
        <w:t xml:space="preserve">Domain 9 — Identity &amp; Collaboration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Represents people and organizational structure.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12"/>
        </w:numPr>
      </w:pPr>
      <w:r>
        <w:t xml:space="preserve">Users</w:t>
      </w:r>
    </w:p>
    <w:p>
      <w:pPr>
        <w:pStyle w:val="Compact"/>
        <w:numPr>
          <w:ilvl w:val="0"/>
          <w:numId w:val="1012"/>
        </w:numPr>
      </w:pPr>
      <w:r>
        <w:t xml:space="preserve">Teams</w:t>
      </w:r>
    </w:p>
    <w:p>
      <w:pPr>
        <w:pStyle w:val="Compact"/>
        <w:numPr>
          <w:ilvl w:val="0"/>
          <w:numId w:val="1012"/>
        </w:numPr>
      </w:pPr>
      <w:r>
        <w:t xml:space="preserve">Roles</w:t>
      </w:r>
    </w:p>
    <w:p>
      <w:pPr>
        <w:pStyle w:val="Compact"/>
        <w:numPr>
          <w:ilvl w:val="0"/>
          <w:numId w:val="1012"/>
        </w:numPr>
      </w:pPr>
      <w:r>
        <w:t xml:space="preserve">Permissions</w:t>
      </w:r>
    </w:p>
    <w:p>
      <w:pPr>
        <w:pStyle w:val="Compact"/>
        <w:numPr>
          <w:ilvl w:val="0"/>
          <w:numId w:val="1012"/>
        </w:numPr>
      </w:pPr>
      <w:r>
        <w:t xml:space="preserve">Organizations</w:t>
      </w:r>
    </w:p>
    <w:p>
      <w:pPr>
        <w:pStyle w:val="Compact"/>
        <w:numPr>
          <w:ilvl w:val="0"/>
          <w:numId w:val="1012"/>
        </w:numPr>
      </w:pPr>
      <w:r>
        <w:t xml:space="preserve">Human approvals</w:t>
      </w:r>
    </w:p>
    <w:p>
      <w:pPr>
        <w:pStyle w:val="Compact"/>
        <w:numPr>
          <w:ilvl w:val="0"/>
          <w:numId w:val="1012"/>
        </w:numPr>
      </w:pPr>
      <w:r>
        <w:t xml:space="preserve">Collaboration</w:t>
      </w:r>
    </w:p>
    <w:p>
      <w:pPr>
        <w:pStyle w:val="FirstParagraph"/>
      </w:pPr>
      <w:r>
        <w:t xml:space="preserve">The platform assumes humans remain responsible for governance.</w:t>
      </w:r>
    </w:p>
    <w:p>
      <w:r>
        <w:pict>
          <v:rect style="width:0;height:1.5pt" o:hralign="center" o:hrstd="t" o:hr="t"/>
        </w:pict>
      </w:r>
    </w:p>
    <w:bookmarkEnd w:id="34"/>
    <w:bookmarkStart w:id="35" w:name="domain-10-platform-services"/>
    <w:p>
      <w:pPr>
        <w:pStyle w:val="Heading2"/>
      </w:pPr>
      <w:r>
        <w:t xml:space="preserve">Domain 10 — Platform Services</w:t>
      </w:r>
    </w:p>
    <w:p>
      <w:pPr>
        <w:pStyle w:val="FirstParagraph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Provides shared infrastructure.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13"/>
        </w:numPr>
      </w:pPr>
      <w:r>
        <w:t xml:space="preserve">Event Bus</w:t>
      </w:r>
    </w:p>
    <w:p>
      <w:pPr>
        <w:pStyle w:val="Compact"/>
        <w:numPr>
          <w:ilvl w:val="0"/>
          <w:numId w:val="1013"/>
        </w:numPr>
      </w:pPr>
      <w:r>
        <w:t xml:space="preserve">Storage</w:t>
      </w:r>
    </w:p>
    <w:p>
      <w:pPr>
        <w:pStyle w:val="Compact"/>
        <w:numPr>
          <w:ilvl w:val="0"/>
          <w:numId w:val="1013"/>
        </w:numPr>
      </w:pPr>
      <w:r>
        <w:t xml:space="preserve">Configuration</w:t>
      </w:r>
    </w:p>
    <w:p>
      <w:pPr>
        <w:pStyle w:val="Compact"/>
        <w:numPr>
          <w:ilvl w:val="0"/>
          <w:numId w:val="1013"/>
        </w:numPr>
      </w:pPr>
      <w:r>
        <w:t xml:space="preserve">APIs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Observability</w:t>
      </w:r>
    </w:p>
    <w:p>
      <w:pPr>
        <w:pStyle w:val="Compact"/>
        <w:numPr>
          <w:ilvl w:val="0"/>
          <w:numId w:val="1013"/>
        </w:numPr>
      </w:pPr>
      <w:r>
        <w:t xml:space="preserve">Monitoring</w:t>
      </w:r>
    </w:p>
    <w:p>
      <w:pPr>
        <w:pStyle w:val="Compact"/>
        <w:numPr>
          <w:ilvl w:val="0"/>
          <w:numId w:val="1013"/>
        </w:numPr>
      </w:pPr>
      <w:r>
        <w:t xml:space="preserve">Metrics</w:t>
      </w:r>
    </w:p>
    <w:p>
      <w:pPr>
        <w:pStyle w:val="Compact"/>
        <w:numPr>
          <w:ilvl w:val="0"/>
          <w:numId w:val="1013"/>
        </w:numPr>
      </w:pPr>
      <w:r>
        <w:t xml:space="preserve">Connectors</w:t>
      </w:r>
    </w:p>
    <w:p>
      <w:pPr>
        <w:pStyle w:val="FirstParagraph"/>
      </w:pPr>
      <w:r>
        <w:t xml:space="preserve">These services enable domains without containing domain-specific business rules.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omain-relationships"/>
    <w:p>
      <w:pPr>
        <w:pStyle w:val="Heading1"/>
      </w:pPr>
      <w:r>
        <w:t xml:space="preserve">4. Domain Relationships</w:t>
      </w:r>
    </w:p>
    <w:p>
      <w:pPr>
        <w:pStyle w:val="FirstParagraph"/>
      </w:pPr>
      <w:r>
        <w:t xml:space="preserve">Knowledge is the central domain.</w:t>
      </w:r>
    </w:p>
    <w:p>
      <w:pPr>
        <w:pStyle w:val="BodyText"/>
      </w:pPr>
      <w:r>
        <w:t xml:space="preserve">Every other domain either enriches knowledge, consumes knowledge, or governs knowledge.</w:t>
      </w:r>
    </w:p>
    <w:p>
      <w:pPr>
        <w:pStyle w:val="BodyText"/>
      </w:pPr>
      <w:r>
        <w:t xml:space="preserve">Example flow:</w:t>
      </w:r>
    </w:p>
    <w:p>
      <w:pPr>
        <w:pStyle w:val="BodyText"/>
      </w:pPr>
      <w:r>
        <w:t xml:space="preserve">Media</w:t>
      </w:r>
      <w:r>
        <w:t xml:space="preserve"> </w:t>
      </w:r>
      <w:r>
        <w:t xml:space="preserve">→ Language</w:t>
      </w:r>
      <w:r>
        <w:t xml:space="preserve"> </w:t>
      </w:r>
      <w:r>
        <w:t xml:space="preserve">→ Knowledge</w:t>
      </w:r>
      <w:r>
        <w:t xml:space="preserve"> </w:t>
      </w:r>
      <w:r>
        <w:t xml:space="preserve">→ Governance</w:t>
      </w:r>
      <w:r>
        <w:t xml:space="preserve"> </w:t>
      </w:r>
      <w:r>
        <w:t xml:space="preserve">→ Publishing</w:t>
      </w:r>
      <w:r>
        <w:t xml:space="preserve"> </w:t>
      </w:r>
      <w:r>
        <w:t xml:space="preserve">→ Search</w:t>
      </w:r>
    </w:p>
    <w:p>
      <w:pPr>
        <w:pStyle w:val="BodyText"/>
      </w:pPr>
      <w:r>
        <w:t xml:space="preserve">No domain bypasses Knowledge when creating long-term institutional memory.</w:t>
      </w:r>
    </w:p>
    <w:p>
      <w:r>
        <w:pict>
          <v:rect style="width:0;height:1.5pt" o:hralign="center" o:hrstd="t" o:hr="t"/>
        </w:pict>
      </w:r>
    </w:p>
    <w:bookmarkEnd w:id="37"/>
    <w:bookmarkStart w:id="38" w:name="bounded-context-rules"/>
    <w:p>
      <w:pPr>
        <w:pStyle w:val="Heading1"/>
      </w:pPr>
      <w:r>
        <w:t xml:space="preserve">5. Bounded Context Rules</w:t>
      </w:r>
    </w:p>
    <w:p>
      <w:pPr>
        <w:pStyle w:val="FirstParagraph"/>
      </w:pPr>
      <w:r>
        <w:t xml:space="preserve">Each domain owns its internal model.</w:t>
      </w:r>
    </w:p>
    <w:p>
      <w:pPr>
        <w:pStyle w:val="BodyText"/>
      </w:pPr>
      <w:r>
        <w:t xml:space="preserve">Other domains interact only through:</w:t>
      </w:r>
    </w:p>
    <w:p>
      <w:pPr>
        <w:pStyle w:val="Compact"/>
        <w:numPr>
          <w:ilvl w:val="0"/>
          <w:numId w:val="1014"/>
        </w:numPr>
      </w:pPr>
      <w:r>
        <w:t xml:space="preserve">Events</w:t>
      </w:r>
    </w:p>
    <w:p>
      <w:pPr>
        <w:pStyle w:val="Compact"/>
        <w:numPr>
          <w:ilvl w:val="0"/>
          <w:numId w:val="1014"/>
        </w:numPr>
      </w:pPr>
      <w:r>
        <w:t xml:space="preserve">Public APIs</w:t>
      </w:r>
    </w:p>
    <w:p>
      <w:pPr>
        <w:pStyle w:val="Compact"/>
        <w:numPr>
          <w:ilvl w:val="0"/>
          <w:numId w:val="1014"/>
        </w:numPr>
      </w:pPr>
      <w:r>
        <w:t xml:space="preserve">Published contracts</w:t>
      </w:r>
    </w:p>
    <w:p>
      <w:pPr>
        <w:pStyle w:val="Compact"/>
        <w:numPr>
          <w:ilvl w:val="0"/>
          <w:numId w:val="1014"/>
        </w:numPr>
      </w:pPr>
      <w:r>
        <w:t xml:space="preserve">Stable identifiers</w:t>
      </w:r>
    </w:p>
    <w:p>
      <w:pPr>
        <w:pStyle w:val="FirstParagraph"/>
      </w:pPr>
      <w:r>
        <w:t xml:space="preserve">Direct database access between domains is prohibited.</w:t>
      </w:r>
    </w:p>
    <w:p>
      <w:r>
        <w:pict>
          <v:rect style="width:0;height:1.5pt" o:hralign="center" o:hrstd="t" o:hr="t"/>
        </w:pict>
      </w:r>
    </w:p>
    <w:bookmarkEnd w:id="38"/>
    <w:bookmarkStart w:id="39" w:name="domain-evolution"/>
    <w:p>
      <w:pPr>
        <w:pStyle w:val="Heading1"/>
      </w:pPr>
      <w:r>
        <w:t xml:space="preserve">6. Domain Evolution</w:t>
      </w:r>
    </w:p>
    <w:p>
      <w:pPr>
        <w:pStyle w:val="FirstParagraph"/>
      </w:pPr>
      <w:r>
        <w:t xml:space="preserve">New domains may be introduced only when:</w:t>
      </w:r>
    </w:p>
    <w:p>
      <w:pPr>
        <w:pStyle w:val="Compact"/>
        <w:numPr>
          <w:ilvl w:val="0"/>
          <w:numId w:val="1015"/>
        </w:numPr>
      </w:pPr>
      <w:r>
        <w:t xml:space="preserve">Responsibilities cannot reasonably fit an existing domain.</w:t>
      </w:r>
    </w:p>
    <w:p>
      <w:pPr>
        <w:pStyle w:val="Compact"/>
        <w:numPr>
          <w:ilvl w:val="0"/>
          <w:numId w:val="1015"/>
        </w:numPr>
      </w:pPr>
      <w:r>
        <w:t xml:space="preserve">The new domain has a clear ownership boundary.</w:t>
      </w:r>
    </w:p>
    <w:p>
      <w:pPr>
        <w:pStyle w:val="Compact"/>
        <w:numPr>
          <w:ilvl w:val="0"/>
          <w:numId w:val="1015"/>
        </w:numPr>
      </w:pPr>
      <w:r>
        <w:t xml:space="preserve">It introduces independent business concepts.</w:t>
      </w:r>
    </w:p>
    <w:p>
      <w:pPr>
        <w:pStyle w:val="FirstParagraph"/>
      </w:pPr>
      <w:r>
        <w:t xml:space="preserve">New applications should not create new domains without architectural review.</w:t>
      </w:r>
    </w:p>
    <w:p>
      <w:r>
        <w:pict>
          <v:rect style="width:0;height:1.5pt" o:hralign="center" o:hrstd="t" o:hr="t"/>
        </w:pict>
      </w:r>
    </w:p>
    <w:bookmarkEnd w:id="39"/>
    <w:bookmarkStart w:id="40" w:name="domain-ownership-principles"/>
    <w:p>
      <w:pPr>
        <w:pStyle w:val="Heading1"/>
      </w:pPr>
      <w:r>
        <w:t xml:space="preserve">7. Domain Ownership Principles</w:t>
      </w:r>
    </w:p>
    <w:p>
      <w:pPr>
        <w:pStyle w:val="FirstParagraph"/>
      </w:pPr>
      <w:r>
        <w:t xml:space="preserve">Every object has exactly one authoritative owner.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Vocabulary → Knowledge</w:t>
      </w:r>
    </w:p>
    <w:p>
      <w:pPr>
        <w:pStyle w:val="BodyText"/>
      </w:pPr>
      <w:r>
        <w:t xml:space="preserve">Transcript Correction → Language</w:t>
      </w:r>
    </w:p>
    <w:p>
      <w:pPr>
        <w:pStyle w:val="BodyText"/>
      </w:pPr>
      <w:r>
        <w:t xml:space="preserve">Video Rendering → Media</w:t>
      </w:r>
    </w:p>
    <w:p>
      <w:pPr>
        <w:pStyle w:val="BodyText"/>
      </w:pPr>
      <w:r>
        <w:t xml:space="preserve">Asset Metadata → Asset Management</w:t>
      </w:r>
    </w:p>
    <w:p>
      <w:pPr>
        <w:pStyle w:val="BodyText"/>
      </w:pPr>
      <w:r>
        <w:t xml:space="preserve">Publishing Schedule → Publishing</w:t>
      </w:r>
    </w:p>
    <w:p>
      <w:pPr>
        <w:pStyle w:val="BodyText"/>
      </w:pPr>
      <w:r>
        <w:t xml:space="preserve">Approval Decision → Governance</w:t>
      </w:r>
    </w:p>
    <w:p>
      <w:pPr>
        <w:pStyle w:val="BodyText"/>
      </w:pPr>
      <w:r>
        <w:t xml:space="preserve">Job State → Workflow</w:t>
      </w:r>
    </w:p>
    <w:p>
      <w:pPr>
        <w:pStyle w:val="BodyText"/>
      </w:pPr>
      <w:r>
        <w:t xml:space="preserve">Search Index → Search</w:t>
      </w:r>
    </w:p>
    <w:p>
      <w:pPr>
        <w:pStyle w:val="BodyText"/>
      </w:pPr>
      <w:r>
        <w:t xml:space="preserve">Role Assignment → Identity</w:t>
      </w:r>
    </w:p>
    <w:p>
      <w:pPr>
        <w:pStyle w:val="BodyText"/>
      </w:pPr>
      <w:r>
        <w:t xml:space="preserve">Event Delivery → Platform Services</w:t>
      </w:r>
    </w:p>
    <w:p>
      <w:pPr>
        <w:pStyle w:val="BodyText"/>
      </w:pPr>
      <w:r>
        <w:t xml:space="preserve">Ownership avoids conflicting sources of truth.</w:t>
      </w:r>
    </w:p>
    <w:p>
      <w:r>
        <w:pict>
          <v:rect style="width:0;height:1.5pt" o:hralign="center" o:hrstd="t" o:hr="t"/>
        </w:pict>
      </w:r>
    </w:p>
    <w:bookmarkEnd w:id="40"/>
    <w:bookmarkStart w:id="41" w:name="cross-domain-communication"/>
    <w:p>
      <w:pPr>
        <w:pStyle w:val="Heading1"/>
      </w:pPr>
      <w:r>
        <w:t xml:space="preserve">8. Cross-Domain Communication</w:t>
      </w:r>
    </w:p>
    <w:p>
      <w:pPr>
        <w:pStyle w:val="FirstParagraph"/>
      </w:pPr>
      <w:r>
        <w:t xml:space="preserve">Domains communicate by publishing immutable events.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KnowledgeLinked</w:t>
      </w:r>
    </w:p>
    <w:p>
      <w:pPr>
        <w:pStyle w:val="BodyText"/>
      </w:pPr>
      <w:r>
        <w:t xml:space="preserve">SceneGenerated</w:t>
      </w:r>
    </w:p>
    <w:p>
      <w:pPr>
        <w:pStyle w:val="BodyText"/>
      </w:pPr>
      <w:r>
        <w:t xml:space="preserve">RenderCompleted</w:t>
      </w:r>
    </w:p>
    <w:p>
      <w:pPr>
        <w:pStyle w:val="BodyText"/>
      </w:pPr>
      <w:r>
        <w:t xml:space="preserve">QualityApproved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Domains subscribe only to events relevant to their responsibilities.</w:t>
      </w:r>
    </w:p>
    <w:p>
      <w:r>
        <w:pict>
          <v:rect style="width:0;height:1.5pt" o:hralign="center" o:hrstd="t" o:hr="t"/>
        </w:pict>
      </w:r>
    </w:p>
    <w:bookmarkEnd w:id="41"/>
    <w:bookmarkStart w:id="42" w:name="long-term-stability"/>
    <w:p>
      <w:pPr>
        <w:pStyle w:val="Heading1"/>
      </w:pPr>
      <w:r>
        <w:t xml:space="preserve">9. Long-Term Stability</w:t>
      </w:r>
    </w:p>
    <w:p>
      <w:pPr>
        <w:pStyle w:val="FirstParagraph"/>
      </w:pPr>
      <w:r>
        <w:t xml:space="preserve">Domains are intended to remain stable over many years.</w:t>
      </w:r>
    </w:p>
    <w:p>
      <w:pPr>
        <w:pStyle w:val="BodyText"/>
      </w:pPr>
      <w:r>
        <w:t xml:space="preserve">Applications, user interfaces, AI models, rendering engines, storage technologies, and deployment environments may change without altering the fundamental domain architecture.</w:t>
      </w:r>
    </w:p>
    <w:p>
      <w:pPr>
        <w:pStyle w:val="BodyText"/>
      </w:pPr>
      <w:r>
        <w:t xml:space="preserve">This separation ensures that institutional knowledge outlives individual technologies.</w:t>
      </w:r>
    </w:p>
    <w:p>
      <w:r>
        <w:pict>
          <v:rect style="width:0;height:1.5pt" o:hralign="center" o:hrstd="t" o:hr="t"/>
        </w:pict>
      </w:r>
    </w:p>
    <w:bookmarkEnd w:id="42"/>
    <w:bookmarkStart w:id="43" w:name="next-specification"/>
    <w:p>
      <w:pPr>
        <w:pStyle w:val="Heading1"/>
      </w:pPr>
      <w:r>
        <w:t xml:space="preserve">10. Next Specification</w:t>
      </w:r>
    </w:p>
    <w:p>
      <w:pPr>
        <w:pStyle w:val="FirstParagraph"/>
      </w:pPr>
      <w:r>
        <w:t xml:space="preserve">KMOS-0003 defines the event model that enables communication among these domains.</w:t>
      </w:r>
    </w:p>
    <w:p>
      <w:pPr>
        <w:pStyle w:val="BodyText"/>
      </w:pPr>
      <w:r>
        <w:t xml:space="preserve">The event architecture is the foundation that allows independently evolving domains to function as a unified operating system.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2026-06-30T08:54:38Z</dcterms:created>
  <dcterms:modified xsi:type="dcterms:W3CDTF">2026-06-30T08:54:38Z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