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010"/>
    <w:p>
      <w:pPr>
        <w:pStyle w:val="Heading1"/>
      </w:pPr>
      <w:r>
        <w:t xml:space="preserve">KMOS-0010</w:t>
      </w:r>
    </w:p>
    <w:bookmarkEnd w:id="20"/>
    <w:bookmarkStart w:id="21" w:name="Xec35f2d1e48d21d8d8a9288a497de64619537fa"/>
    <w:p>
      <w:pPr>
        <w:pStyle w:val="Heading1"/>
      </w:pPr>
      <w:r>
        <w:t xml:space="preserve">Technical Reference Architecture &amp; Deployment Model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technical reference architecture for the Knowledge &amp; Media Operating System (KMOS).</w:t>
      </w:r>
    </w:p>
    <w:p>
      <w:pPr>
        <w:pStyle w:val="BodyText"/>
      </w:pPr>
      <w:r>
        <w:t xml:space="preserve">Previous specifications defined:</w:t>
      </w:r>
    </w:p>
    <w:p>
      <w:pPr>
        <w:pStyle w:val="Compact"/>
        <w:numPr>
          <w:ilvl w:val="0"/>
          <w:numId w:val="1001"/>
        </w:numPr>
      </w:pPr>
      <w:r>
        <w:t xml:space="preserve">Platform Vision</w:t>
      </w:r>
    </w:p>
    <w:p>
      <w:pPr>
        <w:pStyle w:val="Compact"/>
        <w:numPr>
          <w:ilvl w:val="0"/>
          <w:numId w:val="1001"/>
        </w:numPr>
      </w:pPr>
      <w:r>
        <w:t xml:space="preserve">Domains</w:t>
      </w:r>
    </w:p>
    <w:p>
      <w:pPr>
        <w:pStyle w:val="Compact"/>
        <w:numPr>
          <w:ilvl w:val="0"/>
          <w:numId w:val="1001"/>
        </w:numPr>
      </w:pPr>
      <w:r>
        <w:t xml:space="preserve">Events</w:t>
      </w:r>
    </w:p>
    <w:p>
      <w:pPr>
        <w:pStyle w:val="Compact"/>
        <w:numPr>
          <w:ilvl w:val="0"/>
          <w:numId w:val="1001"/>
        </w:numPr>
      </w:pPr>
      <w:r>
        <w:t xml:space="preserve">Capabilities</w:t>
      </w:r>
    </w:p>
    <w:p>
      <w:pPr>
        <w:pStyle w:val="Compact"/>
        <w:numPr>
          <w:ilvl w:val="0"/>
          <w:numId w:val="1001"/>
        </w:numPr>
      </w:pPr>
      <w:r>
        <w:t xml:space="preserve">Knowledge</w:t>
      </w:r>
    </w:p>
    <w:p>
      <w:pPr>
        <w:pStyle w:val="Compact"/>
        <w:numPr>
          <w:ilvl w:val="0"/>
          <w:numId w:val="1001"/>
        </w:numPr>
      </w:pPr>
      <w:r>
        <w:t xml:space="preserve">Assets</w:t>
      </w:r>
    </w:p>
    <w:p>
      <w:pPr>
        <w:pStyle w:val="Compact"/>
        <w:numPr>
          <w:ilvl w:val="0"/>
          <w:numId w:val="1001"/>
        </w:numPr>
      </w:pPr>
      <w:r>
        <w:t xml:space="preserve">Workflows</w:t>
      </w:r>
    </w:p>
    <w:p>
      <w:pPr>
        <w:pStyle w:val="Compact"/>
        <w:numPr>
          <w:ilvl w:val="0"/>
          <w:numId w:val="1001"/>
        </w:numPr>
      </w:pPr>
      <w:r>
        <w:t xml:space="preserve">AI Collaboration</w:t>
      </w:r>
    </w:p>
    <w:p>
      <w:pPr>
        <w:pStyle w:val="Compact"/>
        <w:numPr>
          <w:ilvl w:val="0"/>
          <w:numId w:val="1001"/>
        </w:numPr>
      </w:pPr>
      <w:r>
        <w:t xml:space="preserve">Applications</w:t>
      </w:r>
    </w:p>
    <w:p>
      <w:pPr>
        <w:pStyle w:val="FirstParagraph"/>
      </w:pPr>
      <w:r>
        <w:t xml:space="preserve">This document describes how those architectural concepts are realized as a deployable, scalable, observable, and resilient platform.</w:t>
      </w:r>
    </w:p>
    <w:p>
      <w:pPr>
        <w:pStyle w:val="BodyText"/>
      </w:pPr>
      <w:r>
        <w:t xml:space="preserve">This specification intentionally avoids prescribing specific vendors, programming languages, databases, or cloud providers.</w:t>
      </w:r>
    </w:p>
    <w:p>
      <w:pPr>
        <w:pStyle w:val="BodyText"/>
      </w:pPr>
      <w:r>
        <w:t xml:space="preserve">Technology should evolve.</w:t>
      </w:r>
    </w:p>
    <w:p>
      <w:pPr>
        <w:pStyle w:val="BodyText"/>
      </w:pPr>
      <w:r>
        <w:t xml:space="preserve">Architecture should endure.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principles"/>
    <w:p>
      <w:pPr>
        <w:pStyle w:val="Heading1"/>
      </w:pPr>
      <w:r>
        <w:t xml:space="preserve">2. Architectural Principles</w:t>
      </w:r>
    </w:p>
    <w:p>
      <w:pPr>
        <w:pStyle w:val="FirstParagraph"/>
      </w:pPr>
      <w:r>
        <w:t xml:space="preserve">The technical platform SHALL be: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Capability-Oriented</w:t>
      </w:r>
    </w:p>
    <w:p>
      <w:pPr>
        <w:pStyle w:val="BodyText"/>
      </w:pPr>
      <w:r>
        <w:t xml:space="preserve">Knowledge-Centric</w:t>
      </w:r>
    </w:p>
    <w:p>
      <w:pPr>
        <w:pStyle w:val="BodyText"/>
      </w:pPr>
      <w:r>
        <w:t xml:space="preserve">Cloud Independent</w:t>
      </w:r>
    </w:p>
    <w:p>
      <w:pPr>
        <w:pStyle w:val="BodyText"/>
      </w:pPr>
      <w:r>
        <w:t xml:space="preserve">Vendor Neutral</w:t>
      </w:r>
    </w:p>
    <w:p>
      <w:pPr>
        <w:pStyle w:val="BodyText"/>
      </w:pPr>
      <w:r>
        <w:t xml:space="preserve">Horizontally Scalable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Secure</w:t>
      </w:r>
    </w:p>
    <w:p>
      <w:pPr>
        <w:pStyle w:val="BodyText"/>
      </w:pPr>
      <w:r>
        <w:t xml:space="preserve">Resilient</w:t>
      </w:r>
    </w:p>
    <w:p>
      <w:pPr>
        <w:pStyle w:val="BodyText"/>
      </w:pPr>
      <w:r>
        <w:t xml:space="preserve">Replaceable</w:t>
      </w:r>
    </w:p>
    <w:p>
      <w:pPr>
        <w:pStyle w:val="BodyText"/>
      </w:pPr>
      <w:r>
        <w:t xml:space="preserve">Technology choices are implementation details rather than architectural constraints.</w:t>
      </w:r>
    </w:p>
    <w:p>
      <w:r>
        <w:pict>
          <v:rect style="width:0;height:1.5pt" o:hralign="center" o:hrstd="t" o:hr="t"/>
        </w:pict>
      </w:r>
    </w:p>
    <w:bookmarkEnd w:id="23"/>
    <w:bookmarkStart w:id="30" w:name="platform-layers"/>
    <w:p>
      <w:pPr>
        <w:pStyle w:val="Heading1"/>
      </w:pPr>
      <w:r>
        <w:t xml:space="preserve">3. Platform Layers</w:t>
      </w:r>
    </w:p>
    <w:p>
      <w:pPr>
        <w:pStyle w:val="FirstParagraph"/>
      </w:pPr>
      <w:r>
        <w:t xml:space="preserve">KMOS is organized into six technical layers.</w:t>
      </w:r>
    </w:p>
    <w:bookmarkStart w:id="24" w:name="layer-1-infrastructure"/>
    <w:p>
      <w:pPr>
        <w:pStyle w:val="Heading2"/>
      </w:pPr>
      <w:r>
        <w:t xml:space="preserve">Layer 1 — Infrastructure</w:t>
      </w:r>
    </w:p>
    <w:p>
      <w:pPr>
        <w:pStyle w:val="FirstParagraph"/>
      </w:pPr>
      <w:r>
        <w:t xml:space="preserve">Provides foundational computing resources.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Compute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Message Transport</w:t>
      </w:r>
    </w:p>
    <w:p>
      <w:pPr>
        <w:pStyle w:val="BodyText"/>
      </w:pPr>
      <w:r>
        <w:t xml:space="preserve">Infrastructure remains replaceable.</w:t>
      </w:r>
    </w:p>
    <w:p>
      <w:r>
        <w:pict>
          <v:rect style="width:0;height:1.5pt" o:hralign="center" o:hrstd="t" o:hr="t"/>
        </w:pict>
      </w:r>
    </w:p>
    <w:bookmarkEnd w:id="24"/>
    <w:bookmarkStart w:id="25" w:name="layer-2-platform-services"/>
    <w:p>
      <w:pPr>
        <w:pStyle w:val="Heading2"/>
      </w:pPr>
      <w:r>
        <w:t xml:space="preserve">Layer 2 — Platform Services</w:t>
      </w:r>
    </w:p>
    <w:p>
      <w:pPr>
        <w:pStyle w:val="FirstParagraph"/>
      </w:pPr>
      <w:r>
        <w:t xml:space="preserve">Provides shared platform capabilities.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Event Bus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Configuration Service</w:t>
      </w:r>
    </w:p>
    <w:p>
      <w:pPr>
        <w:pStyle w:val="BodyText"/>
      </w:pPr>
      <w:r>
        <w:t xml:space="preserve">Notification Service</w:t>
      </w:r>
    </w:p>
    <w:p>
      <w:pPr>
        <w:pStyle w:val="BodyText"/>
      </w:pPr>
      <w:r>
        <w:t xml:space="preserve">Search Infrastructure</w:t>
      </w:r>
    </w:p>
    <w:p>
      <w:pPr>
        <w:pStyle w:val="BodyText"/>
      </w:pPr>
      <w:r>
        <w:t xml:space="preserve">API Gateway</w:t>
      </w:r>
    </w:p>
    <w:p>
      <w:pPr>
        <w:pStyle w:val="BodyText"/>
      </w:pPr>
      <w:r>
        <w:t xml:space="preserve">Observability Platform</w:t>
      </w:r>
    </w:p>
    <w:p>
      <w:pPr>
        <w:pStyle w:val="BodyText"/>
      </w:pPr>
      <w:r>
        <w:t xml:space="preserve">These services form the technical backbone of KMOS.</w:t>
      </w:r>
    </w:p>
    <w:p>
      <w:r>
        <w:pict>
          <v:rect style="width:0;height:1.5pt" o:hralign="center" o:hrstd="t" o:hr="t"/>
        </w:pict>
      </w:r>
    </w:p>
    <w:bookmarkEnd w:id="25"/>
    <w:bookmarkStart w:id="26" w:name="layer-3-domain-services"/>
    <w:p>
      <w:pPr>
        <w:pStyle w:val="Heading2"/>
      </w:pPr>
      <w:r>
        <w:t xml:space="preserve">Layer 3 — Domain Services</w:t>
      </w:r>
    </w:p>
    <w:p>
      <w:pPr>
        <w:pStyle w:val="FirstParagraph"/>
      </w:pPr>
      <w:r>
        <w:t xml:space="preserve">Each domain owns its business services.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 Services</w:t>
      </w:r>
    </w:p>
    <w:p>
      <w:pPr>
        <w:pStyle w:val="BodyText"/>
      </w:pPr>
      <w:r>
        <w:t xml:space="preserve">Language Services</w:t>
      </w:r>
    </w:p>
    <w:p>
      <w:pPr>
        <w:pStyle w:val="BodyText"/>
      </w:pPr>
      <w:r>
        <w:t xml:space="preserve">Media Services</w:t>
      </w:r>
    </w:p>
    <w:p>
      <w:pPr>
        <w:pStyle w:val="BodyText"/>
      </w:pPr>
      <w:r>
        <w:t xml:space="preserve">Publishing Services</w:t>
      </w:r>
    </w:p>
    <w:p>
      <w:pPr>
        <w:pStyle w:val="BodyText"/>
      </w:pPr>
      <w:r>
        <w:t xml:space="preserve">Governance Services</w:t>
      </w:r>
    </w:p>
    <w:p>
      <w:pPr>
        <w:pStyle w:val="BodyText"/>
      </w:pPr>
      <w:r>
        <w:t xml:space="preserve">Search Services</w:t>
      </w:r>
    </w:p>
    <w:p>
      <w:pPr>
        <w:pStyle w:val="BodyText"/>
      </w:pPr>
      <w:r>
        <w:t xml:space="preserve">Identity Services</w:t>
      </w:r>
    </w:p>
    <w:p>
      <w:pPr>
        <w:pStyle w:val="BodyText"/>
      </w:pPr>
      <w:r>
        <w:t xml:space="preserve">Domain services expose stable contracts.</w:t>
      </w:r>
    </w:p>
    <w:p>
      <w:r>
        <w:pict>
          <v:rect style="width:0;height:1.5pt" o:hralign="center" o:hrstd="t" o:hr="t"/>
        </w:pict>
      </w:r>
    </w:p>
    <w:bookmarkEnd w:id="26"/>
    <w:bookmarkStart w:id="27" w:name="layer-4-capability-workers"/>
    <w:p>
      <w:pPr>
        <w:pStyle w:val="Heading2"/>
      </w:pPr>
      <w:r>
        <w:t xml:space="preserve">Layer 4 — Capability Workers</w:t>
      </w:r>
    </w:p>
    <w:p>
      <w:pPr>
        <w:pStyle w:val="FirstParagraph"/>
      </w:pPr>
      <w:r>
        <w:t xml:space="preserve">Capabilities execute work.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Subtitle Generation</w:t>
      </w:r>
    </w:p>
    <w:p>
      <w:pPr>
        <w:pStyle w:val="BodyText"/>
      </w:pPr>
      <w:r>
        <w:t xml:space="preserve">Topic Classification</w:t>
      </w:r>
    </w:p>
    <w:p>
      <w:pPr>
        <w:pStyle w:val="BodyText"/>
      </w:pPr>
      <w:r>
        <w:t xml:space="preserve">Image Processing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Workers remain stateless whenever practical.</w:t>
      </w:r>
    </w:p>
    <w:p>
      <w:r>
        <w:pict>
          <v:rect style="width:0;height:1.5pt" o:hralign="center" o:hrstd="t" o:hr="t"/>
        </w:pict>
      </w:r>
    </w:p>
    <w:bookmarkEnd w:id="27"/>
    <w:bookmarkStart w:id="28" w:name="layer-5-applications"/>
    <w:p>
      <w:pPr>
        <w:pStyle w:val="Heading2"/>
      </w:pPr>
      <w:r>
        <w:t xml:space="preserve">Layer 5 — Applications</w:t>
      </w:r>
    </w:p>
    <w:p>
      <w:pPr>
        <w:pStyle w:val="FirstParagraph"/>
      </w:pPr>
      <w:r>
        <w:t xml:space="preserve">Applications provide user experiences.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 Studio</w:t>
      </w:r>
    </w:p>
    <w:p>
      <w:pPr>
        <w:pStyle w:val="BodyText"/>
      </w:pPr>
      <w:r>
        <w:t xml:space="preserve">Media Studio</w:t>
      </w:r>
    </w:p>
    <w:p>
      <w:pPr>
        <w:pStyle w:val="BodyText"/>
      </w:pPr>
      <w:r>
        <w:t xml:space="preserve">Publishing Studio</w:t>
      </w:r>
    </w:p>
    <w:p>
      <w:pPr>
        <w:pStyle w:val="BodyText"/>
      </w:pPr>
      <w:r>
        <w:t xml:space="preserve">Research Portal</w:t>
      </w:r>
    </w:p>
    <w:p>
      <w:pPr>
        <w:pStyle w:val="BodyText"/>
      </w:pPr>
      <w:r>
        <w:t xml:space="preserve">Archive Explorer</w:t>
      </w:r>
    </w:p>
    <w:p>
      <w:pPr>
        <w:pStyle w:val="BodyText"/>
      </w:pPr>
      <w:r>
        <w:t xml:space="preserve">Learning Platform</w:t>
      </w:r>
    </w:p>
    <w:p>
      <w:pPr>
        <w:pStyle w:val="BodyText"/>
      </w:pPr>
      <w:r>
        <w:t xml:space="preserve">Mobile Applications</w:t>
      </w:r>
    </w:p>
    <w:p>
      <w:pPr>
        <w:pStyle w:val="BodyText"/>
      </w:pPr>
      <w:r>
        <w:t xml:space="preserve">Applications remain lightweight.</w:t>
      </w:r>
    </w:p>
    <w:p>
      <w:r>
        <w:pict>
          <v:rect style="width:0;height:1.5pt" o:hralign="center" o:hrstd="t" o:hr="t"/>
        </w:pict>
      </w:r>
    </w:p>
    <w:bookmarkEnd w:id="28"/>
    <w:bookmarkStart w:id="29" w:name="layer-6-external-ecosystem"/>
    <w:p>
      <w:pPr>
        <w:pStyle w:val="Heading2"/>
      </w:pPr>
      <w:r>
        <w:t xml:space="preserve">Layer 6 — External Ecosystem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Storage Providers</w:t>
      </w:r>
    </w:p>
    <w:p>
      <w:pPr>
        <w:pStyle w:val="BodyText"/>
      </w:pPr>
      <w:r>
        <w:t xml:space="preserve">AI Providers</w:t>
      </w:r>
    </w:p>
    <w:p>
      <w:pPr>
        <w:pStyle w:val="BodyText"/>
      </w:pPr>
      <w:r>
        <w:t xml:space="preserve">Publishing Platforms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External Archives</w:t>
      </w:r>
    </w:p>
    <w:p>
      <w:pPr>
        <w:pStyle w:val="BodyText"/>
      </w:pPr>
      <w:r>
        <w:t xml:space="preserve">Educational Systems</w:t>
      </w:r>
    </w:p>
    <w:p>
      <w:pPr>
        <w:pStyle w:val="BodyText"/>
      </w:pPr>
      <w:r>
        <w:t xml:space="preserve">Enterprise Platforms</w:t>
      </w:r>
    </w:p>
    <w:p>
      <w:pPr>
        <w:pStyle w:val="BodyText"/>
      </w:pPr>
      <w:r>
        <w:t xml:space="preserve">External systems integrate through published contracts.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ployment-model"/>
    <w:p>
      <w:pPr>
        <w:pStyle w:val="Heading1"/>
      </w:pPr>
      <w:r>
        <w:t xml:space="preserve">4. Deployment Model</w:t>
      </w:r>
    </w:p>
    <w:p>
      <w:pPr>
        <w:pStyle w:val="FirstParagraph"/>
      </w:pPr>
      <w:r>
        <w:t xml:space="preserve">KMOS supports multiple deployment topologies.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Single Machine</w:t>
      </w:r>
    </w:p>
    <w:p>
      <w:pPr>
        <w:pStyle w:val="BodyText"/>
      </w:pPr>
      <w:r>
        <w:t xml:space="preserve">Development Environment</w:t>
      </w:r>
    </w:p>
    <w:p>
      <w:pPr>
        <w:pStyle w:val="BodyText"/>
      </w:pPr>
      <w:r>
        <w:t xml:space="preserve">Small Organization</w:t>
      </w:r>
    </w:p>
    <w:p>
      <w:pPr>
        <w:pStyle w:val="BodyText"/>
      </w:pPr>
      <w:r>
        <w:t xml:space="preserve">Enterprise Cluster</w:t>
      </w:r>
    </w:p>
    <w:p>
      <w:pPr>
        <w:pStyle w:val="BodyText"/>
      </w:pPr>
      <w:r>
        <w:t xml:space="preserve">Hybrid Cloud</w:t>
      </w:r>
    </w:p>
    <w:p>
      <w:pPr>
        <w:pStyle w:val="BodyText"/>
      </w:pPr>
      <w:r>
        <w:t xml:space="preserve">Private Cloud</w:t>
      </w:r>
    </w:p>
    <w:p>
      <w:pPr>
        <w:pStyle w:val="BodyText"/>
      </w:pPr>
      <w:r>
        <w:t xml:space="preserve">Public Cloud</w:t>
      </w:r>
    </w:p>
    <w:p>
      <w:pPr>
        <w:pStyle w:val="BodyText"/>
      </w:pPr>
      <w:r>
        <w:t xml:space="preserve">Edge Deployment</w:t>
      </w:r>
    </w:p>
    <w:p>
      <w:pPr>
        <w:pStyle w:val="BodyText"/>
      </w:pPr>
      <w:r>
        <w:t xml:space="preserve">Offline Archive</w:t>
      </w:r>
    </w:p>
    <w:p>
      <w:pPr>
        <w:pStyle w:val="BodyText"/>
      </w:pPr>
      <w:r>
        <w:t xml:space="preserve">Distributed Federation</w:t>
      </w:r>
    </w:p>
    <w:p>
      <w:pPr>
        <w:pStyle w:val="BodyText"/>
      </w:pPr>
      <w:r>
        <w:t xml:space="preserve">The logical architecture remains identical.</w:t>
      </w:r>
    </w:p>
    <w:p>
      <w:pPr>
        <w:pStyle w:val="BodyText"/>
      </w:pPr>
      <w:r>
        <w:t xml:space="preserve">Only deployment topology changes.</w:t>
      </w:r>
    </w:p>
    <w:p>
      <w:r>
        <w:pict>
          <v:rect style="width:0;height:1.5pt" o:hralign="center" o:hrstd="t" o:hr="t"/>
        </w:pict>
      </w:r>
    </w:p>
    <w:bookmarkEnd w:id="31"/>
    <w:bookmarkStart w:id="32" w:name="service-architecture"/>
    <w:p>
      <w:pPr>
        <w:pStyle w:val="Heading1"/>
      </w:pPr>
      <w:r>
        <w:t xml:space="preserve">5. Service Architecture</w:t>
      </w:r>
    </w:p>
    <w:p>
      <w:pPr>
        <w:pStyle w:val="FirstParagraph"/>
      </w:pPr>
      <w:r>
        <w:t xml:space="preserve">Every service SHALL:</w:t>
      </w:r>
    </w:p>
    <w:p>
      <w:pPr>
        <w:pStyle w:val="BodyText"/>
      </w:pPr>
      <w:r>
        <w:t xml:space="preserve">Expose versioned contracts</w:t>
      </w:r>
    </w:p>
    <w:p>
      <w:pPr>
        <w:pStyle w:val="BodyText"/>
      </w:pPr>
      <w:r>
        <w:t xml:space="preserve">Publish events</w:t>
      </w:r>
    </w:p>
    <w:p>
      <w:pPr>
        <w:pStyle w:val="BodyText"/>
      </w:pPr>
      <w:r>
        <w:t xml:space="preserve">Consume events</w:t>
      </w:r>
    </w:p>
    <w:p>
      <w:pPr>
        <w:pStyle w:val="BodyText"/>
      </w:pPr>
      <w:r>
        <w:t xml:space="preserve">Register health</w:t>
      </w:r>
    </w:p>
    <w:p>
      <w:pPr>
        <w:pStyle w:val="BodyText"/>
      </w:pPr>
      <w:r>
        <w:t xml:space="preserve">Publish metrics</w:t>
      </w:r>
    </w:p>
    <w:p>
      <w:pPr>
        <w:pStyle w:val="BodyText"/>
      </w:pPr>
      <w:r>
        <w:t xml:space="preserve">Support tracing</w:t>
      </w:r>
    </w:p>
    <w:p>
      <w:pPr>
        <w:pStyle w:val="BodyText"/>
      </w:pPr>
      <w:r>
        <w:t xml:space="preserve">Authenticate requests</w:t>
      </w:r>
    </w:p>
    <w:p>
      <w:pPr>
        <w:pStyle w:val="BodyText"/>
      </w:pPr>
      <w:r>
        <w:t xml:space="preserve">Participate in governance</w:t>
      </w:r>
    </w:p>
    <w:p>
      <w:pPr>
        <w:pStyle w:val="BodyText"/>
      </w:pPr>
      <w:r>
        <w:t xml:space="preserve">Register capabilities when applicable</w:t>
      </w:r>
    </w:p>
    <w:p>
      <w:pPr>
        <w:pStyle w:val="BodyText"/>
      </w:pPr>
      <w:r>
        <w:t xml:space="preserve">Services remain independently deployable.</w:t>
      </w:r>
    </w:p>
    <w:p>
      <w:r>
        <w:pict>
          <v:rect style="width:0;height:1.5pt" o:hralign="center" o:hrstd="t" o:hr="t"/>
        </w:pict>
      </w:r>
    </w:p>
    <w:bookmarkEnd w:id="32"/>
    <w:bookmarkStart w:id="33" w:name="event-infrastructure"/>
    <w:p>
      <w:pPr>
        <w:pStyle w:val="Heading1"/>
      </w:pPr>
      <w:r>
        <w:t xml:space="preserve">6. Event Infrastructure</w:t>
      </w:r>
    </w:p>
    <w:p>
      <w:pPr>
        <w:pStyle w:val="FirstParagraph"/>
      </w:pPr>
      <w:r>
        <w:t xml:space="preserve">The event infrastructure provides:</w:t>
      </w:r>
    </w:p>
    <w:p>
      <w:pPr>
        <w:pStyle w:val="BodyText"/>
      </w:pPr>
      <w:r>
        <w:t xml:space="preserve">Reliable delivery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Routing</w:t>
      </w:r>
    </w:p>
    <w:p>
      <w:pPr>
        <w:pStyle w:val="BodyText"/>
      </w:pPr>
      <w:r>
        <w:t xml:space="preserve">Persistence</w:t>
      </w:r>
    </w:p>
    <w:p>
      <w:pPr>
        <w:pStyle w:val="BodyText"/>
      </w:pPr>
      <w:r>
        <w:t xml:space="preserve">Dead-letter handling</w:t>
      </w:r>
    </w:p>
    <w:p>
      <w:pPr>
        <w:pStyle w:val="BodyText"/>
      </w:pPr>
      <w:r>
        <w:t xml:space="preserve">Ordering where required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The Event Bus becomes the communication backbone of KMOS.</w:t>
      </w:r>
    </w:p>
    <w:p>
      <w:r>
        <w:pict>
          <v:rect style="width:0;height:1.5pt" o:hralign="center" o:hrstd="t" o:hr="t"/>
        </w:pict>
      </w:r>
    </w:p>
    <w:bookmarkEnd w:id="33"/>
    <w:bookmarkStart w:id="34" w:name="workflow-infrastructure"/>
    <w:p>
      <w:pPr>
        <w:pStyle w:val="Heading1"/>
      </w:pPr>
      <w:r>
        <w:t xml:space="preserve">7. Workflow Infrastructure</w:t>
      </w:r>
    </w:p>
    <w:p>
      <w:pPr>
        <w:pStyle w:val="FirstParagraph"/>
      </w:pPr>
      <w:r>
        <w:t xml:space="preserve">Workflow infrastructure provides: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Long-running orchestration</w:t>
      </w:r>
    </w:p>
    <w:p>
      <w:pPr>
        <w:pStyle w:val="BodyText"/>
      </w:pPr>
      <w:r>
        <w:t xml:space="preserve">State persistence</w:t>
      </w:r>
    </w:p>
    <w:p>
      <w:pPr>
        <w:pStyle w:val="BodyText"/>
      </w:pPr>
      <w:r>
        <w:t xml:space="preserve">Policy evaluation</w:t>
      </w:r>
    </w:p>
    <w:p>
      <w:pPr>
        <w:pStyle w:val="BodyText"/>
      </w:pPr>
      <w:r>
        <w:t xml:space="preserve">Human approvals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Workflow infrastructure never contains business logic.</w:t>
      </w:r>
    </w:p>
    <w:p>
      <w:r>
        <w:pict>
          <v:rect style="width:0;height:1.5pt" o:hralign="center" o:hrstd="t" o:hr="t"/>
        </w:pict>
      </w:r>
    </w:p>
    <w:bookmarkEnd w:id="34"/>
    <w:bookmarkStart w:id="35" w:name="data-architecture"/>
    <w:p>
      <w:pPr>
        <w:pStyle w:val="Heading1"/>
      </w:pPr>
      <w:r>
        <w:t xml:space="preserve">8. Data Architecture</w:t>
      </w:r>
    </w:p>
    <w:p>
      <w:pPr>
        <w:pStyle w:val="FirstParagraph"/>
      </w:pPr>
      <w:r>
        <w:t xml:space="preserve">Different responsibilities require different data models.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Relational Data</w:t>
      </w:r>
    </w:p>
    <w:p>
      <w:pPr>
        <w:pStyle w:val="BodyText"/>
      </w:pPr>
      <w:r>
        <w:t xml:space="preserve">Document Data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Search Indexes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Event Streams</w:t>
      </w:r>
    </w:p>
    <w:p>
      <w:pPr>
        <w:pStyle w:val="BodyText"/>
      </w:pPr>
      <w:r>
        <w:t xml:space="preserve">The architecture encourages polyglot persistence while maintaining clear ownership boundaries.</w:t>
      </w:r>
    </w:p>
    <w:p>
      <w:r>
        <w:pict>
          <v:rect style="width:0;height:1.5pt" o:hralign="center" o:hrstd="t" o:hr="t"/>
        </w:pict>
      </w:r>
    </w:p>
    <w:bookmarkEnd w:id="35"/>
    <w:bookmarkStart w:id="36" w:name="storage-strategy"/>
    <w:p>
      <w:pPr>
        <w:pStyle w:val="Heading1"/>
      </w:pPr>
      <w:r>
        <w:t xml:space="preserve">9. Storage Strategy</w:t>
      </w:r>
    </w:p>
    <w:p>
      <w:pPr>
        <w:pStyle w:val="FirstParagraph"/>
      </w:pPr>
      <w:r>
        <w:t xml:space="preserve">Storage responsibilities include: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Archives</w:t>
      </w:r>
    </w:p>
    <w:p>
      <w:pPr>
        <w:pStyle w:val="BodyText"/>
      </w:pPr>
      <w:r>
        <w:t xml:space="preserve">Storage technologies remain replaceable.</w:t>
      </w:r>
    </w:p>
    <w:p>
      <w:pPr>
        <w:pStyle w:val="BodyText"/>
      </w:pPr>
      <w:r>
        <w:t xml:space="preserve">Identity and lineage remain constant.</w:t>
      </w:r>
    </w:p>
    <w:p>
      <w:r>
        <w:pict>
          <v:rect style="width:0;height:1.5pt" o:hralign="center" o:hrstd="t" o:hr="t"/>
        </w:pict>
      </w:r>
    </w:p>
    <w:bookmarkEnd w:id="36"/>
    <w:bookmarkStart w:id="37" w:name="identity-security"/>
    <w:p>
      <w:pPr>
        <w:pStyle w:val="Heading1"/>
      </w:pPr>
      <w:r>
        <w:t xml:space="preserve">10. Identity &amp; Security</w:t>
      </w:r>
    </w:p>
    <w:p>
      <w:pPr>
        <w:pStyle w:val="FirstParagraph"/>
      </w:pPr>
      <w:r>
        <w:t xml:space="preserve">Security principles include: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Least Privilege</w:t>
      </w:r>
    </w:p>
    <w:p>
      <w:pPr>
        <w:pStyle w:val="BodyText"/>
      </w:pPr>
      <w:r>
        <w:t xml:space="preserve">Role-Based Access</w:t>
      </w:r>
    </w:p>
    <w:p>
      <w:pPr>
        <w:pStyle w:val="BodyText"/>
      </w:pPr>
      <w:r>
        <w:t xml:space="preserve">Service Identity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Secret Management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Identity extends to:</w:t>
      </w:r>
    </w:p>
    <w:p>
      <w:pPr>
        <w:pStyle w:val="BodyText"/>
      </w:pPr>
      <w:r>
        <w:t xml:space="preserve">Humans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AI Workers</w:t>
      </w:r>
    </w:p>
    <w:p>
      <w:pPr>
        <w:pStyle w:val="BodyText"/>
      </w:pPr>
      <w:r>
        <w:t xml:space="preserve">Connectors</w:t>
      </w:r>
    </w:p>
    <w:p>
      <w:r>
        <w:pict>
          <v:rect style="width:0;height:1.5pt" o:hralign="center" o:hrstd="t" o:hr="t"/>
        </w:pict>
      </w:r>
    </w:p>
    <w:bookmarkEnd w:id="37"/>
    <w:bookmarkStart w:id="38" w:name="observability"/>
    <w:p>
      <w:pPr>
        <w:pStyle w:val="Heading1"/>
      </w:pPr>
      <w:r>
        <w:t xml:space="preserve">11. Observability</w:t>
      </w:r>
    </w:p>
    <w:p>
      <w:pPr>
        <w:pStyle w:val="FirstParagraph"/>
      </w:pPr>
      <w:r>
        <w:t xml:space="preserve">Every component publishes operational information.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Traces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Workflow Status</w:t>
      </w:r>
    </w:p>
    <w:p>
      <w:pPr>
        <w:pStyle w:val="BodyText"/>
      </w:pPr>
      <w:r>
        <w:t xml:space="preserve">Capability Status</w:t>
      </w:r>
    </w:p>
    <w:p>
      <w:pPr>
        <w:pStyle w:val="BodyText"/>
      </w:pPr>
      <w:r>
        <w:t xml:space="preserve">Queue Depth</w:t>
      </w:r>
    </w:p>
    <w:p>
      <w:pPr>
        <w:pStyle w:val="BodyText"/>
      </w:pPr>
      <w:r>
        <w:t xml:space="preserve">Resource Usage</w:t>
      </w:r>
    </w:p>
    <w:p>
      <w:pPr>
        <w:pStyle w:val="BodyText"/>
      </w:pPr>
      <w:r>
        <w:t xml:space="preserve">Observability is mandatory rather than optional.</w:t>
      </w:r>
    </w:p>
    <w:p>
      <w:r>
        <w:pict>
          <v:rect style="width:0;height:1.5pt" o:hralign="center" o:hrstd="t" o:hr="t"/>
        </w:pict>
      </w:r>
    </w:p>
    <w:bookmarkEnd w:id="38"/>
    <w:bookmarkStart w:id="39" w:name="scalability"/>
    <w:p>
      <w:pPr>
        <w:pStyle w:val="Heading1"/>
      </w:pPr>
      <w:r>
        <w:t xml:space="preserve">12. Scalability</w:t>
      </w:r>
    </w:p>
    <w:p>
      <w:pPr>
        <w:pStyle w:val="FirstParagraph"/>
      </w:pPr>
      <w:r>
        <w:t xml:space="preserve">Platform components scale independently.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Additional rendering workers</w:t>
      </w:r>
    </w:p>
    <w:p>
      <w:pPr>
        <w:pStyle w:val="BodyText"/>
      </w:pPr>
      <w:r>
        <w:t xml:space="preserve">Additional transcription workers</w:t>
      </w:r>
    </w:p>
    <w:p>
      <w:pPr>
        <w:pStyle w:val="BodyText"/>
      </w:pPr>
      <w:r>
        <w:t xml:space="preserve">Additional search nodes</w:t>
      </w:r>
    </w:p>
    <w:p>
      <w:pPr>
        <w:pStyle w:val="BodyText"/>
      </w:pPr>
      <w:r>
        <w:t xml:space="preserve">Additional workflow executors</w:t>
      </w:r>
    </w:p>
    <w:p>
      <w:pPr>
        <w:pStyle w:val="BodyText"/>
      </w:pPr>
      <w:r>
        <w:t xml:space="preserve">Additional event consumers</w:t>
      </w:r>
    </w:p>
    <w:p>
      <w:pPr>
        <w:pStyle w:val="BodyText"/>
      </w:pPr>
      <w:r>
        <w:t xml:space="preserve">Scaling follows workload rather than application boundaries.</w:t>
      </w:r>
    </w:p>
    <w:p>
      <w:r>
        <w:pict>
          <v:rect style="width:0;height:1.5pt" o:hralign="center" o:hrstd="t" o:hr="t"/>
        </w:pict>
      </w:r>
    </w:p>
    <w:bookmarkEnd w:id="39"/>
    <w:bookmarkStart w:id="40" w:name="resilience"/>
    <w:p>
      <w:pPr>
        <w:pStyle w:val="Heading1"/>
      </w:pPr>
      <w:r>
        <w:t xml:space="preserve">13. Resilience</w:t>
      </w:r>
    </w:p>
    <w:p>
      <w:pPr>
        <w:pStyle w:val="FirstParagraph"/>
      </w:pPr>
      <w:r>
        <w:t xml:space="preserve">The platform tolerates failures through:</w:t>
      </w:r>
    </w:p>
    <w:p>
      <w:pPr>
        <w:pStyle w:val="BodyText"/>
      </w:pPr>
      <w:r>
        <w:t xml:space="preserve">Event Replay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Replication</w:t>
      </w:r>
    </w:p>
    <w:p>
      <w:pPr>
        <w:pStyle w:val="BodyText"/>
      </w:pPr>
      <w:r>
        <w:t xml:space="preserve">Health Monitoring</w:t>
      </w:r>
    </w:p>
    <w:p>
      <w:pPr>
        <w:pStyle w:val="BodyText"/>
      </w:pPr>
      <w:r>
        <w:t xml:space="preserve">Graceful Degradation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Recovery Procedures</w:t>
      </w:r>
    </w:p>
    <w:p>
      <w:pPr>
        <w:pStyle w:val="BodyText"/>
      </w:pPr>
      <w:r>
        <w:t xml:space="preserve">Capability Isolation</w:t>
      </w:r>
    </w:p>
    <w:p>
      <w:pPr>
        <w:pStyle w:val="BodyText"/>
      </w:pPr>
      <w:r>
        <w:t xml:space="preserve">Failures should remain localized whenever possible.</w:t>
      </w:r>
    </w:p>
    <w:p>
      <w:r>
        <w:pict>
          <v:rect style="width:0;height:1.5pt" o:hralign="center" o:hrstd="t" o:hr="t"/>
        </w:pict>
      </w:r>
    </w:p>
    <w:bookmarkEnd w:id="40"/>
    <w:bookmarkStart w:id="41" w:name="ai-infrastructure"/>
    <w:p>
      <w:pPr>
        <w:pStyle w:val="Heading1"/>
      </w:pPr>
      <w:r>
        <w:t xml:space="preserve">14. AI Infrastructure</w:t>
      </w:r>
    </w:p>
    <w:p>
      <w:pPr>
        <w:pStyle w:val="FirstParagraph"/>
      </w:pPr>
      <w:r>
        <w:t xml:space="preserve">AI infrastructure supports:</w:t>
      </w:r>
    </w:p>
    <w:p>
      <w:pPr>
        <w:pStyle w:val="BodyText"/>
      </w:pPr>
      <w:r>
        <w:t xml:space="preserve">Local inference</w:t>
      </w:r>
    </w:p>
    <w:p>
      <w:pPr>
        <w:pStyle w:val="BodyText"/>
      </w:pPr>
      <w:r>
        <w:t xml:space="preserve">Remote inference</w:t>
      </w:r>
    </w:p>
    <w:p>
      <w:pPr>
        <w:pStyle w:val="BodyText"/>
      </w:pPr>
      <w:r>
        <w:t xml:space="preserve">Hybrid execution</w:t>
      </w:r>
    </w:p>
    <w:p>
      <w:pPr>
        <w:pStyle w:val="BodyText"/>
      </w:pPr>
      <w:r>
        <w:t xml:space="preserve">Multiple providers</w:t>
      </w:r>
    </w:p>
    <w:p>
      <w:pPr>
        <w:pStyle w:val="BodyText"/>
      </w:pPr>
      <w:r>
        <w:t xml:space="preserve">Model routing</w:t>
      </w:r>
    </w:p>
    <w:p>
      <w:pPr>
        <w:pStyle w:val="BodyText"/>
      </w:pPr>
      <w:r>
        <w:t xml:space="preserve">GPU scheduling</w:t>
      </w:r>
    </w:p>
    <w:p>
      <w:pPr>
        <w:pStyle w:val="BodyText"/>
      </w:pPr>
      <w:r>
        <w:t xml:space="preserve">Resource isolation</w:t>
      </w:r>
    </w:p>
    <w:p>
      <w:pPr>
        <w:pStyle w:val="BodyText"/>
      </w:pPr>
      <w:r>
        <w:t xml:space="preserve">Model lifecycle management</w:t>
      </w:r>
    </w:p>
    <w:p>
      <w:pPr>
        <w:pStyle w:val="BodyText"/>
      </w:pPr>
      <w:r>
        <w:t xml:space="preserve">The architecture never assumes a single AI provider.</w:t>
      </w:r>
    </w:p>
    <w:p>
      <w:r>
        <w:pict>
          <v:rect style="width:0;height:1.5pt" o:hralign="center" o:hrstd="t" o:hr="t"/>
        </w:pict>
      </w:r>
    </w:p>
    <w:bookmarkEnd w:id="41"/>
    <w:bookmarkStart w:id="42" w:name="connector-framework"/>
    <w:p>
      <w:pPr>
        <w:pStyle w:val="Heading1"/>
      </w:pPr>
      <w:r>
        <w:t xml:space="preserve">15. Connector Framework</w:t>
      </w:r>
    </w:p>
    <w:p>
      <w:pPr>
        <w:pStyle w:val="FirstParagraph"/>
      </w:pPr>
      <w:r>
        <w:t xml:space="preserve">External integrations operate through connectors.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Publishing Platforms</w:t>
      </w:r>
    </w:p>
    <w:p>
      <w:pPr>
        <w:pStyle w:val="BodyText"/>
      </w:pPr>
      <w:r>
        <w:t xml:space="preserve">Document Repositories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Identity Providers</w:t>
      </w:r>
    </w:p>
    <w:p>
      <w:pPr>
        <w:pStyle w:val="BodyText"/>
      </w:pPr>
      <w:r>
        <w:t xml:space="preserve">Educational Platforms</w:t>
      </w:r>
    </w:p>
    <w:p>
      <w:pPr>
        <w:pStyle w:val="BodyText"/>
      </w:pPr>
      <w:r>
        <w:t xml:space="preserve">Enterprise Systems</w:t>
      </w:r>
    </w:p>
    <w:p>
      <w:pPr>
        <w:pStyle w:val="BodyText"/>
      </w:pPr>
      <w:r>
        <w:t xml:space="preserve">AI Services</w:t>
      </w:r>
    </w:p>
    <w:p>
      <w:pPr>
        <w:pStyle w:val="BodyText"/>
      </w:pPr>
      <w:r>
        <w:t xml:space="preserve">Every connector publishes events and participates in governance.</w:t>
      </w:r>
    </w:p>
    <w:p>
      <w:r>
        <w:pict>
          <v:rect style="width:0;height:1.5pt" o:hralign="center" o:hrstd="t" o:hr="t"/>
        </w:pict>
      </w:r>
    </w:p>
    <w:bookmarkEnd w:id="42"/>
    <w:bookmarkStart w:id="43" w:name="federation"/>
    <w:p>
      <w:pPr>
        <w:pStyle w:val="Heading1"/>
      </w:pPr>
      <w:r>
        <w:t xml:space="preserve">16. Federation</w:t>
      </w:r>
    </w:p>
    <w:p>
      <w:pPr>
        <w:pStyle w:val="FirstParagraph"/>
      </w:pPr>
      <w:r>
        <w:t xml:space="preserve">Independent KMOS deployments may cooperate.</w:t>
      </w:r>
    </w:p>
    <w:p>
      <w:pPr>
        <w:pStyle w:val="BodyText"/>
      </w:pPr>
      <w:r>
        <w:t xml:space="preserve">Federation supports:</w:t>
      </w:r>
    </w:p>
    <w:p>
      <w:pPr>
        <w:pStyle w:val="BodyText"/>
      </w:pPr>
      <w:r>
        <w:t xml:space="preserve">Knowledge exchange</w:t>
      </w:r>
    </w:p>
    <w:p>
      <w:pPr>
        <w:pStyle w:val="BodyText"/>
      </w:pPr>
      <w:r>
        <w:t xml:space="preserve">Asset synchronization</w:t>
      </w:r>
    </w:p>
    <w:p>
      <w:pPr>
        <w:pStyle w:val="BodyText"/>
      </w:pPr>
      <w:r>
        <w:t xml:space="preserve">Cross-organizational discovery</w:t>
      </w:r>
    </w:p>
    <w:p>
      <w:pPr>
        <w:pStyle w:val="BodyText"/>
      </w:pPr>
      <w:r>
        <w:t xml:space="preserve">Shared vocabulary</w:t>
      </w:r>
    </w:p>
    <w:p>
      <w:pPr>
        <w:pStyle w:val="BodyText"/>
      </w:pPr>
      <w:r>
        <w:t xml:space="preserve">Distributed preservation</w:t>
      </w:r>
    </w:p>
    <w:p>
      <w:pPr>
        <w:pStyle w:val="BodyText"/>
      </w:pPr>
      <w:r>
        <w:t xml:space="preserve">Institutional collaboration</w:t>
      </w:r>
    </w:p>
    <w:p>
      <w:pPr>
        <w:pStyle w:val="BodyText"/>
      </w:pPr>
      <w:r>
        <w:t xml:space="preserve">Federation does not require centralized ownership.</w:t>
      </w:r>
    </w:p>
    <w:p>
      <w:r>
        <w:pict>
          <v:rect style="width:0;height:1.5pt" o:hralign="center" o:hrstd="t" o:hr="t"/>
        </w:pict>
      </w:r>
    </w:p>
    <w:bookmarkEnd w:id="43"/>
    <w:bookmarkStart w:id="44" w:name="disaster-recovery"/>
    <w:p>
      <w:pPr>
        <w:pStyle w:val="Heading1"/>
      </w:pPr>
      <w:r>
        <w:t xml:space="preserve">17. Disaster Recovery</w:t>
      </w:r>
    </w:p>
    <w:p>
      <w:pPr>
        <w:pStyle w:val="FirstParagraph"/>
      </w:pPr>
      <w:r>
        <w:t xml:space="preserve">Recovery planning includes: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Event Replay</w:t>
      </w:r>
    </w:p>
    <w:p>
      <w:pPr>
        <w:pStyle w:val="BodyText"/>
      </w:pPr>
      <w:r>
        <w:t xml:space="preserve">Asset Verification</w:t>
      </w:r>
    </w:p>
    <w:p>
      <w:pPr>
        <w:pStyle w:val="BodyText"/>
      </w:pPr>
      <w:r>
        <w:t xml:space="preserve">Knowledge Reconstruction</w:t>
      </w:r>
    </w:p>
    <w:p>
      <w:pPr>
        <w:pStyle w:val="BodyText"/>
      </w:pPr>
      <w:r>
        <w:t xml:space="preserve">Workflow Recovery</w:t>
      </w:r>
    </w:p>
    <w:p>
      <w:pPr>
        <w:pStyle w:val="BodyText"/>
      </w:pPr>
      <w:r>
        <w:t xml:space="preserve">Configuration Recovery</w:t>
      </w:r>
    </w:p>
    <w:p>
      <w:pPr>
        <w:pStyle w:val="BodyText"/>
      </w:pPr>
      <w:r>
        <w:t xml:space="preserve">Identity Recovery</w:t>
      </w:r>
    </w:p>
    <w:p>
      <w:pPr>
        <w:pStyle w:val="BodyText"/>
      </w:pPr>
      <w:r>
        <w:t xml:space="preserve">Service Redeployment</w:t>
      </w:r>
    </w:p>
    <w:p>
      <w:pPr>
        <w:pStyle w:val="BodyText"/>
      </w:pPr>
      <w:r>
        <w:t xml:space="preserve">Institutional knowledge remains recoverable.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"/>
    <w:p>
      <w:pPr>
        <w:pStyle w:val="Heading1"/>
      </w:pPr>
      <w:r>
        <w:t xml:space="preserve">18. Performance</w:t>
      </w:r>
    </w:p>
    <w:p>
      <w:pPr>
        <w:pStyle w:val="FirstParagraph"/>
      </w:pPr>
      <w:r>
        <w:t xml:space="preserve">Performance objectives should emphasize: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Determinism</w:t>
      </w:r>
    </w:p>
    <w:p>
      <w:pPr>
        <w:pStyle w:val="BodyText"/>
      </w:pPr>
      <w:r>
        <w:t xml:space="preserve">Traceability</w:t>
      </w:r>
    </w:p>
    <w:p>
      <w:pPr>
        <w:pStyle w:val="BodyText"/>
      </w:pPr>
      <w:r>
        <w:t xml:space="preserve">Reproducibility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Predictability</w:t>
      </w:r>
    </w:p>
    <w:p>
      <w:pPr>
        <w:pStyle w:val="BodyText"/>
      </w:pPr>
      <w:r>
        <w:t xml:space="preserve">Raw speed should never compromise governance or knowledge preservation.</w:t>
      </w:r>
    </w:p>
    <w:p>
      <w:r>
        <w:pict>
          <v:rect style="width:0;height:1.5pt" o:hralign="center" o:hrstd="t" o:hr="t"/>
        </w:pict>
      </w:r>
    </w:p>
    <w:bookmarkEnd w:id="45"/>
    <w:bookmarkStart w:id="46" w:name="technology-independence"/>
    <w:p>
      <w:pPr>
        <w:pStyle w:val="Heading1"/>
      </w:pPr>
      <w:r>
        <w:t xml:space="preserve">19. Technology Independence</w:t>
      </w:r>
    </w:p>
    <w:p>
      <w:pPr>
        <w:pStyle w:val="FirstParagraph"/>
      </w:pPr>
      <w:r>
        <w:t xml:space="preserve">No architectural document requires:</w:t>
      </w:r>
    </w:p>
    <w:p>
      <w:pPr>
        <w:pStyle w:val="BodyText"/>
      </w:pPr>
      <w:r>
        <w:t xml:space="preserve">Specific databases</w:t>
      </w:r>
    </w:p>
    <w:p>
      <w:pPr>
        <w:pStyle w:val="BodyText"/>
      </w:pPr>
      <w:r>
        <w:t xml:space="preserve">Specific programming languages</w:t>
      </w:r>
    </w:p>
    <w:p>
      <w:pPr>
        <w:pStyle w:val="BodyText"/>
      </w:pPr>
      <w:r>
        <w:t xml:space="preserve">Specific cloud providers</w:t>
      </w:r>
    </w:p>
    <w:p>
      <w:pPr>
        <w:pStyle w:val="BodyText"/>
      </w:pPr>
      <w:r>
        <w:t xml:space="preserve">Specific AI models</w:t>
      </w:r>
    </w:p>
    <w:p>
      <w:pPr>
        <w:pStyle w:val="BodyText"/>
      </w:pPr>
      <w:r>
        <w:t xml:space="preserve">Specific workflow engines</w:t>
      </w:r>
    </w:p>
    <w:p>
      <w:pPr>
        <w:pStyle w:val="BodyText"/>
      </w:pPr>
      <w:r>
        <w:t xml:space="preserve">Specific event brokers</w:t>
      </w:r>
    </w:p>
    <w:p>
      <w:pPr>
        <w:pStyle w:val="BodyText"/>
      </w:pPr>
      <w:r>
        <w:t xml:space="preserve">Implementations remain replaceable while preserving architecture.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-deployment"/>
    <w:p>
      <w:pPr>
        <w:pStyle w:val="Heading1"/>
      </w:pPr>
      <w:r>
        <w:t xml:space="preserve">20. Reference Deployment</w:t>
      </w:r>
    </w:p>
    <w:p>
      <w:pPr>
        <w:pStyle w:val="FirstParagraph"/>
      </w:pPr>
      <w:r>
        <w:t xml:space="preserve">A reference deployment consists of:</w:t>
      </w:r>
    </w:p>
    <w:p>
      <w:pPr>
        <w:pStyle w:val="BodyText"/>
      </w:pPr>
      <w:r>
        <w:t xml:space="preserve">Infrastructure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Workers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External Integrations</w:t>
      </w:r>
    </w:p>
    <w:p>
      <w:pPr>
        <w:pStyle w:val="BodyText"/>
      </w:pPr>
      <w:r>
        <w:t xml:space="preserve">Every deployment follows this logical structure regardless of scale.</w:t>
      </w:r>
    </w:p>
    <w:p>
      <w:r>
        <w:pict>
          <v:rect style="width:0;height:1.5pt" o:hralign="center" o:hrstd="t" o:hr="t"/>
        </w:pict>
      </w:r>
    </w:p>
    <w:bookmarkEnd w:id="47"/>
    <w:bookmarkStart w:id="48" w:name="operational-governance"/>
    <w:p>
      <w:pPr>
        <w:pStyle w:val="Heading1"/>
      </w:pPr>
      <w:r>
        <w:t xml:space="preserve">21. Operational Governance</w:t>
      </w:r>
    </w:p>
    <w:p>
      <w:pPr>
        <w:pStyle w:val="FirstParagraph"/>
      </w:pPr>
      <w:r>
        <w:t xml:space="preserve">Platform operations include: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Capacity Planning</w:t>
      </w:r>
    </w:p>
    <w:p>
      <w:pPr>
        <w:pStyle w:val="BodyText"/>
      </w:pPr>
      <w:r>
        <w:t xml:space="preserve">Incident Management</w:t>
      </w:r>
    </w:p>
    <w:p>
      <w:pPr>
        <w:pStyle w:val="BodyText"/>
      </w:pPr>
      <w:r>
        <w:t xml:space="preserve">Configuration Management</w:t>
      </w:r>
    </w:p>
    <w:p>
      <w:pPr>
        <w:pStyle w:val="BodyText"/>
      </w:pPr>
      <w:r>
        <w:t xml:space="preserve">Deployment Management</w:t>
      </w:r>
    </w:p>
    <w:p>
      <w:pPr>
        <w:pStyle w:val="BodyText"/>
      </w:pPr>
      <w:r>
        <w:t xml:space="preserve">Version Management</w:t>
      </w:r>
    </w:p>
    <w:p>
      <w:pPr>
        <w:pStyle w:val="BodyText"/>
      </w:pPr>
      <w:r>
        <w:t xml:space="preserve">Security Review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Operational governance complements business governance.</w:t>
      </w:r>
    </w:p>
    <w:p>
      <w:r>
        <w:pict>
          <v:rect style="width:0;height:1.5pt" o:hralign="center" o:hrstd="t" o:hr="t"/>
        </w:pict>
      </w:r>
    </w:p>
    <w:bookmarkEnd w:id="48"/>
    <w:bookmarkStart w:id="49" w:name="evolution-strategy"/>
    <w:p>
      <w:pPr>
        <w:pStyle w:val="Heading1"/>
      </w:pPr>
      <w:r>
        <w:t xml:space="preserve">22. Evolution Strategy</w:t>
      </w:r>
    </w:p>
    <w:p>
      <w:pPr>
        <w:pStyle w:val="FirstParagraph"/>
      </w:pPr>
      <w:r>
        <w:t xml:space="preserve">KMOS evolves by:</w:t>
      </w:r>
    </w:p>
    <w:p>
      <w:pPr>
        <w:pStyle w:val="BodyText"/>
      </w:pPr>
      <w:r>
        <w:t xml:space="preserve">Adding capabilities</w:t>
      </w:r>
    </w:p>
    <w:p>
      <w:pPr>
        <w:pStyle w:val="BodyText"/>
      </w:pPr>
      <w:r>
        <w:t xml:space="preserve">Adding domains</w:t>
      </w:r>
    </w:p>
    <w:p>
      <w:pPr>
        <w:pStyle w:val="BodyText"/>
      </w:pPr>
      <w:r>
        <w:t xml:space="preserve">Adding applications</w:t>
      </w:r>
    </w:p>
    <w:p>
      <w:pPr>
        <w:pStyle w:val="BodyText"/>
      </w:pPr>
      <w:r>
        <w:t xml:space="preserve">Improving knowledge</w:t>
      </w:r>
    </w:p>
    <w:p>
      <w:pPr>
        <w:pStyle w:val="BodyText"/>
      </w:pPr>
      <w:r>
        <w:t xml:space="preserve">Expanding institutional memory</w:t>
      </w:r>
    </w:p>
    <w:p>
      <w:pPr>
        <w:pStyle w:val="BodyText"/>
      </w:pPr>
      <w:r>
        <w:t xml:space="preserve">Replacing implementations</w:t>
      </w:r>
    </w:p>
    <w:p>
      <w:pPr>
        <w:pStyle w:val="BodyText"/>
      </w:pPr>
      <w:r>
        <w:t xml:space="preserve">Architecture evolves through extension rather than replacement.</w:t>
      </w:r>
    </w:p>
    <w:p>
      <w:r>
        <w:pict>
          <v:rect style="width:0;height:1.5pt" o:hralign="center" o:hrstd="t" o:hr="t"/>
        </w:pict>
      </w:r>
    </w:p>
    <w:bookmarkEnd w:id="49"/>
    <w:bookmarkStart w:id="50" w:name="platform-reference-principles"/>
    <w:p>
      <w:pPr>
        <w:pStyle w:val="Heading1"/>
      </w:pPr>
      <w:r>
        <w:t xml:space="preserve">23. Platform Reference Principles</w:t>
      </w:r>
    </w:p>
    <w:p>
      <w:pPr>
        <w:pStyle w:val="FirstParagraph"/>
      </w:pPr>
      <w:r>
        <w:t xml:space="preserve">The technical architecture SHALL preserve the principles established throughout the KMOS specification series.</w:t>
      </w:r>
    </w:p>
    <w:p>
      <w:pPr>
        <w:pStyle w:val="BodyText"/>
      </w:pPr>
      <w:r>
        <w:t xml:space="preserve">Knowledge is permanent.</w:t>
      </w:r>
    </w:p>
    <w:p>
      <w:pPr>
        <w:pStyle w:val="BodyText"/>
      </w:pPr>
      <w:r>
        <w:t xml:space="preserve">Assets preserve evidence.</w:t>
      </w:r>
    </w:p>
    <w:p>
      <w:pPr>
        <w:pStyle w:val="BodyText"/>
      </w:pPr>
      <w:r>
        <w:t xml:space="preserve">Events describe reality.</w:t>
      </w:r>
    </w:p>
    <w:p>
      <w:pPr>
        <w:pStyle w:val="BodyText"/>
      </w:pPr>
      <w:r>
        <w:t xml:space="preserve">Capabilities perform work.</w:t>
      </w:r>
    </w:p>
    <w:p>
      <w:pPr>
        <w:pStyle w:val="BodyText"/>
      </w:pPr>
      <w:r>
        <w:t xml:space="preserve">Workflows coordinate execution.</w:t>
      </w:r>
    </w:p>
    <w:p>
      <w:pPr>
        <w:pStyle w:val="BodyText"/>
      </w:pPr>
      <w:r>
        <w:t xml:space="preserve">Applications provide experiences.</w:t>
      </w:r>
    </w:p>
    <w:p>
      <w:pPr>
        <w:pStyle w:val="BodyText"/>
      </w:pPr>
      <w:r>
        <w:t xml:space="preserve">Governance establishes trust.</w:t>
      </w:r>
    </w:p>
    <w:p>
      <w:pPr>
        <w:pStyle w:val="BodyText"/>
      </w:pPr>
      <w:r>
        <w:t xml:space="preserve">Technology remains replaceable.</w:t>
      </w:r>
    </w:p>
    <w:p>
      <w:r>
        <w:pict>
          <v:rect style="width:0;height:1.5pt" o:hralign="center" o:hrstd="t" o:hr="t"/>
        </w:pict>
      </w:r>
    </w:p>
    <w:bookmarkEnd w:id="50"/>
    <w:bookmarkStart w:id="51" w:name="foundational-architecture-summary"/>
    <w:p>
      <w:pPr>
        <w:pStyle w:val="Heading1"/>
      </w:pPr>
      <w:r>
        <w:t xml:space="preserve">24. Foundational Architecture Summary</w:t>
      </w:r>
    </w:p>
    <w:p>
      <w:pPr>
        <w:pStyle w:val="FirstParagraph"/>
      </w:pPr>
      <w:r>
        <w:t xml:space="preserve">The foundational KMOS architecture consists of:</w:t>
      </w:r>
    </w:p>
    <w:p>
      <w:pPr>
        <w:pStyle w:val="BodyText"/>
      </w:pPr>
      <w:r>
        <w:t xml:space="preserve">KMOS-0001 — Platform Charter</w:t>
      </w:r>
    </w:p>
    <w:p>
      <w:pPr>
        <w:pStyle w:val="BodyText"/>
      </w:pPr>
      <w:r>
        <w:t xml:space="preserve">KMOS-0002 — Domain Model</w:t>
      </w:r>
    </w:p>
    <w:p>
      <w:pPr>
        <w:pStyle w:val="BodyText"/>
      </w:pPr>
      <w:r>
        <w:t xml:space="preserve">KMOS-0003 — Event Model</w:t>
      </w:r>
    </w:p>
    <w:p>
      <w:pPr>
        <w:pStyle w:val="BodyText"/>
      </w:pPr>
      <w:r>
        <w:t xml:space="preserve">KMOS-0004 — Capability Framework</w:t>
      </w:r>
    </w:p>
    <w:p>
      <w:pPr>
        <w:pStyle w:val="BodyText"/>
      </w:pPr>
      <w:r>
        <w:t xml:space="preserve">KMOS-0005 — Knowledge Graph</w:t>
      </w:r>
    </w:p>
    <w:p>
      <w:pPr>
        <w:pStyle w:val="BodyText"/>
      </w:pPr>
      <w:r>
        <w:t xml:space="preserve">KMOS-0006 — Asset Registry</w:t>
      </w:r>
    </w:p>
    <w:p>
      <w:pPr>
        <w:pStyle w:val="BodyText"/>
      </w:pPr>
      <w:r>
        <w:t xml:space="preserve">KMOS-0007 — Workflow Engine</w:t>
      </w:r>
    </w:p>
    <w:p>
      <w:pPr>
        <w:pStyle w:val="BodyText"/>
      </w:pPr>
      <w:r>
        <w:t xml:space="preserve">KMOS-0008 — AI Collaboration</w:t>
      </w:r>
    </w:p>
    <w:p>
      <w:pPr>
        <w:pStyle w:val="BodyText"/>
      </w:pPr>
      <w:r>
        <w:t xml:space="preserve">KMOS-0009 — Reference Applications</w:t>
      </w:r>
    </w:p>
    <w:p>
      <w:pPr>
        <w:pStyle w:val="BodyText"/>
      </w:pPr>
      <w:r>
        <w:t xml:space="preserve">KMOS-0010 — Technical Reference Architecture</w:t>
      </w:r>
    </w:p>
    <w:p>
      <w:pPr>
        <w:pStyle w:val="BodyText"/>
      </w:pPr>
      <w:r>
        <w:t xml:space="preserve">Together these specifications define the permanent architectural foundation of KMOS.</w:t>
      </w:r>
    </w:p>
    <w:p>
      <w:r>
        <w:pict>
          <v:rect style="width:0;height:1.5pt" o:hralign="center" o:hrstd="t" o:hr="t"/>
        </w:pict>
      </w:r>
    </w:p>
    <w:bookmarkEnd w:id="51"/>
    <w:bookmarkStart w:id="52" w:name="next-phase-platform-specifications"/>
    <w:p>
      <w:pPr>
        <w:pStyle w:val="Heading1"/>
      </w:pPr>
      <w:r>
        <w:t xml:space="preserve">25. Next Phase — Platform Specifications</w:t>
      </w:r>
    </w:p>
    <w:p>
      <w:pPr>
        <w:pStyle w:val="FirstParagraph"/>
      </w:pPr>
      <w:r>
        <w:t xml:space="preserve">With the foundational architecture complete, subsequent specifications move from principles to implementation.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KMOS-0100 — Canonical Data Model</w:t>
      </w:r>
    </w:p>
    <w:p>
      <w:pPr>
        <w:pStyle w:val="BodyText"/>
      </w:pPr>
      <w:r>
        <w:t xml:space="preserve">KMOS-0110 — Event Catalog</w:t>
      </w:r>
    </w:p>
    <w:p>
      <w:pPr>
        <w:pStyle w:val="BodyText"/>
      </w:pPr>
      <w:r>
        <w:t xml:space="preserve">KMOS-0120 — Capability Specification Standard</w:t>
      </w:r>
    </w:p>
    <w:p>
      <w:pPr>
        <w:pStyle w:val="BodyText"/>
      </w:pPr>
      <w:r>
        <w:t xml:space="preserve">KMOS-0130 — Knowledge Object Schema</w:t>
      </w:r>
    </w:p>
    <w:p>
      <w:pPr>
        <w:pStyle w:val="BodyText"/>
      </w:pPr>
      <w:r>
        <w:t xml:space="preserve">KMOS-0140 — Asset Metadata Schema</w:t>
      </w:r>
    </w:p>
    <w:p>
      <w:pPr>
        <w:pStyle w:val="BodyText"/>
      </w:pPr>
      <w:r>
        <w:t xml:space="preserve">KMOS-0150 — Workflow Definition Language</w:t>
      </w:r>
    </w:p>
    <w:p>
      <w:pPr>
        <w:pStyle w:val="BodyText"/>
      </w:pPr>
      <w:r>
        <w:t xml:space="preserve">KMOS-0160 — Capability SDK</w:t>
      </w:r>
    </w:p>
    <w:p>
      <w:pPr>
        <w:pStyle w:val="BodyText"/>
      </w:pPr>
      <w:r>
        <w:t xml:space="preserve">KMOS-0170 — Plugin &amp; Extension Framework</w:t>
      </w:r>
    </w:p>
    <w:p>
      <w:pPr>
        <w:pStyle w:val="BodyText"/>
      </w:pPr>
      <w:r>
        <w:t xml:space="preserve">KMOS-0180 — API Standards</w:t>
      </w:r>
    </w:p>
    <w:p>
      <w:pPr>
        <w:pStyle w:val="BodyText"/>
      </w:pPr>
      <w:r>
        <w:t xml:space="preserve">KMOS-0190 — Security Architecture</w:t>
      </w:r>
    </w:p>
    <w:p>
      <w:pPr>
        <w:pStyle w:val="BodyText"/>
      </w:pPr>
      <w:r>
        <w:t xml:space="preserve">KMOS-0200 — Reference Implementation</w:t>
      </w:r>
    </w:p>
    <w:p>
      <w:pPr>
        <w:pStyle w:val="BodyText"/>
      </w:pPr>
      <w:r>
        <w:t xml:space="preserve">These documents transform the KMOS architecture into an implementable platform.</w:t>
      </w:r>
    </w:p>
    <w:p>
      <w:r>
        <w:pict>
          <v:rect style="width:0;height:1.5pt" o:hralign="center" o:hrstd="t" o:hr="t"/>
        </w:pict>
      </w:r>
    </w:p>
    <w:bookmarkEnd w:id="52"/>
    <w:bookmarkStart w:id="53" w:name="closing-statement"/>
    <w:p>
      <w:pPr>
        <w:pStyle w:val="Heading1"/>
      </w:pPr>
      <w:r>
        <w:t xml:space="preserve">26. Closing Statement</w:t>
      </w:r>
    </w:p>
    <w:p>
      <w:pPr>
        <w:pStyle w:val="FirstParagraph"/>
      </w:pPr>
      <w:r>
        <w:t xml:space="preserve">The purpose of KMOS is not to build another application.</w:t>
      </w:r>
    </w:p>
    <w:p>
      <w:pPr>
        <w:pStyle w:val="BodyText"/>
      </w:pPr>
      <w:r>
        <w:t xml:space="preserve">Its purpose is to establish a durable operating system for institutional knowledge.</w:t>
      </w:r>
    </w:p>
    <w:p>
      <w:pPr>
        <w:pStyle w:val="BodyText"/>
      </w:pPr>
      <w:r>
        <w:t xml:space="preserve">Applications will evolve.</w:t>
      </w:r>
    </w:p>
    <w:p>
      <w:pPr>
        <w:pStyle w:val="BodyText"/>
      </w:pPr>
      <w:r>
        <w:t xml:space="preserve">AI models will change.</w:t>
      </w:r>
    </w:p>
    <w:p>
      <w:pPr>
        <w:pStyle w:val="BodyText"/>
      </w:pPr>
      <w:r>
        <w:t xml:space="preserve">Infrastructure will be replaced.</w:t>
      </w:r>
    </w:p>
    <w:p>
      <w:pPr>
        <w:pStyle w:val="BodyText"/>
      </w:pPr>
      <w:r>
        <w:t xml:space="preserve">Programming languages will come and go.</w:t>
      </w:r>
    </w:p>
    <w:p>
      <w:pPr>
        <w:pStyle w:val="BodyText"/>
      </w:pPr>
      <w:r>
        <w:t xml:space="preserve">The architecture should remain stable because it is founded on enduring concepts rather than transient technologies.</w:t>
      </w:r>
    </w:p>
    <w:p>
      <w:pPr>
        <w:pStyle w:val="BodyText"/>
      </w:pPr>
      <w:r>
        <w:t xml:space="preserve">Knowledge is the permanent asset.</w:t>
      </w:r>
    </w:p>
    <w:p>
      <w:pPr>
        <w:pStyle w:val="BodyText"/>
      </w:pPr>
      <w:r>
        <w:t xml:space="preserve">The platform exists to preserve, enrich, govern, and share that knowledge across generations.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2026-06-30T08:57:38Z</dcterms:created>
  <dcterms:modified xsi:type="dcterms:W3CDTF">2026-06-30T08:57:38Z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