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110"/>
    <w:p>
      <w:pPr>
        <w:pStyle w:val="Heading1"/>
      </w:pPr>
      <w:r>
        <w:t xml:space="preserve">KMOS-0110</w:t>
      </w:r>
    </w:p>
    <w:bookmarkEnd w:id="20"/>
    <w:bookmarkStart w:id="21" w:name="canonical-event-catalog-specification"/>
    <w:p>
      <w:pPr>
        <w:pStyle w:val="Heading1"/>
      </w:pPr>
      <w:r>
        <w:t xml:space="preserve">Canonical Event Catalog Specification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Canonical Event Catalog for the Knowledge &amp; Media Operating System (KMOS).</w:t>
      </w:r>
    </w:p>
    <w:p>
      <w:pPr>
        <w:pStyle w:val="BodyText"/>
      </w:pPr>
      <w:r>
        <w:t xml:space="preserve">The Event Catalog establishes the authoritative vocabulary of business events exchanged throughout the platform.</w:t>
      </w:r>
    </w:p>
    <w:p>
      <w:pPr>
        <w:pStyle w:val="BodyText"/>
      </w:pPr>
      <w:r>
        <w:t xml:space="preserve">Every domain, capability, workflow, application, connector, AI collaborator, and external integration SHALL communicate through standardized events defined by this specification.</w:t>
      </w:r>
    </w:p>
    <w:p>
      <w:pPr>
        <w:pStyle w:val="BodyText"/>
      </w:pPr>
      <w:r>
        <w:t xml:space="preserve">The Event Catalog serves as the platform’s official record of observable business facts.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specification defines:</w:t>
      </w:r>
    </w:p>
    <w:p>
      <w:pPr>
        <w:pStyle w:val="Compact"/>
        <w:numPr>
          <w:ilvl w:val="0"/>
          <w:numId w:val="1001"/>
        </w:numPr>
      </w:pPr>
      <w:r>
        <w:t xml:space="preserve">Event taxonomy</w:t>
      </w:r>
    </w:p>
    <w:p>
      <w:pPr>
        <w:pStyle w:val="Compact"/>
        <w:numPr>
          <w:ilvl w:val="0"/>
          <w:numId w:val="1001"/>
        </w:numPr>
      </w:pPr>
      <w:r>
        <w:t xml:space="preserve">Event naming</w:t>
      </w:r>
    </w:p>
    <w:p>
      <w:pPr>
        <w:pStyle w:val="Compact"/>
        <w:numPr>
          <w:ilvl w:val="0"/>
          <w:numId w:val="1001"/>
        </w:numPr>
      </w:pPr>
      <w:r>
        <w:t xml:space="preserve">Event ownership</w:t>
      </w:r>
    </w:p>
    <w:p>
      <w:pPr>
        <w:pStyle w:val="Compact"/>
        <w:numPr>
          <w:ilvl w:val="0"/>
          <w:numId w:val="1001"/>
        </w:numPr>
      </w:pPr>
      <w:r>
        <w:t xml:space="preserve">Event structure</w:t>
      </w:r>
    </w:p>
    <w:p>
      <w:pPr>
        <w:pStyle w:val="Compact"/>
        <w:numPr>
          <w:ilvl w:val="0"/>
          <w:numId w:val="1001"/>
        </w:numPr>
      </w:pPr>
      <w:r>
        <w:t xml:space="preserve">Event metadata</w:t>
      </w:r>
    </w:p>
    <w:p>
      <w:pPr>
        <w:pStyle w:val="Compact"/>
        <w:numPr>
          <w:ilvl w:val="0"/>
          <w:numId w:val="1001"/>
        </w:numPr>
      </w:pPr>
      <w:r>
        <w:t xml:space="preserve">Event lifecycle</w:t>
      </w:r>
    </w:p>
    <w:p>
      <w:pPr>
        <w:pStyle w:val="Compact"/>
        <w:numPr>
          <w:ilvl w:val="0"/>
          <w:numId w:val="1001"/>
        </w:numPr>
      </w:pPr>
      <w:r>
        <w:t xml:space="preserve">Event compatibility</w:t>
      </w:r>
    </w:p>
    <w:p>
      <w:pPr>
        <w:pStyle w:val="Compact"/>
        <w:numPr>
          <w:ilvl w:val="0"/>
          <w:numId w:val="1001"/>
        </w:numPr>
      </w:pPr>
      <w:r>
        <w:t xml:space="preserve">Event governance</w:t>
      </w:r>
    </w:p>
    <w:p>
      <w:pPr>
        <w:pStyle w:val="Compact"/>
        <w:numPr>
          <w:ilvl w:val="0"/>
          <w:numId w:val="1001"/>
        </w:numPr>
      </w:pPr>
      <w:r>
        <w:t xml:space="preserve">Event versioning</w:t>
      </w:r>
    </w:p>
    <w:p>
      <w:pPr>
        <w:pStyle w:val="Compact"/>
        <w:numPr>
          <w:ilvl w:val="0"/>
          <w:numId w:val="1001"/>
        </w:numPr>
      </w:pPr>
      <w:r>
        <w:t xml:space="preserve">Event registration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 implementation technologies such as message brokers, transport protocols, or serialization formats.</w:t>
      </w:r>
    </w:p>
    <w:p>
      <w:r>
        <w:pict>
          <v:rect style="width:0;height:1.5pt" o:hralign="center" o:hrstd="t" o:hr="t"/>
        </w:pict>
      </w:r>
    </w:p>
    <w:bookmarkEnd w:id="23"/>
    <w:bookmarkStart w:id="24" w:name="event-philosophy"/>
    <w:p>
      <w:pPr>
        <w:pStyle w:val="Heading1"/>
      </w:pPr>
      <w:r>
        <w:t xml:space="preserve">3. Event Philosophy</w:t>
      </w:r>
    </w:p>
    <w:p>
      <w:pPr>
        <w:pStyle w:val="FirstParagraph"/>
      </w:pPr>
      <w:r>
        <w:t xml:space="preserve">An event represents something that</w:t>
      </w:r>
      <w:r>
        <w:t xml:space="preserve"> </w:t>
      </w:r>
      <w:r>
        <w:rPr>
          <w:b/>
          <w:bCs/>
        </w:rPr>
        <w:t xml:space="preserve">has already happened</w:t>
      </w:r>
      <w:r>
        <w:t xml:space="preserve">.</w:t>
      </w:r>
    </w:p>
    <w:p>
      <w:pPr>
        <w:pStyle w:val="BodyText"/>
      </w:pPr>
      <w:r>
        <w:t xml:space="preserve">Events describe reality.</w:t>
      </w:r>
    </w:p>
    <w:p>
      <w:pPr>
        <w:pStyle w:val="BodyText"/>
      </w:pPr>
      <w:r>
        <w:t xml:space="preserve">Events never request work.</w:t>
      </w:r>
    </w:p>
    <w:p>
      <w:pPr>
        <w:pStyle w:val="BodyText"/>
      </w:pPr>
      <w:r>
        <w:t xml:space="preserve">Events never express intention.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Correct</w:t>
      </w:r>
    </w:p>
    <w:p>
      <w:pPr>
        <w:pStyle w:val="SourceCode"/>
      </w:pPr>
      <w:r>
        <w:rPr>
          <w:rStyle w:val="VerbatimChar"/>
        </w:rPr>
        <w:t xml:space="preserve">TranscriptGenerated</w:t>
      </w:r>
    </w:p>
    <w:p>
      <w:pPr>
        <w:pStyle w:val="SourceCode"/>
      </w:pPr>
      <w:r>
        <w:rPr>
          <w:rStyle w:val="VerbatimChar"/>
        </w:rPr>
        <w:t xml:space="preserve">KnowledgeUpdated</w:t>
      </w:r>
    </w:p>
    <w:p>
      <w:pPr>
        <w:pStyle w:val="SourceCode"/>
      </w:pPr>
      <w:r>
        <w:rPr>
          <w:rStyle w:val="VerbatimChar"/>
        </w:rPr>
        <w:t xml:space="preserve">PublicationReleased</w:t>
      </w:r>
    </w:p>
    <w:p>
      <w:pPr>
        <w:pStyle w:val="FirstParagraph"/>
      </w:pPr>
      <w:r>
        <w:t xml:space="preserve">Incorrect</w:t>
      </w:r>
    </w:p>
    <w:p>
      <w:pPr>
        <w:pStyle w:val="SourceCode"/>
      </w:pPr>
      <w:r>
        <w:rPr>
          <w:rStyle w:val="VerbatimChar"/>
        </w:rPr>
        <w:t xml:space="preserve">GenerateTranscript</w:t>
      </w:r>
    </w:p>
    <w:p>
      <w:pPr>
        <w:pStyle w:val="SourceCode"/>
      </w:pPr>
      <w:r>
        <w:rPr>
          <w:rStyle w:val="VerbatimChar"/>
        </w:rPr>
        <w:t xml:space="preserve">UpdateKnowledge</w:t>
      </w:r>
    </w:p>
    <w:p>
      <w:pPr>
        <w:pStyle w:val="SourceCode"/>
      </w:pPr>
      <w:r>
        <w:rPr>
          <w:rStyle w:val="VerbatimChar"/>
        </w:rPr>
        <w:t xml:space="preserve">PublishVideo</w:t>
      </w:r>
    </w:p>
    <w:p>
      <w:pPr>
        <w:pStyle w:val="FirstParagraph"/>
      </w:pPr>
      <w:r>
        <w:t xml:space="preserve">Commands belong to applications.</w:t>
      </w:r>
    </w:p>
    <w:p>
      <w:pPr>
        <w:pStyle w:val="BodyText"/>
      </w:pPr>
      <w:r>
        <w:t xml:space="preserve">Events belong to the platform.</w:t>
      </w:r>
    </w:p>
    <w:p>
      <w:r>
        <w:pict>
          <v:rect style="width:0;height:1.5pt" o:hralign="center" o:hrstd="t" o:hr="t"/>
        </w:pict>
      </w:r>
    </w:p>
    <w:bookmarkEnd w:id="24"/>
    <w:bookmarkStart w:id="25" w:name="event-design-principles"/>
    <w:p>
      <w:pPr>
        <w:pStyle w:val="Heading1"/>
      </w:pPr>
      <w:r>
        <w:t xml:space="preserve">4. Event Design Principles</w:t>
      </w:r>
    </w:p>
    <w:p>
      <w:pPr>
        <w:pStyle w:val="FirstParagraph"/>
      </w:pPr>
      <w:r>
        <w:t xml:space="preserve">Every canonical event SHALL be:</w:t>
      </w:r>
    </w:p>
    <w:p>
      <w:pPr>
        <w:pStyle w:val="BodyText"/>
      </w:pPr>
      <w:r>
        <w:t xml:space="preserve">Immutable</w:t>
      </w:r>
    </w:p>
    <w:p>
      <w:pPr>
        <w:pStyle w:val="BodyText"/>
      </w:pPr>
      <w:r>
        <w:t xml:space="preserve">Replayable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Traceable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Technology Independent</w:t>
      </w:r>
    </w:p>
    <w:p>
      <w:pPr>
        <w:pStyle w:val="BodyText"/>
      </w:pPr>
      <w:r>
        <w:t xml:space="preserve">Business Meaningful</w:t>
      </w:r>
    </w:p>
    <w:p>
      <w:pPr>
        <w:pStyle w:val="BodyText"/>
      </w:pPr>
      <w:r>
        <w:t xml:space="preserve">Events SHALL describe business facts rather than implementation details.</w:t>
      </w:r>
    </w:p>
    <w:p>
      <w:r>
        <w:pict>
          <v:rect style="width:0;height:1.5pt" o:hralign="center" o:hrstd="t" o:hr="t"/>
        </w:pict>
      </w:r>
    </w:p>
    <w:bookmarkEnd w:id="25"/>
    <w:bookmarkStart w:id="29" w:name="canonical-event-structure"/>
    <w:p>
      <w:pPr>
        <w:pStyle w:val="Heading1"/>
      </w:pPr>
      <w:r>
        <w:t xml:space="preserve">5. Canonical Event Structure</w:t>
      </w:r>
    </w:p>
    <w:p>
      <w:pPr>
        <w:pStyle w:val="FirstParagraph"/>
      </w:pPr>
      <w:r>
        <w:t xml:space="preserve">Every event SHALL contain three logical sections.</w:t>
      </w:r>
    </w:p>
    <w:bookmarkStart w:id="26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Event Identifier</w:t>
      </w:r>
    </w:p>
    <w:p>
      <w:pPr>
        <w:pStyle w:val="BodyText"/>
      </w:pPr>
      <w:r>
        <w:t xml:space="preserve">Event Type</w:t>
      </w:r>
    </w:p>
    <w:p>
      <w:pPr>
        <w:pStyle w:val="BodyText"/>
      </w:pPr>
      <w:r>
        <w:t xml:space="preserve">Event Version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Producer Domain</w:t>
      </w:r>
    </w:p>
    <w:p>
      <w:pPr>
        <w:pStyle w:val="BodyText"/>
      </w:pPr>
      <w:r>
        <w:t xml:space="preserve">Producer Capability</w:t>
      </w:r>
    </w:p>
    <w:p>
      <w:pPr>
        <w:pStyle w:val="BodyText"/>
      </w:pPr>
      <w:r>
        <w:t xml:space="preserve">Correlation Identifier</w:t>
      </w:r>
    </w:p>
    <w:p>
      <w:pPr>
        <w:pStyle w:val="BodyText"/>
      </w:pPr>
      <w:r>
        <w:t xml:space="preserve">Causation Identifier</w:t>
      </w:r>
    </w:p>
    <w:p>
      <w:pPr>
        <w:pStyle w:val="BodyText"/>
      </w:pPr>
      <w:r>
        <w:t xml:space="preserve">Tenant Identifier</w:t>
      </w:r>
    </w:p>
    <w:p>
      <w:pPr>
        <w:pStyle w:val="BodyText"/>
      </w:pPr>
      <w:r>
        <w:t xml:space="preserve">Organization Identifier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payload"/>
    <w:p>
      <w:pPr>
        <w:pStyle w:val="Heading2"/>
      </w:pPr>
      <w:r>
        <w:t xml:space="preserve">Business Payload</w:t>
      </w:r>
    </w:p>
    <w:p>
      <w:pPr>
        <w:pStyle w:val="FirstParagraph"/>
      </w:pPr>
      <w:r>
        <w:t xml:space="preserve">Business information describing the event.</w:t>
      </w:r>
    </w:p>
    <w:p>
      <w:pPr>
        <w:pStyle w:val="BodyText"/>
      </w:pPr>
      <w:r>
        <w:t xml:space="preserve">Payload SHALL NOT contain infrastructure-specific metadata.</w:t>
      </w:r>
    </w:p>
    <w:p>
      <w:pPr>
        <w:pStyle w:val="BodyText"/>
      </w:pPr>
      <w:r>
        <w:t xml:space="preserve">Payload SHALL reference canonical object identifiers.</w:t>
      </w:r>
    </w:p>
    <w:p>
      <w:pPr>
        <w:pStyle w:val="BodyText"/>
      </w:pPr>
      <w:r>
        <w:t xml:space="preserve">Payload SHALL remain independent of storage technology.</w:t>
      </w:r>
    </w:p>
    <w:p>
      <w:r>
        <w:pict>
          <v:rect style="width:0;height:1.5pt" o:hralign="center" o:hrstd="t" o:hr="t"/>
        </w:pict>
      </w:r>
    </w:p>
    <w:bookmarkEnd w:id="27"/>
    <w:bookmarkStart w:id="28" w:name="governance-metadata"/>
    <w:p>
      <w:pPr>
        <w:pStyle w:val="Heading2"/>
      </w:pPr>
      <w:r>
        <w:t xml:space="preserve">Governance Metadata</w:t>
      </w:r>
    </w:p>
    <w:p>
      <w:pPr>
        <w:pStyle w:val="FirstParagraph"/>
      </w:pPr>
      <w:r>
        <w:t xml:space="preserve">Workflow Identifier</w:t>
      </w:r>
    </w:p>
    <w:p>
      <w:pPr>
        <w:pStyle w:val="BodyText"/>
      </w:pPr>
      <w:r>
        <w:t xml:space="preserve">Capability Identifier</w:t>
      </w:r>
    </w:p>
    <w:p>
      <w:pPr>
        <w:pStyle w:val="BodyText"/>
      </w:pPr>
      <w:r>
        <w:t xml:space="preserve">Related Assets</w:t>
      </w:r>
    </w:p>
    <w:p>
      <w:pPr>
        <w:pStyle w:val="BodyText"/>
      </w:pPr>
      <w:r>
        <w:t xml:space="preserve">Related Knowledge Objects</w:t>
      </w:r>
    </w:p>
    <w:p>
      <w:pPr>
        <w:pStyle w:val="BodyText"/>
      </w:pPr>
      <w:r>
        <w:t xml:space="preserve">Approval Status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Evidence References</w:t>
      </w:r>
    </w:p>
    <w:p>
      <w:pPr>
        <w:pStyle w:val="BodyText"/>
      </w:pPr>
      <w:r>
        <w:t xml:space="preserve">Lineage References</w:t>
      </w:r>
    </w:p>
    <w:p>
      <w:pPr>
        <w:pStyle w:val="BodyText"/>
      </w:pPr>
      <w:r>
        <w:t xml:space="preserve">Execution Identifier</w:t>
      </w:r>
    </w:p>
    <w:p>
      <w:pPr>
        <w:pStyle w:val="BodyText"/>
      </w:pPr>
      <w:r>
        <w:t xml:space="preserve">Every event SHALL participate in governance.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vent-naming-standard"/>
    <w:p>
      <w:pPr>
        <w:pStyle w:val="Heading1"/>
      </w:pPr>
      <w:r>
        <w:t xml:space="preserve">6. Event Naming Standard</w:t>
      </w:r>
    </w:p>
    <w:p>
      <w:pPr>
        <w:pStyle w:val="FirstParagraph"/>
      </w:pPr>
      <w:r>
        <w:t xml:space="preserve">Canonical events SHALL follow:</w:t>
      </w:r>
    </w:p>
    <w:p>
      <w:pPr>
        <w:pStyle w:val="SourceCode"/>
      </w:pPr>
      <w:r>
        <w:rPr>
          <w:rStyle w:val="VerbatimChar"/>
        </w:rPr>
        <w:t xml:space="preserve">BusinessObject + PastTenseVerb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AssetRegistered</w:t>
      </w:r>
    </w:p>
    <w:p>
      <w:pPr>
        <w:pStyle w:val="SourceCode"/>
      </w:pPr>
      <w:r>
        <w:rPr>
          <w:rStyle w:val="VerbatimChar"/>
        </w:rPr>
        <w:t xml:space="preserve">VocabularyExpanded</w:t>
      </w:r>
    </w:p>
    <w:p>
      <w:pPr>
        <w:pStyle w:val="SourceCode"/>
      </w:pPr>
      <w:r>
        <w:rPr>
          <w:rStyle w:val="VerbatimChar"/>
        </w:rPr>
        <w:t xml:space="preserve">KnowledgeMerged</w:t>
      </w:r>
    </w:p>
    <w:p>
      <w:pPr>
        <w:pStyle w:val="SourceCode"/>
      </w:pPr>
      <w:r>
        <w:rPr>
          <w:rStyle w:val="VerbatimChar"/>
        </w:rPr>
        <w:t xml:space="preserve">PublicationReleased</w:t>
      </w:r>
    </w:p>
    <w:p>
      <w:pPr>
        <w:pStyle w:val="SourceCode"/>
      </w:pPr>
      <w:r>
        <w:rPr>
          <w:rStyle w:val="VerbatimChar"/>
        </w:rPr>
        <w:t xml:space="preserve">WorkflowCompleted</w:t>
      </w:r>
    </w:p>
    <w:p>
      <w:pPr>
        <w:pStyle w:val="FirstParagraph"/>
      </w:pPr>
      <w:r>
        <w:t xml:space="preserve">Names SHALL:</w:t>
      </w:r>
    </w:p>
    <w:p>
      <w:pPr>
        <w:pStyle w:val="BodyText"/>
      </w:pPr>
      <w:r>
        <w:t xml:space="preserve">Be singular.</w:t>
      </w:r>
    </w:p>
    <w:p>
      <w:pPr>
        <w:pStyle w:val="BodyText"/>
      </w:pPr>
      <w:r>
        <w:t xml:space="preserve">Use business terminology.</w:t>
      </w:r>
    </w:p>
    <w:p>
      <w:pPr>
        <w:pStyle w:val="BodyText"/>
      </w:pPr>
      <w:r>
        <w:t xml:space="preserve">Avoid implementation language.</w:t>
      </w:r>
    </w:p>
    <w:p>
      <w:pPr>
        <w:pStyle w:val="BodyText"/>
      </w:pPr>
      <w:r>
        <w:t xml:space="preserve">Avoid abbreviations.</w:t>
      </w:r>
    </w:p>
    <w:p>
      <w:pPr>
        <w:pStyle w:val="BodyText"/>
      </w:pPr>
      <w:r>
        <w:t xml:space="preserve">Remain stable across versions.</w:t>
      </w:r>
    </w:p>
    <w:p>
      <w:r>
        <w:pict>
          <v:rect style="width:0;height:1.5pt" o:hralign="center" o:hrstd="t" o:hr="t"/>
        </w:pict>
      </w:r>
    </w:p>
    <w:bookmarkEnd w:id="30"/>
    <w:bookmarkStart w:id="41" w:name="event-categories"/>
    <w:p>
      <w:pPr>
        <w:pStyle w:val="Heading1"/>
      </w:pPr>
      <w:r>
        <w:t xml:space="preserve">7. Event Categories</w:t>
      </w:r>
    </w:p>
    <w:p>
      <w:pPr>
        <w:pStyle w:val="FirstParagraph"/>
      </w:pPr>
      <w:r>
        <w:t xml:space="preserve">Events are organized into permanent business categories.</w:t>
      </w:r>
    </w:p>
    <w:bookmarkStart w:id="31" w:name="asset-events"/>
    <w:p>
      <w:pPr>
        <w:pStyle w:val="Heading2"/>
      </w:pPr>
      <w:r>
        <w:t xml:space="preserve">Asset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AssetValidated</w:t>
      </w:r>
    </w:p>
    <w:p>
      <w:pPr>
        <w:pStyle w:val="BodyText"/>
      </w:pPr>
      <w:r>
        <w:t xml:space="preserve">AssetArchived</w:t>
      </w:r>
    </w:p>
    <w:p>
      <w:pPr>
        <w:pStyle w:val="BodyText"/>
      </w:pPr>
      <w:r>
        <w:t xml:space="preserve">AssetPreserved</w:t>
      </w:r>
    </w:p>
    <w:p>
      <w:pPr>
        <w:pStyle w:val="BodyText"/>
      </w:pPr>
      <w:r>
        <w:t xml:space="preserve">AssetRetired</w:t>
      </w:r>
    </w:p>
    <w:p>
      <w:pPr>
        <w:pStyle w:val="BodyText"/>
      </w:pPr>
      <w:r>
        <w:t xml:space="preserve">ChecksumVerified</w:t>
      </w:r>
    </w:p>
    <w:p>
      <w:pPr>
        <w:pStyle w:val="BodyText"/>
      </w:pPr>
      <w:r>
        <w:t xml:space="preserve">StorageMigrated</w:t>
      </w:r>
    </w:p>
    <w:p>
      <w:r>
        <w:pict>
          <v:rect style="width:0;height:1.5pt" o:hralign="center" o:hrstd="t" o:hr="t"/>
        </w:pict>
      </w:r>
    </w:p>
    <w:bookmarkEnd w:id="31"/>
    <w:bookmarkStart w:id="32" w:name="knowledge-events"/>
    <w:p>
      <w:pPr>
        <w:pStyle w:val="Heading2"/>
      </w:pPr>
      <w:r>
        <w:t xml:space="preserve">Knowledge Events</w:t>
      </w:r>
    </w:p>
    <w:p>
      <w:pPr>
        <w:pStyle w:val="FirstParagraph"/>
      </w:pPr>
      <w:r>
        <w:t xml:space="preserve">KnowledgeCreated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KnowledgeMerged</w:t>
      </w:r>
    </w:p>
    <w:p>
      <w:pPr>
        <w:pStyle w:val="BodyText"/>
      </w:pPr>
      <w:r>
        <w:t xml:space="preserve">KnowledgeValidated</w:t>
      </w:r>
    </w:p>
    <w:p>
      <w:pPr>
        <w:pStyle w:val="BodyText"/>
      </w:pPr>
      <w:r>
        <w:t xml:space="preserve">KnowledgeLinked</w:t>
      </w:r>
    </w:p>
    <w:p>
      <w:pPr>
        <w:pStyle w:val="BodyText"/>
      </w:pPr>
      <w:r>
        <w:t xml:space="preserve">RelationshipEstablished</w:t>
      </w:r>
    </w:p>
    <w:p>
      <w:pPr>
        <w:pStyle w:val="BodyText"/>
      </w:pPr>
      <w:r>
        <w:t xml:space="preserve">ConceptDiscovered</w:t>
      </w:r>
    </w:p>
    <w:p>
      <w:pPr>
        <w:pStyle w:val="BodyText"/>
      </w:pPr>
      <w:r>
        <w:t xml:space="preserve">ReferenceVerified</w:t>
      </w:r>
    </w:p>
    <w:p>
      <w:pPr>
        <w:pStyle w:val="BodyText"/>
      </w:pPr>
      <w:r>
        <w:t xml:space="preserve">OntologyExtended</w:t>
      </w:r>
    </w:p>
    <w:p>
      <w:r>
        <w:pict>
          <v:rect style="width:0;height:1.5pt" o:hralign="center" o:hrstd="t" o:hr="t"/>
        </w:pict>
      </w:r>
    </w:p>
    <w:bookmarkEnd w:id="32"/>
    <w:bookmarkStart w:id="33" w:name="language-events"/>
    <w:p>
      <w:pPr>
        <w:pStyle w:val="Heading2"/>
      </w:pPr>
      <w:r>
        <w:t xml:space="preserve">Language Events</w:t>
      </w:r>
    </w:p>
    <w:p>
      <w:pPr>
        <w:pStyle w:val="FirstParagraph"/>
      </w:pPr>
      <w:r>
        <w:t xml:space="preserve">AudioTranscribed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TranslationCompleted</w:t>
      </w:r>
    </w:p>
    <w:p>
      <w:pPr>
        <w:pStyle w:val="BodyText"/>
      </w:pPr>
      <w:r>
        <w:t xml:space="preserve">TerminologyDetected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SpeakerIdentified</w:t>
      </w:r>
    </w:p>
    <w:p>
      <w:pPr>
        <w:pStyle w:val="BodyText"/>
      </w:pPr>
      <w:r>
        <w:t xml:space="preserve">LanguageDetected</w:t>
      </w:r>
    </w:p>
    <w:p>
      <w:r>
        <w:pict>
          <v:rect style="width:0;height:1.5pt" o:hralign="center" o:hrstd="t" o:hr="t"/>
        </w:pict>
      </w:r>
    </w:p>
    <w:bookmarkEnd w:id="33"/>
    <w:bookmarkStart w:id="34" w:name="media-events"/>
    <w:p>
      <w:pPr>
        <w:pStyle w:val="Heading2"/>
      </w:pPr>
      <w:r>
        <w:t xml:space="preserve">Media Events</w:t>
      </w:r>
    </w:p>
    <w:p>
      <w:pPr>
        <w:pStyle w:val="FirstParagraph"/>
      </w:pPr>
      <w:r>
        <w:t xml:space="preserve">SceneGenerated</w:t>
      </w:r>
    </w:p>
    <w:p>
      <w:pPr>
        <w:pStyle w:val="BodyText"/>
      </w:pPr>
      <w:r>
        <w:t xml:space="preserve">StoryboardCompleted</w:t>
      </w:r>
    </w:p>
    <w:p>
      <w:pPr>
        <w:pStyle w:val="BodyText"/>
      </w:pPr>
      <w:r>
        <w:t xml:space="preserve">VoiceGenerated</w:t>
      </w:r>
    </w:p>
    <w:p>
      <w:pPr>
        <w:pStyle w:val="BodyText"/>
      </w:pPr>
      <w:r>
        <w:t xml:space="preserve">AnimationCompleted</w:t>
      </w:r>
    </w:p>
    <w:p>
      <w:pPr>
        <w:pStyle w:val="BodyText"/>
      </w:pPr>
      <w:r>
        <w:t xml:space="preserve">SubtitleGenerated</w:t>
      </w:r>
    </w:p>
    <w:p>
      <w:pPr>
        <w:pStyle w:val="BodyText"/>
      </w:pPr>
      <w:r>
        <w:t xml:space="preserve">ThumbnailGenerated</w:t>
      </w:r>
    </w:p>
    <w:p>
      <w:pPr>
        <w:pStyle w:val="BodyText"/>
      </w:pPr>
      <w:r>
        <w:t xml:space="preserve">RenderStarted</w:t>
      </w:r>
    </w:p>
    <w:p>
      <w:pPr>
        <w:pStyle w:val="BodyText"/>
      </w:pPr>
      <w:r>
        <w:t xml:space="preserve">RenderCompleted</w:t>
      </w:r>
    </w:p>
    <w:p>
      <w:r>
        <w:pict>
          <v:rect style="width:0;height:1.5pt" o:hralign="center" o:hrstd="t" o:hr="t"/>
        </w:pict>
      </w:r>
    </w:p>
    <w:bookmarkEnd w:id="34"/>
    <w:bookmarkStart w:id="35" w:name="workflow-events"/>
    <w:p>
      <w:pPr>
        <w:pStyle w:val="Heading2"/>
      </w:pPr>
      <w:r>
        <w:t xml:space="preserve">Workflow Events</w:t>
      </w:r>
    </w:p>
    <w:p>
      <w:pPr>
        <w:pStyle w:val="FirstParagraph"/>
      </w:pPr>
      <w:r>
        <w:t xml:space="preserve">WorkflowCreated</w:t>
      </w:r>
    </w:p>
    <w:p>
      <w:pPr>
        <w:pStyle w:val="BodyText"/>
      </w:pPr>
      <w:r>
        <w:t xml:space="preserve">WorkflowStarted</w:t>
      </w:r>
    </w:p>
    <w:p>
      <w:pPr>
        <w:pStyle w:val="BodyText"/>
      </w:pPr>
      <w:r>
        <w:t xml:space="preserve">WorkflowPaused</w:t>
      </w:r>
    </w:p>
    <w:p>
      <w:pPr>
        <w:pStyle w:val="BodyText"/>
      </w:pPr>
      <w:r>
        <w:t xml:space="preserve">WorkflowResumed</w:t>
      </w:r>
    </w:p>
    <w:p>
      <w:pPr>
        <w:pStyle w:val="BodyText"/>
      </w:pPr>
      <w:r>
        <w:t xml:space="preserve">WorkflowCompleted</w:t>
      </w:r>
    </w:p>
    <w:p>
      <w:pPr>
        <w:pStyle w:val="BodyText"/>
      </w:pPr>
      <w:r>
        <w:t xml:space="preserve">WorkflowCancelled</w:t>
      </w:r>
    </w:p>
    <w:p>
      <w:pPr>
        <w:pStyle w:val="BodyText"/>
      </w:pPr>
      <w:r>
        <w:t xml:space="preserve">ExecutionRetried</w:t>
      </w:r>
    </w:p>
    <w:p>
      <w:pPr>
        <w:pStyle w:val="BodyText"/>
      </w:pPr>
      <w:r>
        <w:t xml:space="preserve">ExecutionTimedOut</w:t>
      </w:r>
    </w:p>
    <w:p>
      <w:r>
        <w:pict>
          <v:rect style="width:0;height:1.5pt" o:hralign="center" o:hrstd="t" o:hr="t"/>
        </w:pict>
      </w:r>
    </w:p>
    <w:bookmarkEnd w:id="35"/>
    <w:bookmarkStart w:id="36" w:name="governance-events"/>
    <w:p>
      <w:pPr>
        <w:pStyle w:val="Heading2"/>
      </w:pPr>
      <w:r>
        <w:t xml:space="preserve">Governance Events</w:t>
      </w:r>
    </w:p>
    <w:p>
      <w:pPr>
        <w:pStyle w:val="FirstParagraph"/>
      </w:pPr>
      <w:r>
        <w:t xml:space="preserve">ApprovalRequested</w:t>
      </w:r>
    </w:p>
    <w:p>
      <w:pPr>
        <w:pStyle w:val="BodyText"/>
      </w:pPr>
      <w:r>
        <w:t xml:space="preserve">ApprovalGranted</w:t>
      </w:r>
    </w:p>
    <w:p>
      <w:pPr>
        <w:pStyle w:val="BodyText"/>
      </w:pPr>
      <w:r>
        <w:t xml:space="preserve">ApprovalRejected</w:t>
      </w:r>
    </w:p>
    <w:p>
      <w:pPr>
        <w:pStyle w:val="BodyText"/>
      </w:pPr>
      <w:r>
        <w:t xml:space="preserve">EvidenceCollected</w:t>
      </w:r>
    </w:p>
    <w:p>
      <w:pPr>
        <w:pStyle w:val="BodyText"/>
      </w:pPr>
      <w:r>
        <w:t xml:space="preserve">ReviewCompleted</w:t>
      </w:r>
    </w:p>
    <w:p>
      <w:pPr>
        <w:pStyle w:val="BodyText"/>
      </w:pPr>
      <w:r>
        <w:t xml:space="preserve">PolicyEvaluated</w:t>
      </w:r>
    </w:p>
    <w:p>
      <w:pPr>
        <w:pStyle w:val="BodyText"/>
      </w:pPr>
      <w:r>
        <w:t xml:space="preserve">CertificationGranted</w:t>
      </w:r>
    </w:p>
    <w:p>
      <w:pPr>
        <w:pStyle w:val="BodyText"/>
      </w:pPr>
      <w:r>
        <w:t xml:space="preserve">ComplianceVerified</w:t>
      </w:r>
    </w:p>
    <w:p>
      <w:r>
        <w:pict>
          <v:rect style="width:0;height:1.5pt" o:hralign="center" o:hrstd="t" o:hr="t"/>
        </w:pict>
      </w:r>
    </w:p>
    <w:bookmarkEnd w:id="36"/>
    <w:bookmarkStart w:id="37" w:name="publishing-events"/>
    <w:p>
      <w:pPr>
        <w:pStyle w:val="Heading2"/>
      </w:pPr>
      <w:r>
        <w:t xml:space="preserve">Publishing Events</w:t>
      </w:r>
    </w:p>
    <w:p>
      <w:pPr>
        <w:pStyle w:val="FirstParagraph"/>
      </w:pPr>
      <w:r>
        <w:t xml:space="preserve">PublicationPrepared</w:t>
      </w:r>
    </w:p>
    <w:p>
      <w:pPr>
        <w:pStyle w:val="BodyText"/>
      </w:pPr>
      <w:r>
        <w:t xml:space="preserve">PublicationApproved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PublicationUpdated</w:t>
      </w:r>
    </w:p>
    <w:p>
      <w:pPr>
        <w:pStyle w:val="BodyText"/>
      </w:pPr>
      <w:r>
        <w:t xml:space="preserve">PublicationArchived</w:t>
      </w:r>
    </w:p>
    <w:p>
      <w:pPr>
        <w:pStyle w:val="BodyText"/>
      </w:pPr>
      <w:r>
        <w:t xml:space="preserve">DistributionCompleted</w:t>
      </w:r>
    </w:p>
    <w:p>
      <w:r>
        <w:pict>
          <v:rect style="width:0;height:1.5pt" o:hralign="center" o:hrstd="t" o:hr="t"/>
        </w:pict>
      </w:r>
    </w:p>
    <w:bookmarkEnd w:id="37"/>
    <w:bookmarkStart w:id="38" w:name="platform-events"/>
    <w:p>
      <w:pPr>
        <w:pStyle w:val="Heading2"/>
      </w:pPr>
      <w:r>
        <w:t xml:space="preserve">Platform Events</w:t>
      </w:r>
    </w:p>
    <w:p>
      <w:pPr>
        <w:pStyle w:val="FirstParagraph"/>
      </w:pPr>
      <w:r>
        <w:t xml:space="preserve">CapabilityRegistered</w:t>
      </w:r>
    </w:p>
    <w:p>
      <w:pPr>
        <w:pStyle w:val="BodyText"/>
      </w:pPr>
      <w:r>
        <w:t xml:space="preserve">CapabilityCertified</w:t>
      </w:r>
    </w:p>
    <w:p>
      <w:pPr>
        <w:pStyle w:val="BodyText"/>
      </w:pPr>
      <w:r>
        <w:t xml:space="preserve">CapabilityDeprecated</w:t>
      </w:r>
    </w:p>
    <w:p>
      <w:pPr>
        <w:pStyle w:val="BodyText"/>
      </w:pPr>
      <w:r>
        <w:t xml:space="preserve">ServiceRegistered</w:t>
      </w:r>
    </w:p>
    <w:p>
      <w:pPr>
        <w:pStyle w:val="BodyText"/>
      </w:pPr>
      <w:r>
        <w:t xml:space="preserve">ConnectorActivated</w:t>
      </w:r>
    </w:p>
    <w:p>
      <w:pPr>
        <w:pStyle w:val="BodyText"/>
      </w:pPr>
      <w:r>
        <w:t xml:space="preserve">ConfigurationUpdated</w:t>
      </w:r>
    </w:p>
    <w:p>
      <w:pPr>
        <w:pStyle w:val="BodyText"/>
      </w:pPr>
      <w:r>
        <w:t xml:space="preserve">HealthStatusChanged</w:t>
      </w:r>
    </w:p>
    <w:p>
      <w:r>
        <w:pict>
          <v:rect style="width:0;height:1.5pt" o:hralign="center" o:hrstd="t" o:hr="t"/>
        </w:pict>
      </w:r>
    </w:p>
    <w:bookmarkEnd w:id="38"/>
    <w:bookmarkStart w:id="39" w:name="identity-events"/>
    <w:p>
      <w:pPr>
        <w:pStyle w:val="Heading2"/>
      </w:pPr>
      <w:r>
        <w:t xml:space="preserve">Identity Events</w:t>
      </w:r>
    </w:p>
    <w:p>
      <w:pPr>
        <w:pStyle w:val="FirstParagraph"/>
      </w:pPr>
      <w:r>
        <w:t xml:space="preserve">UserCreated</w:t>
      </w:r>
    </w:p>
    <w:p>
      <w:pPr>
        <w:pStyle w:val="BodyText"/>
      </w:pPr>
      <w:r>
        <w:t xml:space="preserve">RoleAssigned</w:t>
      </w:r>
    </w:p>
    <w:p>
      <w:pPr>
        <w:pStyle w:val="BodyText"/>
      </w:pPr>
      <w:r>
        <w:t xml:space="preserve">PermissionGranted</w:t>
      </w:r>
    </w:p>
    <w:p>
      <w:pPr>
        <w:pStyle w:val="BodyText"/>
      </w:pPr>
      <w:r>
        <w:t xml:space="preserve">AuthenticationSucceeded</w:t>
      </w:r>
    </w:p>
    <w:p>
      <w:pPr>
        <w:pStyle w:val="BodyText"/>
      </w:pPr>
      <w:r>
        <w:t xml:space="preserve">OrganizationRegistered</w:t>
      </w:r>
    </w:p>
    <w:p>
      <w:r>
        <w:pict>
          <v:rect style="width:0;height:1.5pt" o:hralign="center" o:hrstd="t" o:hr="t"/>
        </w:pict>
      </w:r>
    </w:p>
    <w:bookmarkEnd w:id="39"/>
    <w:bookmarkStart w:id="40" w:name="ai-collaboration-events"/>
    <w:p>
      <w:pPr>
        <w:pStyle w:val="Heading2"/>
      </w:pPr>
      <w:r>
        <w:t xml:space="preserve">AI Collaboration Events</w:t>
      </w:r>
    </w:p>
    <w:p>
      <w:pPr>
        <w:pStyle w:val="FirstParagraph"/>
      </w:pPr>
      <w:r>
        <w:t xml:space="preserve">InferenceCompleted</w:t>
      </w:r>
    </w:p>
    <w:p>
      <w:pPr>
        <w:pStyle w:val="BodyText"/>
      </w:pPr>
      <w:r>
        <w:t xml:space="preserve">SuggestionGenerated</w:t>
      </w:r>
    </w:p>
    <w:p>
      <w:pPr>
        <w:pStyle w:val="BodyText"/>
      </w:pPr>
      <w:r>
        <w:t xml:space="preserve">ReviewSuggested</w:t>
      </w:r>
    </w:p>
    <w:p>
      <w:pPr>
        <w:pStyle w:val="BodyText"/>
      </w:pPr>
      <w:r>
        <w:t xml:space="preserve">ContextExpanded</w:t>
      </w:r>
    </w:p>
    <w:p>
      <w:pPr>
        <w:pStyle w:val="BodyText"/>
      </w:pPr>
      <w:r>
        <w:t xml:space="preserve">ModelEvaluated</w:t>
      </w:r>
    </w:p>
    <w:p>
      <w:pPr>
        <w:pStyle w:val="BodyText"/>
      </w:pPr>
      <w:r>
        <w:t xml:space="preserve">PromptApproved</w:t>
      </w:r>
    </w:p>
    <w:p>
      <w:pPr>
        <w:pStyle w:val="BodyText"/>
      </w:pPr>
      <w:r>
        <w:t xml:space="preserve">KnowledgeRecommended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vent-ownership"/>
    <w:p>
      <w:pPr>
        <w:pStyle w:val="Heading1"/>
      </w:pPr>
      <w:r>
        <w:t xml:space="preserve">8. Event Ownership</w:t>
      </w:r>
    </w:p>
    <w:p>
      <w:pPr>
        <w:pStyle w:val="FirstParagraph"/>
      </w:pPr>
      <w:r>
        <w:t xml:space="preserve">Every event SHALL have one authoritative owner.</w:t>
      </w:r>
    </w:p>
    <w:p>
      <w:pPr>
        <w:pStyle w:val="BodyText"/>
      </w:pPr>
      <w:r>
        <w:t xml:space="preserve">Ownership belongs to the domain responsible for the business fact.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Owned by Language Domain.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Owned by Asset Domain.</w:t>
      </w:r>
    </w:p>
    <w:p>
      <w:pPr>
        <w:pStyle w:val="BodyText"/>
      </w:pPr>
      <w:r>
        <w:t xml:space="preserve">KnowledgeMerged</w:t>
      </w:r>
    </w:p>
    <w:p>
      <w:pPr>
        <w:pStyle w:val="BodyText"/>
      </w:pPr>
      <w:r>
        <w:t xml:space="preserve">Owned by Knowledge Domain.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Owned by Publishing Domain.</w:t>
      </w:r>
    </w:p>
    <w:p>
      <w:pPr>
        <w:pStyle w:val="BodyText"/>
      </w:pPr>
      <w:r>
        <w:t xml:space="preserve">Consumers SHALL NOT redefine business meaning.</w:t>
      </w:r>
    </w:p>
    <w:p>
      <w:r>
        <w:pict>
          <v:rect style="width:0;height:1.5pt" o:hralign="center" o:hrstd="t" o:hr="t"/>
        </w:pict>
      </w:r>
    </w:p>
    <w:bookmarkEnd w:id="42"/>
    <w:bookmarkStart w:id="43" w:name="event-lifecycle"/>
    <w:p>
      <w:pPr>
        <w:pStyle w:val="Heading1"/>
      </w:pPr>
      <w:r>
        <w:t xml:space="preserve">9. Event Lifecycle</w:t>
      </w:r>
    </w:p>
    <w:p>
      <w:pPr>
        <w:pStyle w:val="FirstParagraph"/>
      </w:pPr>
      <w:r>
        <w:t xml:space="preserve">Events progress through the following lifecycle.</w:t>
      </w:r>
    </w:p>
    <w:p>
      <w:pPr>
        <w:pStyle w:val="BodyText"/>
      </w:pPr>
      <w:r>
        <w:t xml:space="preserve">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Persisted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Consumed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Replayed (Optional)</w:t>
      </w:r>
    </w:p>
    <w:p>
      <w:pPr>
        <w:pStyle w:val="BodyText"/>
      </w:pPr>
      <w:r>
        <w:t xml:space="preserve">Events SHALL NEVER be modified after publication.</w:t>
      </w:r>
    </w:p>
    <w:p>
      <w:pPr>
        <w:pStyle w:val="BodyText"/>
      </w:pPr>
      <w:r>
        <w:t xml:space="preserve">Corrections SHALL produce new events.</w:t>
      </w:r>
    </w:p>
    <w:p>
      <w:r>
        <w:pict>
          <v:rect style="width:0;height:1.5pt" o:hralign="center" o:hrstd="t" o:hr="t"/>
        </w:pict>
      </w:r>
    </w:p>
    <w:bookmarkEnd w:id="43"/>
    <w:bookmarkStart w:id="44" w:name="event-compatibility"/>
    <w:p>
      <w:pPr>
        <w:pStyle w:val="Heading1"/>
      </w:pPr>
      <w:r>
        <w:t xml:space="preserve">10. Event Compatibility</w:t>
      </w:r>
    </w:p>
    <w:p>
      <w:pPr>
        <w:pStyle w:val="FirstParagraph"/>
      </w:pPr>
      <w:r>
        <w:t xml:space="preserve">Minor revisions SHALL preserve compatibility.</w:t>
      </w:r>
    </w:p>
    <w:p>
      <w:pPr>
        <w:pStyle w:val="BodyText"/>
      </w:pPr>
      <w:r>
        <w:t xml:space="preserve">Breaking changes REQUIRE:</w:t>
      </w:r>
    </w:p>
    <w:p>
      <w:pPr>
        <w:pStyle w:val="BodyText"/>
      </w:pPr>
      <w:r>
        <w:t xml:space="preserve">New Event Version</w:t>
      </w:r>
    </w:p>
    <w:p>
      <w:pPr>
        <w:pStyle w:val="BodyText"/>
      </w:pPr>
      <w:r>
        <w:t xml:space="preserve">Migration Documentation</w:t>
      </w:r>
    </w:p>
    <w:p>
      <w:pPr>
        <w:pStyle w:val="BodyText"/>
      </w:pPr>
      <w:r>
        <w:t xml:space="preserve">Compatibility Policy</w:t>
      </w:r>
    </w:p>
    <w:p>
      <w:pPr>
        <w:pStyle w:val="BodyText"/>
      </w:pPr>
      <w:r>
        <w:t xml:space="preserve">Deprecation Timeline</w:t>
      </w:r>
    </w:p>
    <w:p>
      <w:pPr>
        <w:pStyle w:val="BodyText"/>
      </w:pPr>
      <w:r>
        <w:t xml:space="preserve">Consumers SHALL be capable of processing supported versions concurrently.</w:t>
      </w:r>
    </w:p>
    <w:p>
      <w:r>
        <w:pict>
          <v:rect style="width:0;height:1.5pt" o:hralign="center" o:hrstd="t" o:hr="t"/>
        </w:pict>
      </w:r>
    </w:p>
    <w:bookmarkEnd w:id="44"/>
    <w:bookmarkStart w:id="45" w:name="event-ordering"/>
    <w:p>
      <w:pPr>
        <w:pStyle w:val="Heading1"/>
      </w:pPr>
      <w:r>
        <w:t xml:space="preserve">11. Event Ordering</w:t>
      </w:r>
    </w:p>
    <w:p>
      <w:pPr>
        <w:pStyle w:val="FirstParagraph"/>
      </w:pPr>
      <w:r>
        <w:t xml:space="preserve">Ordering guarantees exist only within a business aggregate.</w:t>
      </w:r>
    </w:p>
    <w:p>
      <w:pPr>
        <w:pStyle w:val="BodyText"/>
      </w:pPr>
      <w:r>
        <w:t xml:space="preserve">KMOS SHALL NOT assume global event ordering.</w:t>
      </w:r>
    </w:p>
    <w:p>
      <w:pPr>
        <w:pStyle w:val="BodyText"/>
      </w:pPr>
      <w:r>
        <w:t xml:space="preserve">Consumers SHALL tolerate:</w:t>
      </w:r>
    </w:p>
    <w:p>
      <w:pPr>
        <w:pStyle w:val="BodyText"/>
      </w:pPr>
      <w:r>
        <w:t xml:space="preserve">Concurrent processing</w:t>
      </w:r>
    </w:p>
    <w:p>
      <w:pPr>
        <w:pStyle w:val="BodyText"/>
      </w:pPr>
      <w:r>
        <w:t xml:space="preserve">Delayed delivery</w:t>
      </w:r>
    </w:p>
    <w:p>
      <w:pPr>
        <w:pStyle w:val="BodyText"/>
      </w:pPr>
      <w:r>
        <w:t xml:space="preserve">Duplicate delivery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Ordering requirements SHALL be explicitly documented where necessary.</w:t>
      </w:r>
    </w:p>
    <w:p>
      <w:r>
        <w:pict>
          <v:rect style="width:0;height:1.5pt" o:hralign="center" o:hrstd="t" o:hr="t"/>
        </w:pict>
      </w:r>
    </w:p>
    <w:bookmarkEnd w:id="45"/>
    <w:bookmarkStart w:id="46" w:name="event-delivery-semantics"/>
    <w:p>
      <w:pPr>
        <w:pStyle w:val="Heading1"/>
      </w:pPr>
      <w:r>
        <w:t xml:space="preserve">12. Event Delivery Semantics</w:t>
      </w:r>
    </w:p>
    <w:p>
      <w:pPr>
        <w:pStyle w:val="FirstParagraph"/>
      </w:pPr>
      <w:r>
        <w:t xml:space="preserve">The platform SHALL support:</w:t>
      </w:r>
    </w:p>
    <w:p>
      <w:pPr>
        <w:pStyle w:val="BodyText"/>
      </w:pPr>
      <w:r>
        <w:t xml:space="preserve">At-Least-Once Delivery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Dead Letter Handling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Filtering</w:t>
      </w:r>
    </w:p>
    <w:p>
      <w:pPr>
        <w:pStyle w:val="BodyText"/>
      </w:pPr>
      <w:r>
        <w:t xml:space="preserve">Subscription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Ordering by Aggregate</w:t>
      </w:r>
    </w:p>
    <w:p>
      <w:pPr>
        <w:pStyle w:val="BodyText"/>
      </w:pPr>
      <w:r>
        <w:t xml:space="preserve">The architecture SHALL remain independent of specific messaging technologies.</w:t>
      </w:r>
    </w:p>
    <w:p>
      <w:r>
        <w:pict>
          <v:rect style="width:0;height:1.5pt" o:hralign="center" o:hrstd="t" o:hr="t"/>
        </w:pict>
      </w:r>
    </w:p>
    <w:bookmarkEnd w:id="46"/>
    <w:bookmarkStart w:id="47" w:name="event-validation"/>
    <w:p>
      <w:pPr>
        <w:pStyle w:val="Heading1"/>
      </w:pPr>
      <w:r>
        <w:t xml:space="preserve">13. Event Validation</w:t>
      </w:r>
    </w:p>
    <w:p>
      <w:pPr>
        <w:pStyle w:val="FirstParagraph"/>
      </w:pPr>
      <w:r>
        <w:t xml:space="preserve">Every event SHALL pass validation before publication.</w:t>
      </w:r>
    </w:p>
    <w:p>
      <w:pPr>
        <w:pStyle w:val="BodyText"/>
      </w:pPr>
      <w:r>
        <w:t xml:space="preserve">Validation includes:</w:t>
      </w:r>
    </w:p>
    <w:p>
      <w:pPr>
        <w:pStyle w:val="BodyText"/>
      </w:pPr>
      <w:r>
        <w:t xml:space="preserve">Schema Validation</w:t>
      </w:r>
    </w:p>
    <w:p>
      <w:pPr>
        <w:pStyle w:val="BodyText"/>
      </w:pPr>
      <w:r>
        <w:t xml:space="preserve">Business Validation</w:t>
      </w:r>
    </w:p>
    <w:p>
      <w:pPr>
        <w:pStyle w:val="BodyText"/>
      </w:pPr>
      <w:r>
        <w:t xml:space="preserve">Identity Validation</w:t>
      </w:r>
    </w:p>
    <w:p>
      <w:pPr>
        <w:pStyle w:val="BodyText"/>
      </w:pPr>
      <w:r>
        <w:t xml:space="preserve">Ownership Validation</w:t>
      </w:r>
    </w:p>
    <w:p>
      <w:pPr>
        <w:pStyle w:val="BodyText"/>
      </w:pPr>
      <w:r>
        <w:t xml:space="preserve">Version Validation</w:t>
      </w:r>
    </w:p>
    <w:p>
      <w:pPr>
        <w:pStyle w:val="BodyText"/>
      </w:pPr>
      <w:r>
        <w:t xml:space="preserve">Governance Validation</w:t>
      </w:r>
    </w:p>
    <w:p>
      <w:pPr>
        <w:pStyle w:val="BodyText"/>
      </w:pPr>
      <w:r>
        <w:t xml:space="preserve">Security Validation</w:t>
      </w:r>
    </w:p>
    <w:p>
      <w:pPr>
        <w:pStyle w:val="BodyText"/>
      </w:pPr>
      <w:r>
        <w:t xml:space="preserve">Invalid events SHALL NOT be published.</w:t>
      </w:r>
    </w:p>
    <w:p>
      <w:r>
        <w:pict>
          <v:rect style="width:0;height:1.5pt" o:hralign="center" o:hrstd="t" o:hr="t"/>
        </w:pict>
      </w:r>
    </w:p>
    <w:bookmarkEnd w:id="47"/>
    <w:bookmarkStart w:id="48" w:name="event-registry"/>
    <w:p>
      <w:pPr>
        <w:pStyle w:val="Heading1"/>
      </w:pPr>
      <w:r>
        <w:t xml:space="preserve">14. Event Registry</w:t>
      </w:r>
    </w:p>
    <w:p>
      <w:pPr>
        <w:pStyle w:val="FirstParagraph"/>
      </w:pPr>
      <w:r>
        <w:t xml:space="preserve">Every canonical event SHALL be registered.</w:t>
      </w:r>
    </w:p>
    <w:p>
      <w:pPr>
        <w:pStyle w:val="BodyText"/>
      </w:pPr>
      <w:r>
        <w:t xml:space="preserve">Registry entries include:</w:t>
      </w:r>
    </w:p>
    <w:p>
      <w:pPr>
        <w:pStyle w:val="BodyText"/>
      </w:pPr>
      <w:r>
        <w:t xml:space="preserve">Identifier</w:t>
      </w:r>
    </w:p>
    <w:p>
      <w:pPr>
        <w:pStyle w:val="BodyText"/>
      </w:pPr>
      <w:r>
        <w:t xml:space="preserve">Business Definition</w:t>
      </w:r>
    </w:p>
    <w:p>
      <w:pPr>
        <w:pStyle w:val="BodyText"/>
      </w:pPr>
      <w:r>
        <w:t xml:space="preserve">Owning Domain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Schema Reference</w:t>
      </w:r>
    </w:p>
    <w:p>
      <w:pPr>
        <w:pStyle w:val="BodyText"/>
      </w:pPr>
      <w:r>
        <w:t xml:space="preserve">Lifecycle Status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Related Events</w:t>
      </w:r>
    </w:p>
    <w:p>
      <w:pPr>
        <w:pStyle w:val="BodyText"/>
      </w:pPr>
      <w:r>
        <w:t xml:space="preserve">Deprecation Status</w:t>
      </w:r>
    </w:p>
    <w:p>
      <w:pPr>
        <w:pStyle w:val="BodyText"/>
      </w:pPr>
      <w:r>
        <w:t xml:space="preserve">The Event Registry becomes the authoritative catalog of platform communication.</w:t>
      </w:r>
    </w:p>
    <w:p>
      <w:r>
        <w:pict>
          <v:rect style="width:0;height:1.5pt" o:hralign="center" o:hrstd="t" o:hr="t"/>
        </w:pict>
      </w:r>
    </w:p>
    <w:bookmarkEnd w:id="48"/>
    <w:bookmarkStart w:id="49" w:name="event-relationships"/>
    <w:p>
      <w:pPr>
        <w:pStyle w:val="Heading1"/>
      </w:pPr>
      <w:r>
        <w:t xml:space="preserve">15. Event Relationships</w:t>
      </w:r>
    </w:p>
    <w:p>
      <w:pPr>
        <w:pStyle w:val="FirstParagraph"/>
      </w:pPr>
      <w:r>
        <w:t xml:space="preserve">Events participate in directed relationships.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Event graphs remain permanently queryable.</w:t>
      </w:r>
    </w:p>
    <w:p>
      <w:r>
        <w:pict>
          <v:rect style="width:0;height:1.5pt" o:hralign="center" o:hrstd="t" o:hr="t"/>
        </w:pict>
      </w:r>
    </w:p>
    <w:bookmarkEnd w:id="49"/>
    <w:bookmarkStart w:id="50" w:name="event-replay"/>
    <w:p>
      <w:pPr>
        <w:pStyle w:val="Heading1"/>
      </w:pPr>
      <w:r>
        <w:t xml:space="preserve">16. Event Replay</w:t>
      </w:r>
    </w:p>
    <w:p>
      <w:pPr>
        <w:pStyle w:val="FirstParagraph"/>
      </w:pPr>
      <w:r>
        <w:t xml:space="preserve">Replay is a first-class platform capability.</w:t>
      </w:r>
    </w:p>
    <w:p>
      <w:pPr>
        <w:pStyle w:val="BodyText"/>
      </w:pPr>
      <w:r>
        <w:t xml:space="preserve">Replay SHALL support:</w:t>
      </w:r>
    </w:p>
    <w:p>
      <w:pPr>
        <w:pStyle w:val="BodyText"/>
      </w:pPr>
      <w:r>
        <w:t xml:space="preserve">Disaster Recovery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Knowledge Reconstruction</w:t>
      </w:r>
    </w:p>
    <w:p>
      <w:pPr>
        <w:pStyle w:val="BodyText"/>
      </w:pPr>
      <w:r>
        <w:t xml:space="preserve">Workflow Recovery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Historical Analysis</w:t>
      </w:r>
    </w:p>
    <w:p>
      <w:pPr>
        <w:pStyle w:val="BodyText"/>
      </w:pPr>
      <w:r>
        <w:t xml:space="preserve">Replay SHALL preserve original timestamps and identities while recording replay execution separately.</w:t>
      </w:r>
    </w:p>
    <w:p>
      <w:r>
        <w:pict>
          <v:rect style="width:0;height:1.5pt" o:hralign="center" o:hrstd="t" o:hr="t"/>
        </w:pict>
      </w:r>
    </w:p>
    <w:bookmarkEnd w:id="50"/>
    <w:bookmarkStart w:id="51" w:name="event-governance"/>
    <w:p>
      <w:pPr>
        <w:pStyle w:val="Heading1"/>
      </w:pPr>
      <w:r>
        <w:t xml:space="preserve">17. Event Governance</w:t>
      </w:r>
    </w:p>
    <w:p>
      <w:pPr>
        <w:pStyle w:val="FirstParagraph"/>
      </w:pPr>
      <w:r>
        <w:t xml:space="preserve">Every event SHALL support: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Retention Policy</w:t>
      </w:r>
    </w:p>
    <w:p>
      <w:pPr>
        <w:pStyle w:val="BodyText"/>
      </w:pPr>
      <w:r>
        <w:t xml:space="preserve">Compliance Review</w:t>
      </w:r>
    </w:p>
    <w:p>
      <w:pPr>
        <w:pStyle w:val="BodyText"/>
      </w:pPr>
      <w:r>
        <w:t xml:space="preserve">Approval References</w:t>
      </w:r>
    </w:p>
    <w:p>
      <w:pPr>
        <w:pStyle w:val="BodyText"/>
      </w:pPr>
      <w:r>
        <w:t xml:space="preserve">Institutional Preservation</w:t>
      </w:r>
    </w:p>
    <w:p>
      <w:pPr>
        <w:pStyle w:val="BodyText"/>
      </w:pPr>
      <w:r>
        <w:t xml:space="preserve">Events become permanent institutional records.</w:t>
      </w:r>
    </w:p>
    <w:p>
      <w:r>
        <w:pict>
          <v:rect style="width:0;height:1.5pt" o:hralign="center" o:hrstd="t" o:hr="t"/>
        </w:pict>
      </w:r>
    </w:p>
    <w:bookmarkEnd w:id="51"/>
    <w:bookmarkStart w:id="52" w:name="canonical-event-families"/>
    <w:p>
      <w:pPr>
        <w:pStyle w:val="Heading1"/>
      </w:pPr>
      <w:r>
        <w:t xml:space="preserve">18. Canonical Event Families</w:t>
      </w:r>
    </w:p>
    <w:p>
      <w:pPr>
        <w:pStyle w:val="FirstParagraph"/>
      </w:pPr>
      <w:r>
        <w:t xml:space="preserve">The platform recognizes several long-lived event families.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Knowledge Lifecycle</w:t>
      </w:r>
    </w:p>
    <w:p>
      <w:pPr>
        <w:pStyle w:val="BodyText"/>
      </w:pPr>
      <w:r>
        <w:t xml:space="preserve">Asset Lifecycle</w:t>
      </w:r>
    </w:p>
    <w:p>
      <w:pPr>
        <w:pStyle w:val="BodyText"/>
      </w:pPr>
      <w:r>
        <w:t xml:space="preserve">Workflow Lifecycle</w:t>
      </w:r>
    </w:p>
    <w:p>
      <w:pPr>
        <w:pStyle w:val="BodyText"/>
      </w:pPr>
      <w:r>
        <w:t xml:space="preserve">Publication Lifecycle</w:t>
      </w:r>
    </w:p>
    <w:p>
      <w:pPr>
        <w:pStyle w:val="BodyText"/>
      </w:pPr>
      <w:r>
        <w:t xml:space="preserve">Capability Lifecycle</w:t>
      </w:r>
    </w:p>
    <w:p>
      <w:pPr>
        <w:pStyle w:val="BodyText"/>
      </w:pPr>
      <w:r>
        <w:t xml:space="preserve">Governance Lifecycle</w:t>
      </w:r>
    </w:p>
    <w:p>
      <w:pPr>
        <w:pStyle w:val="BodyText"/>
      </w:pPr>
      <w:r>
        <w:t xml:space="preserve">Identity Lifecycle</w:t>
      </w:r>
    </w:p>
    <w:p>
      <w:pPr>
        <w:pStyle w:val="BodyText"/>
      </w:pPr>
      <w:r>
        <w:t xml:space="preserve">Vocabulary Lifecycle</w:t>
      </w:r>
    </w:p>
    <w:p>
      <w:pPr>
        <w:pStyle w:val="BodyText"/>
      </w:pPr>
      <w:r>
        <w:t xml:space="preserve">Media Lifecycle</w:t>
      </w:r>
    </w:p>
    <w:p>
      <w:pPr>
        <w:pStyle w:val="BodyText"/>
      </w:pPr>
      <w:r>
        <w:t xml:space="preserve">Language Lifecycle</w:t>
      </w:r>
    </w:p>
    <w:p>
      <w:pPr>
        <w:pStyle w:val="BodyText"/>
      </w:pPr>
      <w:r>
        <w:t xml:space="preserve">Future specifications SHALL extend these families rather than introducing unrelated naming patterns.</w:t>
      </w:r>
    </w:p>
    <w:p>
      <w:r>
        <w:pict>
          <v:rect style="width:0;height:1.5pt" o:hralign="center" o:hrstd="t" o:hr="t"/>
        </w:pict>
      </w:r>
    </w:p>
    <w:bookmarkEnd w:id="52"/>
    <w:bookmarkStart w:id="53" w:name="relationship-to-previous-specifications"/>
    <w:p>
      <w:pPr>
        <w:pStyle w:val="Heading1"/>
      </w:pPr>
      <w:r>
        <w:t xml:space="preserve">19. Relationship to Previous Specifications</w:t>
      </w:r>
    </w:p>
    <w:p>
      <w:pPr>
        <w:pStyle w:val="FirstParagraph"/>
      </w:pPr>
      <w:r>
        <w:t xml:space="preserve">KMOS-0100 defined the Canonical Data Model.</w:t>
      </w:r>
    </w:p>
    <w:p>
      <w:pPr>
        <w:pStyle w:val="BodyText"/>
      </w:pPr>
      <w:r>
        <w:t xml:space="preserve">KMOS-0110 defines how canonical objects communicate through observable business facts.</w:t>
      </w:r>
    </w:p>
    <w:p>
      <w:pPr>
        <w:pStyle w:val="BodyText"/>
      </w:pPr>
      <w:r>
        <w:t xml:space="preserve">Together they establish:</w:t>
      </w:r>
    </w:p>
    <w:p>
      <w:pPr>
        <w:pStyle w:val="BodyText"/>
      </w:pPr>
      <w:r>
        <w:t xml:space="preserve">Canonical Objects (Nouns)</w:t>
      </w:r>
    </w:p>
    <w:p>
      <w:pPr>
        <w:pStyle w:val="BodyText"/>
      </w:pPr>
      <w:r>
        <w:t xml:space="preserve">Canonical Events (Verbs)</w:t>
      </w:r>
    </w:p>
    <w:p>
      <w:pPr>
        <w:pStyle w:val="BodyText"/>
      </w:pPr>
      <w:r>
        <w:t xml:space="preserve">Every subsequent specification SHALL build upon these foundations.</w:t>
      </w:r>
    </w:p>
    <w:p>
      <w:r>
        <w:pict>
          <v:rect style="width:0;height:1.5pt" o:hralign="center" o:hrstd="t" o:hr="t"/>
        </w:pict>
      </w:r>
    </w:p>
    <w:bookmarkEnd w:id="53"/>
    <w:bookmarkStart w:id="54" w:name="architectural-consequences"/>
    <w:p>
      <w:pPr>
        <w:pStyle w:val="Heading1"/>
      </w:pPr>
      <w:r>
        <w:t xml:space="preserve">20. Architectural Consequences</w:t>
      </w:r>
    </w:p>
    <w:p>
      <w:pPr>
        <w:pStyle w:val="FirstParagraph"/>
      </w:pPr>
      <w:r>
        <w:t xml:space="preserve">Because every platform interaction is represented by canonical events:</w:t>
      </w:r>
    </w:p>
    <w:p>
      <w:pPr>
        <w:pStyle w:val="BodyText"/>
      </w:pPr>
      <w:r>
        <w:t xml:space="preserve">Domains remain loosely coupled.</w:t>
      </w:r>
    </w:p>
    <w:p>
      <w:pPr>
        <w:pStyle w:val="BodyText"/>
      </w:pPr>
      <w:r>
        <w:t xml:space="preserve">Capabilities become independently deployable.</w:t>
      </w:r>
    </w:p>
    <w:p>
      <w:pPr>
        <w:pStyle w:val="BodyText"/>
      </w:pPr>
      <w:r>
        <w:t xml:space="preserve">Workflows become declarative.</w:t>
      </w:r>
    </w:p>
    <w:p>
      <w:pPr>
        <w:pStyle w:val="BodyText"/>
      </w:pPr>
      <w:r>
        <w:t xml:space="preserve">Applications remain lightweight.</w:t>
      </w:r>
    </w:p>
    <w:p>
      <w:pPr>
        <w:pStyle w:val="BodyText"/>
      </w:pPr>
      <w:r>
        <w:t xml:space="preserve">Knowledge evolution becomes observable.</w:t>
      </w:r>
    </w:p>
    <w:p>
      <w:pPr>
        <w:pStyle w:val="BodyText"/>
      </w:pPr>
      <w:r>
        <w:t xml:space="preserve">Governance becomes comprehensive.</w:t>
      </w:r>
    </w:p>
    <w:p>
      <w:pPr>
        <w:pStyle w:val="BodyText"/>
      </w:pPr>
      <w:r>
        <w:t xml:space="preserve">Institutional history becomes replayable.</w:t>
      </w:r>
    </w:p>
    <w:p>
      <w:pPr>
        <w:pStyle w:val="BodyText"/>
      </w:pPr>
      <w:r>
        <w:t xml:space="preserve">The Event Catalog becomes the universal communication protocol of KMOS.</w:t>
      </w:r>
    </w:p>
    <w:p>
      <w:r>
        <w:pict>
          <v:rect style="width:0;height:1.5pt" o:hralign="center" o:hrstd="t" o:hr="t"/>
        </w:pict>
      </w:r>
    </w:p>
    <w:bookmarkEnd w:id="54"/>
    <w:bookmarkStart w:id="55" w:name="future-event-specifications"/>
    <w:p>
      <w:pPr>
        <w:pStyle w:val="Heading1"/>
      </w:pPr>
      <w:r>
        <w:t xml:space="preserve">21. Future Event Specifications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standard</w:t>
      </w:r>
      <w:r>
        <w:t xml:space="preserve">.</w:t>
      </w:r>
    </w:p>
    <w:p>
      <w:pPr>
        <w:pStyle w:val="BodyText"/>
      </w:pPr>
      <w:r>
        <w:t xml:space="preserve">Subsequent specifications SHALL define complete event families.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KMOS-1110 Asset Events</w:t>
      </w:r>
    </w:p>
    <w:p>
      <w:pPr>
        <w:pStyle w:val="BodyText"/>
      </w:pPr>
      <w:r>
        <w:t xml:space="preserve">KMOS-1120 Knowledge Events</w:t>
      </w:r>
    </w:p>
    <w:p>
      <w:pPr>
        <w:pStyle w:val="BodyText"/>
      </w:pPr>
      <w:r>
        <w:t xml:space="preserve">KMOS-1130 Language Events</w:t>
      </w:r>
    </w:p>
    <w:p>
      <w:pPr>
        <w:pStyle w:val="BodyText"/>
      </w:pPr>
      <w:r>
        <w:t xml:space="preserve">KMOS-1140 Media Events</w:t>
      </w:r>
    </w:p>
    <w:p>
      <w:pPr>
        <w:pStyle w:val="BodyText"/>
      </w:pPr>
      <w:r>
        <w:t xml:space="preserve">KMOS-1150 Workflow Events</w:t>
      </w:r>
    </w:p>
    <w:p>
      <w:pPr>
        <w:pStyle w:val="BodyText"/>
      </w:pPr>
      <w:r>
        <w:t xml:space="preserve">KMOS-1160 Governance Events</w:t>
      </w:r>
    </w:p>
    <w:p>
      <w:pPr>
        <w:pStyle w:val="BodyText"/>
      </w:pPr>
      <w:r>
        <w:t xml:space="preserve">KMOS-1170 Publishing Events</w:t>
      </w:r>
    </w:p>
    <w:p>
      <w:pPr>
        <w:pStyle w:val="BodyText"/>
      </w:pPr>
      <w:r>
        <w:t xml:space="preserve">KMOS-1180 Identity Events</w:t>
      </w:r>
    </w:p>
    <w:p>
      <w:pPr>
        <w:pStyle w:val="BodyText"/>
      </w:pPr>
      <w:r>
        <w:t xml:space="preserve">KMOS-1190 Platform Events</w:t>
      </w:r>
    </w:p>
    <w:p>
      <w:pPr>
        <w:pStyle w:val="BodyText"/>
      </w:pPr>
      <w:r>
        <w:t xml:space="preserve">Each family SHALL enumerate every canonical event, payload schema, lifecycle, ownership rules, and compatibility guarantees.</w:t>
      </w:r>
    </w:p>
    <w:p>
      <w:r>
        <w:pict>
          <v:rect style="width:0;height:1.5pt" o:hralign="center" o:hrstd="t" o:hr="t"/>
        </w:pict>
      </w:r>
    </w:p>
    <w:bookmarkEnd w:id="55"/>
    <w:bookmarkStart w:id="56" w:name="next-specification"/>
    <w:p>
      <w:pPr>
        <w:pStyle w:val="Heading1"/>
      </w:pPr>
      <w:r>
        <w:t xml:space="preserve">22. Next Specification</w:t>
      </w:r>
    </w:p>
    <w:p>
      <w:pPr>
        <w:pStyle w:val="FirstParagraph"/>
      </w:pPr>
      <w:r>
        <w:t xml:space="preserve">KMOS-0120 defines the</w:t>
      </w:r>
      <w:r>
        <w:t xml:space="preserve"> </w:t>
      </w:r>
      <w:r>
        <w:rPr>
          <w:b/>
          <w:bCs/>
        </w:rPr>
        <w:t xml:space="preserve">Capability Specification Standard</w:t>
      </w:r>
      <w:r>
        <w:t xml:space="preserve">.</w:t>
      </w:r>
    </w:p>
    <w:p>
      <w:pPr>
        <w:pStyle w:val="BodyText"/>
      </w:pPr>
      <w:r>
        <w:t xml:space="preserve">If KMOS-0100 establishes the canonical business objects, and KMOS-0110 establishes the canonical business events, then KMOS-0120 establishes the engineering contract that every capability SHALL implement.</w:t>
      </w:r>
    </w:p>
    <w:p>
      <w:pPr>
        <w:pStyle w:val="BodyText"/>
      </w:pPr>
      <w:r>
        <w:t xml:space="preserve">Together, these three specifications define the common language, communication protocol, and execution model that form the engineering foundation of the Knowledge &amp; Media Operating System.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2026-06-30T08:59:32Z</dcterms:created>
  <dcterms:modified xsi:type="dcterms:W3CDTF">2026-06-30T08:59:32Z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