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20"/>
    <w:p>
      <w:pPr>
        <w:pStyle w:val="Heading1"/>
      </w:pPr>
      <w:r>
        <w:t xml:space="preserve">KMOS-0120</w:t>
      </w:r>
    </w:p>
    <w:bookmarkEnd w:id="20"/>
    <w:bookmarkStart w:id="21" w:name="capability-specification-standard"/>
    <w:p>
      <w:pPr>
        <w:pStyle w:val="Heading1"/>
      </w:pPr>
      <w:r>
        <w:t xml:space="preserve">Capability Specification Standard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engineering standard for Capabilities within the Knowledge &amp; Media Operating System (KMOS).</w:t>
      </w:r>
    </w:p>
    <w:p>
      <w:pPr>
        <w:pStyle w:val="BodyText"/>
      </w:pPr>
      <w:r>
        <w:t xml:space="preserve">A Capability is the fundamental unit of business functionality in KMOS.</w:t>
      </w:r>
    </w:p>
    <w:p>
      <w:pPr>
        <w:pStyle w:val="BodyText"/>
      </w:pPr>
      <w:r>
        <w:t xml:space="preserve">Capabilities are implementation-independent business contracts that describe</w:t>
      </w:r>
      <w:r>
        <w:t xml:space="preserve"> </w:t>
      </w:r>
      <w:r>
        <w:rPr>
          <w:b/>
          <w:bCs/>
        </w:rPr>
        <w:t xml:space="preserve">what the platform can do</w:t>
      </w:r>
      <w:r>
        <w:t xml:space="preserve">, not</w:t>
      </w:r>
      <w:r>
        <w:t xml:space="preserve"> </w:t>
      </w:r>
      <w:r>
        <w:rPr>
          <w:b/>
          <w:bCs/>
        </w:rPr>
        <w:t xml:space="preserve">how the work is performed</w:t>
      </w:r>
      <w:r>
        <w:t xml:space="preserve">.</w:t>
      </w:r>
    </w:p>
    <w:p>
      <w:pPr>
        <w:pStyle w:val="BodyText"/>
      </w:pPr>
      <w:r>
        <w:t xml:space="preserve">Every executable function within KMOS SHALL be represented by one or more Capabilities conforming to this specification.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Capability identity</w:t>
      </w:r>
    </w:p>
    <w:p>
      <w:pPr>
        <w:pStyle w:val="Compact"/>
        <w:numPr>
          <w:ilvl w:val="0"/>
          <w:numId w:val="1001"/>
        </w:numPr>
      </w:pPr>
      <w:r>
        <w:t xml:space="preserve">Capability contracts</w:t>
      </w:r>
    </w:p>
    <w:p>
      <w:pPr>
        <w:pStyle w:val="Compact"/>
        <w:numPr>
          <w:ilvl w:val="0"/>
          <w:numId w:val="1001"/>
        </w:numPr>
      </w:pPr>
      <w:r>
        <w:t xml:space="preserve">Capability metadata</w:t>
      </w:r>
    </w:p>
    <w:p>
      <w:pPr>
        <w:pStyle w:val="Compact"/>
        <w:numPr>
          <w:ilvl w:val="0"/>
          <w:numId w:val="1001"/>
        </w:numPr>
      </w:pPr>
      <w:r>
        <w:t xml:space="preserve">Lifecycle management</w:t>
      </w:r>
    </w:p>
    <w:p>
      <w:pPr>
        <w:pStyle w:val="Compact"/>
        <w:numPr>
          <w:ilvl w:val="0"/>
          <w:numId w:val="1001"/>
        </w:numPr>
      </w:pPr>
      <w:r>
        <w:t xml:space="preserve">Discovery</w:t>
      </w:r>
    </w:p>
    <w:p>
      <w:pPr>
        <w:pStyle w:val="Compact"/>
        <w:numPr>
          <w:ilvl w:val="0"/>
          <w:numId w:val="1001"/>
        </w:numPr>
      </w:pPr>
      <w:r>
        <w:t xml:space="preserve">Versioning</w:t>
      </w:r>
    </w:p>
    <w:p>
      <w:pPr>
        <w:pStyle w:val="Compact"/>
        <w:numPr>
          <w:ilvl w:val="0"/>
          <w:numId w:val="1001"/>
        </w:numPr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Inputs and outputs</w:t>
      </w:r>
    </w:p>
    <w:p>
      <w:pPr>
        <w:pStyle w:val="Compact"/>
        <w:numPr>
          <w:ilvl w:val="0"/>
          <w:numId w:val="1001"/>
        </w:numPr>
      </w:pPr>
      <w:r>
        <w:t xml:space="preserve">Event participation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Certification</w:t>
      </w:r>
    </w:p>
    <w:p>
      <w:pPr>
        <w:pStyle w:val="Compact"/>
        <w:numPr>
          <w:ilvl w:val="0"/>
          <w:numId w:val="1001"/>
        </w:numPr>
      </w:pPr>
      <w:r>
        <w:t xml:space="preserve">Operational requirements</w:t>
      </w:r>
    </w:p>
    <w:p>
      <w:pPr>
        <w:pStyle w:val="FirstParagraph"/>
      </w:pPr>
      <w:r>
        <w:t xml:space="preserve">It does not prescribe implementation languages, frameworks, deployment models, or AI technologies.</w:t>
      </w:r>
    </w:p>
    <w:p>
      <w:r>
        <w:pict>
          <v:rect style="width:0;height:1.5pt" o:hralign="center" o:hrstd="t" o:hr="t"/>
        </w:pict>
      </w:r>
    </w:p>
    <w:bookmarkEnd w:id="23"/>
    <w:bookmarkStart w:id="24" w:name="capability-philosophy"/>
    <w:p>
      <w:pPr>
        <w:pStyle w:val="Heading1"/>
      </w:pPr>
      <w:r>
        <w:t xml:space="preserve">3. Capability Philosophy</w:t>
      </w:r>
    </w:p>
    <w:p>
      <w:pPr>
        <w:pStyle w:val="FirstParagraph"/>
      </w:pPr>
      <w:r>
        <w:t xml:space="preserve">Capabilities represent enduring business functions.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Vocabulary Expansion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Relationship Discovery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These business functions remain stable even as implementation technologies evolve.</w:t>
      </w:r>
    </w:p>
    <w:p>
      <w:pPr>
        <w:pStyle w:val="BodyText"/>
      </w:pPr>
      <w:r>
        <w:t xml:space="preserve">A Capability SHALL outlive its implementation.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Every Capability SHALL be:</w:t>
      </w:r>
    </w:p>
    <w:p>
      <w:pPr>
        <w:pStyle w:val="BodyText"/>
      </w:pPr>
      <w:r>
        <w:t xml:space="preserve">Business-Oriented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Discoverable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Knowledge-Centric</w:t>
      </w:r>
    </w:p>
    <w:p>
      <w:pPr>
        <w:pStyle w:val="BodyText"/>
      </w:pPr>
      <w:r>
        <w:t xml:space="preserve">Capabilities SHALL expose stable business contracts.</w:t>
      </w:r>
    </w:p>
    <w:p>
      <w:pPr>
        <w:pStyle w:val="BodyText"/>
      </w:pPr>
      <w:r>
        <w:t xml:space="preserve">Implementation details SHALL remain internal.</w:t>
      </w:r>
    </w:p>
    <w:p>
      <w:r>
        <w:pict>
          <v:rect style="width:0;height:1.5pt" o:hralign="center" o:hrstd="t" o:hr="t"/>
        </w:pict>
      </w:r>
    </w:p>
    <w:bookmarkEnd w:id="25"/>
    <w:bookmarkStart w:id="26" w:name="capability-identity"/>
    <w:p>
      <w:pPr>
        <w:pStyle w:val="Heading1"/>
      </w:pPr>
      <w:r>
        <w:t xml:space="preserve">5. Capability Identity</w:t>
      </w:r>
    </w:p>
    <w:p>
      <w:pPr>
        <w:pStyle w:val="FirstParagraph"/>
      </w:pPr>
      <w:r>
        <w:t xml:space="preserve">Every Capability SHALL possess:</w:t>
      </w:r>
    </w:p>
    <w:p>
      <w:pPr>
        <w:pStyle w:val="BodyText"/>
      </w:pPr>
      <w:r>
        <w:t xml:space="preserve">Capability Identifier</w:t>
      </w:r>
    </w:p>
    <w:p>
      <w:pPr>
        <w:pStyle w:val="BodyText"/>
      </w:pPr>
      <w:r>
        <w:t xml:space="preserve">Canonical Name</w:t>
      </w:r>
    </w:p>
    <w:p>
      <w:pPr>
        <w:pStyle w:val="BodyText"/>
      </w:pPr>
      <w:r>
        <w:t xml:space="preserve">Business Description</w:t>
      </w:r>
    </w:p>
    <w:p>
      <w:pPr>
        <w:pStyle w:val="BodyText"/>
      </w:pPr>
      <w:r>
        <w:t xml:space="preserve">Owning Domain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Certification Status</w:t>
      </w:r>
    </w:p>
    <w:p>
      <w:pPr>
        <w:pStyle w:val="BodyText"/>
      </w:pPr>
      <w:r>
        <w:t xml:space="preserve">Registration Timestamp</w:t>
      </w:r>
    </w:p>
    <w:p>
      <w:pPr>
        <w:pStyle w:val="BodyText"/>
      </w:pPr>
      <w:r>
        <w:t xml:space="preserve">Identity SHALL remain stable across implementation upgrades.</w:t>
      </w:r>
    </w:p>
    <w:p>
      <w:r>
        <w:pict>
          <v:rect style="width:0;height:1.5pt" o:hralign="center" o:hrstd="t" o:hr="t"/>
        </w:pict>
      </w:r>
    </w:p>
    <w:bookmarkEnd w:id="26"/>
    <w:bookmarkStart w:id="27" w:name="capability-manifest"/>
    <w:p>
      <w:pPr>
        <w:pStyle w:val="Heading1"/>
      </w:pPr>
      <w:r>
        <w:t xml:space="preserve">6. Capability Manifest</w:t>
      </w:r>
    </w:p>
    <w:p>
      <w:pPr>
        <w:pStyle w:val="FirstParagraph"/>
      </w:pPr>
      <w:r>
        <w:t xml:space="preserve">Every Capability SHALL publish a machine-readable manifest.</w:t>
      </w:r>
    </w:p>
    <w:p>
      <w:pPr>
        <w:pStyle w:val="BodyText"/>
      </w:pPr>
      <w:r>
        <w:t xml:space="preserve">The manifest SHALL include: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Configuration Schema</w:t>
      </w:r>
    </w:p>
    <w:p>
      <w:pPr>
        <w:pStyle w:val="BodyText"/>
      </w:pPr>
      <w:r>
        <w:t xml:space="preserve">Health Endpoints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Documentation References</w:t>
      </w:r>
    </w:p>
    <w:p>
      <w:pPr>
        <w:pStyle w:val="BodyText"/>
      </w:pPr>
      <w:r>
        <w:t xml:space="preserve">Supported Versions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Operational Constraints</w:t>
      </w:r>
    </w:p>
    <w:p>
      <w:pPr>
        <w:pStyle w:val="BodyText"/>
      </w:pPr>
      <w:r>
        <w:t xml:space="preserve">The manifest becomes the authoritative description of the Capability.</w:t>
      </w:r>
    </w:p>
    <w:p>
      <w:r>
        <w:pict>
          <v:rect style="width:0;height:1.5pt" o:hralign="center" o:hrstd="t" o:hr="t"/>
        </w:pict>
      </w:r>
    </w:p>
    <w:bookmarkEnd w:id="27"/>
    <w:bookmarkStart w:id="28" w:name="capability-contract"/>
    <w:p>
      <w:pPr>
        <w:pStyle w:val="Heading1"/>
      </w:pPr>
      <w:r>
        <w:t xml:space="preserve">7. Capability Contract</w:t>
      </w:r>
    </w:p>
    <w:p>
      <w:pPr>
        <w:pStyle w:val="FirstParagraph"/>
      </w:pPr>
      <w:r>
        <w:t xml:space="preserve">Every Capability SHALL expose a stable business contract.</w:t>
      </w:r>
    </w:p>
    <w:p>
      <w:pPr>
        <w:pStyle w:val="BodyText"/>
      </w:pPr>
      <w:r>
        <w:t xml:space="preserve">The contract defines:</w:t>
      </w:r>
    </w:p>
    <w:p>
      <w:pPr>
        <w:pStyle w:val="BodyText"/>
      </w:pPr>
      <w:r>
        <w:t xml:space="preserve">Accepted Business Objects</w:t>
      </w:r>
    </w:p>
    <w:p>
      <w:pPr>
        <w:pStyle w:val="BodyText"/>
      </w:pPr>
      <w:r>
        <w:t xml:space="preserve">Expected Preconditions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Produced Business Objects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Failure Conditions</w:t>
      </w:r>
    </w:p>
    <w:p>
      <w:pPr>
        <w:pStyle w:val="BodyText"/>
      </w:pPr>
      <w:r>
        <w:t xml:space="preserve">Quality Expectations</w:t>
      </w:r>
    </w:p>
    <w:p>
      <w:pPr>
        <w:pStyle w:val="BodyText"/>
      </w:pPr>
      <w:r>
        <w:t xml:space="preserve">Performance Characteristics</w:t>
      </w:r>
    </w:p>
    <w:p>
      <w:pPr>
        <w:pStyle w:val="BodyText"/>
      </w:pPr>
      <w:r>
        <w:t xml:space="preserve">Contracts SHALL remain independent of implementation technology.</w:t>
      </w:r>
    </w:p>
    <w:p>
      <w:r>
        <w:pict>
          <v:rect style="width:0;height:1.5pt" o:hralign="center" o:hrstd="t" o:hr="t"/>
        </w:pict>
      </w:r>
    </w:p>
    <w:bookmarkEnd w:id="28"/>
    <w:bookmarkStart w:id="29" w:name="inputs"/>
    <w:p>
      <w:pPr>
        <w:pStyle w:val="Heading1"/>
      </w:pPr>
      <w:r>
        <w:t xml:space="preserve">8. Inputs</w:t>
      </w:r>
    </w:p>
    <w:p>
      <w:pPr>
        <w:pStyle w:val="FirstParagraph"/>
      </w:pPr>
      <w:r>
        <w:t xml:space="preserve">Capabilities consume Canonical Objects.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Workflow Context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Capabilities SHALL reference canonical identifiers rather than implementation-specific resources.</w:t>
      </w:r>
    </w:p>
    <w:p>
      <w:r>
        <w:pict>
          <v:rect style="width:0;height:1.5pt" o:hralign="center" o:hrstd="t" o:hr="t"/>
        </w:pict>
      </w:r>
    </w:p>
    <w:bookmarkEnd w:id="29"/>
    <w:bookmarkStart w:id="30" w:name="outputs"/>
    <w:p>
      <w:pPr>
        <w:pStyle w:val="Heading1"/>
      </w:pPr>
      <w:r>
        <w:t xml:space="preserve">9. Outputs</w:t>
      </w:r>
    </w:p>
    <w:p>
      <w:pPr>
        <w:pStyle w:val="FirstParagraph"/>
      </w:pPr>
      <w:r>
        <w:t xml:space="preserve">Capabilities produce one or more of:</w:t>
      </w:r>
    </w:p>
    <w:p>
      <w:pPr>
        <w:pStyle w:val="BodyText"/>
      </w:pPr>
      <w:r>
        <w:t xml:space="preserve">Canonical Objects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Knowledge Updates</w:t>
      </w:r>
    </w:p>
    <w:p>
      <w:pPr>
        <w:pStyle w:val="BodyText"/>
      </w:pPr>
      <w:r>
        <w:t xml:space="preserve">Workflow State Changes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Every output SHALL:</w:t>
      </w:r>
    </w:p>
    <w:p>
      <w:pPr>
        <w:pStyle w:val="BodyText"/>
      </w:pPr>
      <w:r>
        <w:t xml:space="preserve">Register Assets when appropriate</w:t>
      </w:r>
    </w:p>
    <w:p>
      <w:pPr>
        <w:pStyle w:val="BodyText"/>
      </w:pPr>
      <w:r>
        <w:t xml:space="preserve">Update Lineage</w:t>
      </w:r>
    </w:p>
    <w:p>
      <w:pPr>
        <w:pStyle w:val="BodyText"/>
      </w:pPr>
      <w:r>
        <w:t xml:space="preserve">Publish Events</w:t>
      </w:r>
    </w:p>
    <w:p>
      <w:pPr>
        <w:pStyle w:val="BodyText"/>
      </w:pPr>
      <w:r>
        <w:t xml:space="preserve">Participate in Governance</w:t>
      </w:r>
    </w:p>
    <w:p>
      <w:r>
        <w:pict>
          <v:rect style="width:0;height:1.5pt" o:hralign="center" o:hrstd="t" o:hr="t"/>
        </w:pict>
      </w:r>
    </w:p>
    <w:bookmarkEnd w:id="30"/>
    <w:bookmarkStart w:id="31" w:name="event-participation"/>
    <w:p>
      <w:pPr>
        <w:pStyle w:val="Heading1"/>
      </w:pPr>
      <w:r>
        <w:t xml:space="preserve">10. Event Participation</w:t>
      </w:r>
    </w:p>
    <w:p>
      <w:pPr>
        <w:pStyle w:val="FirstParagraph"/>
      </w:pPr>
      <w:r>
        <w:t xml:space="preserve">Capabilities SHALL communicate exclusively through canonical events.</w:t>
      </w:r>
    </w:p>
    <w:p>
      <w:pPr>
        <w:pStyle w:val="BodyText"/>
      </w:pPr>
      <w:r>
        <w:t xml:space="preserve">Every Capability SHALL declare: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Optional Events</w:t>
      </w:r>
    </w:p>
    <w:p>
      <w:pPr>
        <w:pStyle w:val="BodyText"/>
      </w:pPr>
      <w:r>
        <w:t xml:space="preserve">Error Events</w:t>
      </w:r>
    </w:p>
    <w:p>
      <w:pPr>
        <w:pStyle w:val="BodyText"/>
      </w:pPr>
      <w:r>
        <w:t xml:space="preserve">Capabilities SHALL NOT directly coordinate business workflows.</w:t>
      </w:r>
    </w:p>
    <w:p>
      <w:pPr>
        <w:pStyle w:val="BodyText"/>
      </w:pPr>
      <w:r>
        <w:t xml:space="preserve">Workflow orchestration belongs to the Workflow Engine.</w:t>
      </w:r>
    </w:p>
    <w:p>
      <w:r>
        <w:pict>
          <v:rect style="width:0;height:1.5pt" o:hralign="center" o:hrstd="t" o:hr="t"/>
        </w:pict>
      </w:r>
    </w:p>
    <w:bookmarkEnd w:id="31"/>
    <w:bookmarkStart w:id="32" w:name="dependency-declaration"/>
    <w:p>
      <w:pPr>
        <w:pStyle w:val="Heading1"/>
      </w:pPr>
      <w:r>
        <w:t xml:space="preserve">11. Dependency Declaration</w:t>
      </w:r>
    </w:p>
    <w:p>
      <w:pPr>
        <w:pStyle w:val="FirstParagraph"/>
      </w:pPr>
      <w:r>
        <w:t xml:space="preserve">Capabilities SHALL explicitly declare dependencies.</w:t>
      </w:r>
    </w:p>
    <w:p>
      <w:pPr>
        <w:pStyle w:val="BodyText"/>
      </w:pPr>
      <w:r>
        <w:t xml:space="preserve">Dependencies may include:</w:t>
      </w:r>
    </w:p>
    <w:p>
      <w:pPr>
        <w:pStyle w:val="BodyText"/>
      </w:pPr>
      <w:r>
        <w:t xml:space="preserve">Other Capabilities</w:t>
      </w:r>
    </w:p>
    <w:p>
      <w:pPr>
        <w:pStyle w:val="BodyText"/>
      </w:pPr>
      <w:r>
        <w:t xml:space="preserve">Platform Services</w:t>
      </w:r>
    </w:p>
    <w:p>
      <w:pPr>
        <w:pStyle w:val="BodyText"/>
      </w:pPr>
      <w:r>
        <w:t xml:space="preserve">Knowledge Sources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External Connectors</w:t>
      </w:r>
    </w:p>
    <w:p>
      <w:pPr>
        <w:pStyle w:val="BodyText"/>
      </w:pPr>
      <w:r>
        <w:t xml:space="preserve">Hidden dependencies are prohibited.</w:t>
      </w:r>
    </w:p>
    <w:p>
      <w:r>
        <w:pict>
          <v:rect style="width:0;height:1.5pt" o:hralign="center" o:hrstd="t" o:hr="t"/>
        </w:pict>
      </w:r>
    </w:p>
    <w:bookmarkEnd w:id="32"/>
    <w:bookmarkStart w:id="33" w:name="capability-lifecycle"/>
    <w:p>
      <w:pPr>
        <w:pStyle w:val="Heading1"/>
      </w:pPr>
      <w:r>
        <w:t xml:space="preserve">12. Capability Lifecycle</w:t>
      </w:r>
    </w:p>
    <w:p>
      <w:pPr>
        <w:pStyle w:val="FirstParagraph"/>
      </w:pPr>
      <w:r>
        <w:t xml:space="preserve">Every Capability progresses through defined lifecycle states.</w:t>
      </w:r>
    </w:p>
    <w:p>
      <w:pPr>
        <w:pStyle w:val="BodyText"/>
      </w:pPr>
      <w:r>
        <w:t xml:space="preserve">Proposed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Experimental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Prototype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Deprecated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Lifecycle changes SHALL generate canonical events.</w:t>
      </w:r>
    </w:p>
    <w:p>
      <w:r>
        <w:pict>
          <v:rect style="width:0;height:1.5pt" o:hralign="center" o:hrstd="t" o:hr="t"/>
        </w:pict>
      </w:r>
    </w:p>
    <w:bookmarkEnd w:id="33"/>
    <w:bookmarkStart w:id="34" w:name="versioning"/>
    <w:p>
      <w:pPr>
        <w:pStyle w:val="Heading1"/>
      </w:pPr>
      <w:r>
        <w:t xml:space="preserve">13. Versioning</w:t>
      </w:r>
    </w:p>
    <w:p>
      <w:pPr>
        <w:pStyle w:val="FirstParagraph"/>
      </w:pPr>
      <w:r>
        <w:t xml:space="preserve">Capabilities follow semantic versioning principles.</w:t>
      </w:r>
    </w:p>
    <w:p>
      <w:pPr>
        <w:pStyle w:val="BodyText"/>
      </w:pPr>
      <w:r>
        <w:t xml:space="preserve">Major Versions</w:t>
      </w:r>
    </w:p>
    <w:p>
      <w:pPr>
        <w:pStyle w:val="BodyText"/>
      </w:pPr>
      <w:r>
        <w:t xml:space="preserve">Breaking business contract changes.</w:t>
      </w:r>
    </w:p>
    <w:p>
      <w:pPr>
        <w:pStyle w:val="BodyText"/>
      </w:pPr>
      <w:r>
        <w:t xml:space="preserve">Minor Versions</w:t>
      </w:r>
    </w:p>
    <w:p>
      <w:pPr>
        <w:pStyle w:val="BodyText"/>
      </w:pPr>
      <w:r>
        <w:t xml:space="preserve">Backward-compatible business enhancements.</w:t>
      </w:r>
    </w:p>
    <w:p>
      <w:pPr>
        <w:pStyle w:val="BodyText"/>
      </w:pPr>
      <w:r>
        <w:t xml:space="preserve">Patch Versions</w:t>
      </w:r>
    </w:p>
    <w:p>
      <w:pPr>
        <w:pStyle w:val="BodyText"/>
      </w:pPr>
      <w:r>
        <w:t xml:space="preserve">Operational improvements without contract changes.</w:t>
      </w:r>
    </w:p>
    <w:p>
      <w:pPr>
        <w:pStyle w:val="BodyText"/>
      </w:pPr>
      <w:r>
        <w:t xml:space="preserve">Historical versions remain discoverable.</w:t>
      </w:r>
    </w:p>
    <w:p>
      <w:r>
        <w:pict>
          <v:rect style="width:0;height:1.5pt" o:hralign="center" o:hrstd="t" o:hr="t"/>
        </w:pict>
      </w:r>
    </w:p>
    <w:bookmarkEnd w:id="34"/>
    <w:bookmarkStart w:id="35" w:name="discoverability"/>
    <w:p>
      <w:pPr>
        <w:pStyle w:val="Heading1"/>
      </w:pPr>
      <w:r>
        <w:t xml:space="preserve">14. Discoverability</w:t>
      </w:r>
    </w:p>
    <w:p>
      <w:pPr>
        <w:pStyle w:val="FirstParagraph"/>
      </w:pPr>
      <w:r>
        <w:t xml:space="preserve">Every Capability SHALL register with the Capability Registry.</w:t>
      </w:r>
    </w:p>
    <w:p>
      <w:pPr>
        <w:pStyle w:val="BodyText"/>
      </w:pPr>
      <w:r>
        <w:t xml:space="preserve">Registry information includes:</w:t>
      </w:r>
    </w:p>
    <w:p>
      <w:pPr>
        <w:pStyle w:val="BodyText"/>
      </w:pPr>
      <w:r>
        <w:t xml:space="preserve">Identifier</w:t>
      </w:r>
    </w:p>
    <w:p>
      <w:pPr>
        <w:pStyle w:val="BodyText"/>
      </w:pPr>
      <w:r>
        <w:t xml:space="preserve">Business Name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Supported Inputs</w:t>
      </w:r>
    </w:p>
    <w:p>
      <w:pPr>
        <w:pStyle w:val="BodyText"/>
      </w:pPr>
      <w:r>
        <w:t xml:space="preserve">Supported Outputs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Health Status</w:t>
      </w:r>
    </w:p>
    <w:p>
      <w:pPr>
        <w:pStyle w:val="BodyText"/>
      </w:pPr>
      <w:r>
        <w:t xml:space="preserve">Certification Status</w:t>
      </w:r>
    </w:p>
    <w:p>
      <w:pPr>
        <w:pStyle w:val="BodyText"/>
      </w:pPr>
      <w:r>
        <w:t xml:space="preserve">Operational State</w:t>
      </w:r>
    </w:p>
    <w:p>
      <w:pPr>
        <w:pStyle w:val="BodyText"/>
      </w:pPr>
      <w:r>
        <w:t xml:space="preserve">Applications and workflows SHALL discover capabilities through the registry.</w:t>
      </w:r>
    </w:p>
    <w:p>
      <w:r>
        <w:pict>
          <v:rect style="width:0;height:1.5pt" o:hralign="center" o:hrstd="t" o:hr="t"/>
        </w:pict>
      </w:r>
    </w:p>
    <w:bookmarkEnd w:id="35"/>
    <w:bookmarkStart w:id="36" w:name="configuration"/>
    <w:p>
      <w:pPr>
        <w:pStyle w:val="Heading1"/>
      </w:pPr>
      <w:r>
        <w:t xml:space="preserve">15. Configuration</w:t>
      </w:r>
    </w:p>
    <w:p>
      <w:pPr>
        <w:pStyle w:val="FirstParagraph"/>
      </w:pPr>
      <w:r>
        <w:t xml:space="preserve">Configuration SHALL remain external.</w:t>
      </w:r>
    </w:p>
    <w:p>
      <w:pPr>
        <w:pStyle w:val="BodyText"/>
      </w:pPr>
      <w:r>
        <w:t xml:space="preserve">Capabilities SHALL NOT embed environment-specific assumptions.</w:t>
      </w:r>
    </w:p>
    <w:p>
      <w:pPr>
        <w:pStyle w:val="BodyText"/>
      </w:pPr>
      <w:r>
        <w:t xml:space="preserve">Configuration categories include:</w:t>
      </w:r>
    </w:p>
    <w:p>
      <w:pPr>
        <w:pStyle w:val="BodyText"/>
      </w:pPr>
      <w:r>
        <w:t xml:space="preserve">Operational Parameters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AI Model Selection</w:t>
      </w:r>
    </w:p>
    <w:p>
      <w:pPr>
        <w:pStyle w:val="BodyText"/>
      </w:pPr>
      <w:r>
        <w:t xml:space="preserve">Resource Limits</w:t>
      </w:r>
    </w:p>
    <w:p>
      <w:pPr>
        <w:pStyle w:val="BodyText"/>
      </w:pPr>
      <w:r>
        <w:t xml:space="preserve">Security Policies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Configuration changes SHALL be governed.</w:t>
      </w:r>
    </w:p>
    <w:p>
      <w:r>
        <w:pict>
          <v:rect style="width:0;height:1.5pt" o:hralign="center" o:hrstd="t" o:hr="t"/>
        </w:pict>
      </w:r>
    </w:p>
    <w:bookmarkEnd w:id="36"/>
    <w:bookmarkStart w:id="37" w:name="health-readiness"/>
    <w:p>
      <w:pPr>
        <w:pStyle w:val="Heading1"/>
      </w:pPr>
      <w:r>
        <w:t xml:space="preserve">16. Health &amp; Readiness</w:t>
      </w:r>
    </w:p>
    <w:p>
      <w:pPr>
        <w:pStyle w:val="FirstParagraph"/>
      </w:pPr>
      <w:r>
        <w:t xml:space="preserve">Every Capability SHALL publish operational status.</w:t>
      </w:r>
    </w:p>
    <w:p>
      <w:pPr>
        <w:pStyle w:val="BodyText"/>
      </w:pPr>
      <w:r>
        <w:t xml:space="preserve">Required indicators include: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Readiness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Current State</w:t>
      </w:r>
    </w:p>
    <w:p>
      <w:pPr>
        <w:pStyle w:val="BodyText"/>
      </w:pPr>
      <w:r>
        <w:t xml:space="preserve">Resource Usage</w:t>
      </w:r>
    </w:p>
    <w:p>
      <w:pPr>
        <w:pStyle w:val="BodyText"/>
      </w:pPr>
      <w:r>
        <w:t xml:space="preserve">Dependency Health</w:t>
      </w:r>
    </w:p>
    <w:p>
      <w:pPr>
        <w:pStyle w:val="BodyText"/>
      </w:pPr>
      <w:r>
        <w:t xml:space="preserve">Supported Operations</w:t>
      </w:r>
    </w:p>
    <w:p>
      <w:pPr>
        <w:pStyle w:val="BodyText"/>
      </w:pPr>
      <w:r>
        <w:t xml:space="preserve">Health information supports automated orchestration.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ty"/>
    <w:p>
      <w:pPr>
        <w:pStyle w:val="Heading1"/>
      </w:pPr>
      <w:r>
        <w:t xml:space="preserve">17. Observability</w:t>
      </w:r>
    </w:p>
    <w:p>
      <w:pPr>
        <w:pStyle w:val="FirstParagraph"/>
      </w:pPr>
      <w:r>
        <w:t xml:space="preserve">Every Capability SHALL produce:</w:t>
      </w:r>
    </w:p>
    <w:p>
      <w:pPr>
        <w:pStyle w:val="BodyText"/>
      </w:pPr>
      <w:r>
        <w:t xml:space="preserve">Structured Logs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Distributed Traces</w:t>
      </w:r>
    </w:p>
    <w:p>
      <w:pPr>
        <w:pStyle w:val="BodyText"/>
      </w:pPr>
      <w:r>
        <w:t xml:space="preserve">Execution Events</w:t>
      </w:r>
    </w:p>
    <w:p>
      <w:pPr>
        <w:pStyle w:val="BodyText"/>
      </w:pPr>
      <w:r>
        <w:t xml:space="preserve">Audit Records</w:t>
      </w:r>
    </w:p>
    <w:p>
      <w:pPr>
        <w:pStyle w:val="BodyText"/>
      </w:pPr>
      <w:r>
        <w:t xml:space="preserve">Operational Statistics</w:t>
      </w:r>
    </w:p>
    <w:p>
      <w:pPr>
        <w:pStyle w:val="BodyText"/>
      </w:pPr>
      <w:r>
        <w:t xml:space="preserve">Observability SHALL be implementation independent.</w:t>
      </w:r>
    </w:p>
    <w:p>
      <w:r>
        <w:pict>
          <v:rect style="width:0;height:1.5pt" o:hralign="center" o:hrstd="t" o:hr="t"/>
        </w:pict>
      </w:r>
    </w:p>
    <w:bookmarkEnd w:id="38"/>
    <w:bookmarkStart w:id="39" w:name="error-handling"/>
    <w:p>
      <w:pPr>
        <w:pStyle w:val="Heading1"/>
      </w:pPr>
      <w:r>
        <w:t xml:space="preserve">18. Error Handling</w:t>
      </w:r>
    </w:p>
    <w:p>
      <w:pPr>
        <w:pStyle w:val="FirstParagraph"/>
      </w:pPr>
      <w:r>
        <w:t xml:space="preserve">Capabilities SHALL classify failures.</w:t>
      </w:r>
    </w:p>
    <w:p>
      <w:pPr>
        <w:pStyle w:val="BodyText"/>
      </w:pPr>
      <w:r>
        <w:t xml:space="preserve">Recoverable</w:t>
      </w:r>
    </w:p>
    <w:p>
      <w:pPr>
        <w:pStyle w:val="BodyText"/>
      </w:pPr>
      <w:r>
        <w:t xml:space="preserve">Transient</w:t>
      </w:r>
    </w:p>
    <w:p>
      <w:pPr>
        <w:pStyle w:val="BodyText"/>
      </w:pPr>
      <w:r>
        <w:t xml:space="preserve">Permanent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Policy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Failures SHALL produce canonical error events.</w:t>
      </w:r>
    </w:p>
    <w:p>
      <w:pPr>
        <w:pStyle w:val="BodyText"/>
      </w:pPr>
      <w:r>
        <w:t xml:space="preserve">Business failures SHALL remain distinguishable from infrastructure failures.</w:t>
      </w:r>
    </w:p>
    <w:p>
      <w:r>
        <w:pict>
          <v:rect style="width:0;height:1.5pt" o:hralign="center" o:hrstd="t" o:hr="t"/>
        </w:pict>
      </w:r>
    </w:p>
    <w:bookmarkEnd w:id="39"/>
    <w:bookmarkStart w:id="40" w:name="quality-metrics"/>
    <w:p>
      <w:pPr>
        <w:pStyle w:val="Heading1"/>
      </w:pPr>
      <w:r>
        <w:t xml:space="preserve">19. Quality Metrics</w:t>
      </w:r>
    </w:p>
    <w:p>
      <w:pPr>
        <w:pStyle w:val="FirstParagraph"/>
      </w:pPr>
      <w:r>
        <w:t xml:space="preserve">Capabilities SHALL report measurable quality.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Throughput</w:t>
      </w:r>
    </w:p>
    <w:p>
      <w:pPr>
        <w:pStyle w:val="BodyText"/>
      </w:pPr>
      <w:r>
        <w:t xml:space="preserve">Success Rate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Resource Consumption</w:t>
      </w:r>
    </w:p>
    <w:p>
      <w:pPr>
        <w:pStyle w:val="BodyText"/>
      </w:pPr>
      <w:r>
        <w:t xml:space="preserve">Human Approval Rate</w:t>
      </w:r>
    </w:p>
    <w:p>
      <w:pPr>
        <w:pStyle w:val="BodyText"/>
      </w:pPr>
      <w:r>
        <w:t xml:space="preserve">Quality metrics SHALL be historically retained.</w:t>
      </w:r>
    </w:p>
    <w:p>
      <w:r>
        <w:pict>
          <v:rect style="width:0;height:1.5pt" o:hralign="center" o:hrstd="t" o:hr="t"/>
        </w:pict>
      </w:r>
    </w:p>
    <w:bookmarkEnd w:id="40"/>
    <w:bookmarkStart w:id="41" w:name="governance"/>
    <w:p>
      <w:pPr>
        <w:pStyle w:val="Heading1"/>
      </w:pPr>
      <w:r>
        <w:t xml:space="preserve">20. Governance</w:t>
      </w:r>
    </w:p>
    <w:p>
      <w:pPr>
        <w:pStyle w:val="FirstParagraph"/>
      </w:pPr>
      <w:r>
        <w:t xml:space="preserve">Every Capability SHALL participate in governance.</w:t>
      </w:r>
    </w:p>
    <w:p>
      <w:pPr>
        <w:pStyle w:val="BodyText"/>
      </w:pPr>
      <w:r>
        <w:t xml:space="preserve">Governance records include: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Operational History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Approval Records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Governance establishes institutional trust.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"/>
    <w:p>
      <w:pPr>
        <w:pStyle w:val="Heading1"/>
      </w:pPr>
      <w:r>
        <w:t xml:space="preserve">21. Security</w:t>
      </w:r>
    </w:p>
    <w:p>
      <w:pPr>
        <w:pStyle w:val="FirstParagraph"/>
      </w:pPr>
      <w:r>
        <w:t xml:space="preserve">Capabilities SHALL operate according to platform security policies.</w:t>
      </w:r>
    </w:p>
    <w:p>
      <w:pPr>
        <w:pStyle w:val="BodyText"/>
      </w:pPr>
      <w:r>
        <w:t xml:space="preserve">Capabilities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Security SHALL remain external to business logic where practical.</w:t>
      </w:r>
    </w:p>
    <w:p>
      <w:r>
        <w:pict>
          <v:rect style="width:0;height:1.5pt" o:hralign="center" o:hrstd="t" o:hr="t"/>
        </w:pict>
      </w:r>
    </w:p>
    <w:bookmarkEnd w:id="42"/>
    <w:bookmarkStart w:id="43" w:name="ai-independence"/>
    <w:p>
      <w:pPr>
        <w:pStyle w:val="Heading1"/>
      </w:pPr>
      <w:r>
        <w:t xml:space="preserve">22. AI Independence</w:t>
      </w:r>
    </w:p>
    <w:p>
      <w:pPr>
        <w:pStyle w:val="FirstParagraph"/>
      </w:pPr>
      <w:r>
        <w:t xml:space="preserve">Capabilities SHALL describe business functions rather than AI implementations.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Implementation Options</w:t>
      </w:r>
    </w:p>
    <w:p>
      <w:pPr>
        <w:pStyle w:val="BodyText"/>
      </w:pPr>
      <w:r>
        <w:t xml:space="preserve">Local Model</w:t>
      </w:r>
    </w:p>
    <w:p>
      <w:pPr>
        <w:pStyle w:val="BodyText"/>
      </w:pPr>
      <w:r>
        <w:t xml:space="preserve">Cloud Model</w:t>
      </w:r>
    </w:p>
    <w:p>
      <w:pPr>
        <w:pStyle w:val="BodyText"/>
      </w:pPr>
      <w:r>
        <w:t xml:space="preserve">Hybrid Model</w:t>
      </w:r>
    </w:p>
    <w:p>
      <w:pPr>
        <w:pStyle w:val="BodyText"/>
      </w:pPr>
      <w:r>
        <w:t xml:space="preserve">Future Technologies</w:t>
      </w:r>
    </w:p>
    <w:p>
      <w:pPr>
        <w:pStyle w:val="BodyText"/>
      </w:pPr>
      <w:r>
        <w:t xml:space="preserve">Business contracts remain unchanged regardless of implementation.</w:t>
      </w:r>
    </w:p>
    <w:p>
      <w:r>
        <w:pict>
          <v:rect style="width:0;height:1.5pt" o:hralign="center" o:hrstd="t" o:hr="t"/>
        </w:pict>
      </w:r>
    </w:p>
    <w:bookmarkEnd w:id="43"/>
    <w:bookmarkStart w:id="44" w:name="certification"/>
    <w:p>
      <w:pPr>
        <w:pStyle w:val="Heading1"/>
      </w:pPr>
      <w:r>
        <w:t xml:space="preserve">23. Certification</w:t>
      </w:r>
    </w:p>
    <w:p>
      <w:pPr>
        <w:pStyle w:val="FirstParagraph"/>
      </w:pPr>
      <w:r>
        <w:t xml:space="preserve">Capabilities progress through certification levels.</w:t>
      </w:r>
    </w:p>
    <w:p>
      <w:pPr>
        <w:pStyle w:val="BodyText"/>
      </w:pPr>
      <w:r>
        <w:t xml:space="preserve">Experimental</w:t>
      </w:r>
    </w:p>
    <w:p>
      <w:pPr>
        <w:pStyle w:val="BodyText"/>
      </w:pPr>
      <w:r>
        <w:t xml:space="preserve">Internal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Certification evaluates:</w:t>
      </w:r>
    </w:p>
    <w:p>
      <w:pPr>
        <w:pStyle w:val="BodyText"/>
      </w:pPr>
      <w:r>
        <w:t xml:space="preserve">Correctness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Operational Readiness</w:t>
      </w:r>
    </w:p>
    <w:p>
      <w:pPr>
        <w:pStyle w:val="BodyText"/>
      </w:pPr>
      <w:r>
        <w:t xml:space="preserve">Certified capabilities become reusable organizational assets.</w:t>
      </w:r>
    </w:p>
    <w:p>
      <w:r>
        <w:pict>
          <v:rect style="width:0;height:1.5pt" o:hralign="center" o:hrstd="t" o:hr="t"/>
        </w:pict>
      </w:r>
    </w:p>
    <w:bookmarkEnd w:id="44"/>
    <w:bookmarkStart w:id="45" w:name="capability-composition"/>
    <w:p>
      <w:pPr>
        <w:pStyle w:val="Heading1"/>
      </w:pPr>
      <w:r>
        <w:t xml:space="preserve">24. Capability Composition</w:t>
      </w:r>
    </w:p>
    <w:p>
      <w:pPr>
        <w:pStyle w:val="FirstParagraph"/>
      </w:pPr>
      <w:r>
        <w:t xml:space="preserve">Capabilities are intentionally small.</w:t>
      </w:r>
    </w:p>
    <w:p>
      <w:pPr>
        <w:pStyle w:val="BodyText"/>
      </w:pPr>
      <w:r>
        <w:t xml:space="preserve">Complex business behavior emerges through composition.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Lecture Processing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Expansion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Preservation</w:t>
      </w:r>
    </w:p>
    <w:p>
      <w:pPr>
        <w:pStyle w:val="BodyText"/>
      </w:pPr>
      <w:r>
        <w:t xml:space="preserve">No Capability SHALL own the complete business process.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previous-specifications"/>
    <w:p>
      <w:pPr>
        <w:pStyle w:val="Heading1"/>
      </w:pPr>
      <w:r>
        <w:t xml:space="preserve">25. Relationship to Previous Specifications</w:t>
      </w:r>
    </w:p>
    <w:p>
      <w:pPr>
        <w:pStyle w:val="FirstParagraph"/>
      </w:pPr>
      <w:r>
        <w:t xml:space="preserve">KMOS-0100 defines Canonical Objects.</w:t>
      </w:r>
    </w:p>
    <w:p>
      <w:pPr>
        <w:pStyle w:val="BodyText"/>
      </w:pPr>
      <w:r>
        <w:t xml:space="preserve">KMOS-0110 defines Canonical Events.</w:t>
      </w:r>
    </w:p>
    <w:p>
      <w:pPr>
        <w:pStyle w:val="BodyText"/>
      </w:pPr>
      <w:r>
        <w:t xml:space="preserve">KMOS-0120 defines executable business functions operating on those objects and events.</w:t>
      </w:r>
    </w:p>
    <w:p>
      <w:pPr>
        <w:pStyle w:val="BodyText"/>
      </w:pPr>
      <w:r>
        <w:t xml:space="preserve">Together they establish the universal execution model of KMOS.</w:t>
      </w:r>
    </w:p>
    <w:p>
      <w:r>
        <w:pict>
          <v:rect style="width:0;height:1.5pt" o:hralign="center" o:hrstd="t" o:hr="t"/>
        </w:pict>
      </w:r>
    </w:p>
    <w:bookmarkEnd w:id="46"/>
    <w:bookmarkStart w:id="47" w:name="capability-registry"/>
    <w:p>
      <w:pPr>
        <w:pStyle w:val="Heading1"/>
      </w:pPr>
      <w:r>
        <w:t xml:space="preserve">26. Capability Registry</w:t>
      </w:r>
    </w:p>
    <w:p>
      <w:pPr>
        <w:pStyle w:val="FirstParagraph"/>
      </w:pPr>
      <w:r>
        <w:t xml:space="preserve">The Capability Registry SHALL serve as the authoritative catalog of platform functionality.</w:t>
      </w:r>
    </w:p>
    <w:p>
      <w:pPr>
        <w:pStyle w:val="BodyText"/>
      </w:pPr>
      <w:r>
        <w:t xml:space="preserve">It SHALL support: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Version Tracking</w:t>
      </w:r>
    </w:p>
    <w:p>
      <w:pPr>
        <w:pStyle w:val="BodyText"/>
      </w:pPr>
      <w:r>
        <w:t xml:space="preserve">Lifecycle Management</w:t>
      </w:r>
    </w:p>
    <w:p>
      <w:pPr>
        <w:pStyle w:val="BodyText"/>
      </w:pPr>
      <w:r>
        <w:t xml:space="preserve">Dependency Analysis</w:t>
      </w:r>
    </w:p>
    <w:p>
      <w:pPr>
        <w:pStyle w:val="BodyText"/>
      </w:pPr>
      <w:r>
        <w:t xml:space="preserve">Compatibility Verification</w:t>
      </w:r>
    </w:p>
    <w:p>
      <w:pPr>
        <w:pStyle w:val="BodyText"/>
      </w:pPr>
      <w:r>
        <w:t xml:space="preserve">Operational Health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The registry becomes the organizational inventory of business capabilities.</w:t>
      </w:r>
    </w:p>
    <w:p>
      <w:r>
        <w:pict>
          <v:rect style="width:0;height:1.5pt" o:hralign="center" o:hrstd="t" o:hr="t"/>
        </w:pict>
      </w:r>
    </w:p>
    <w:bookmarkEnd w:id="47"/>
    <w:bookmarkStart w:id="48" w:name="architectural-consequences"/>
    <w:p>
      <w:pPr>
        <w:pStyle w:val="Heading1"/>
      </w:pPr>
      <w:r>
        <w:t xml:space="preserve">27. Architectural Consequences</w:t>
      </w:r>
    </w:p>
    <w:p>
      <w:pPr>
        <w:pStyle w:val="FirstParagraph"/>
      </w:pPr>
      <w:r>
        <w:t xml:space="preserve">Because every business function is represented as a Capability:</w:t>
      </w:r>
    </w:p>
    <w:p>
      <w:pPr>
        <w:pStyle w:val="BodyText"/>
      </w:pPr>
      <w:r>
        <w:t xml:space="preserve">Applications become lightweight compositions.</w:t>
      </w:r>
    </w:p>
    <w:p>
      <w:pPr>
        <w:pStyle w:val="BodyText"/>
      </w:pPr>
      <w:r>
        <w:t xml:space="preserve">Workflows become declarative.</w:t>
      </w:r>
    </w:p>
    <w:p>
      <w:pPr>
        <w:pStyle w:val="BodyText"/>
      </w:pPr>
      <w:r>
        <w:t xml:space="preserve">Implementations become replaceable.</w:t>
      </w:r>
    </w:p>
    <w:p>
      <w:pPr>
        <w:pStyle w:val="BodyText"/>
      </w:pPr>
      <w:r>
        <w:t xml:space="preserve">AI technologies become interchangeable.</w:t>
      </w:r>
    </w:p>
    <w:p>
      <w:pPr>
        <w:pStyle w:val="BodyText"/>
      </w:pPr>
      <w:r>
        <w:t xml:space="preserve">Knowledge remains central.</w:t>
      </w:r>
    </w:p>
    <w:p>
      <w:pPr>
        <w:pStyle w:val="BodyText"/>
      </w:pPr>
      <w:r>
        <w:t xml:space="preserve">Business logic becomes reusable.</w:t>
      </w:r>
    </w:p>
    <w:p>
      <w:pPr>
        <w:pStyle w:val="BodyText"/>
      </w:pPr>
      <w:r>
        <w:t xml:space="preserve">Operational governance becomes consistent.</w:t>
      </w:r>
    </w:p>
    <w:p>
      <w:pPr>
        <w:pStyle w:val="BodyText"/>
      </w:pPr>
      <w:r>
        <w:t xml:space="preserve">The platform evolves by adding Capabilities rather than rewriting Applications.</w:t>
      </w:r>
    </w:p>
    <w:p>
      <w:r>
        <w:pict>
          <v:rect style="width:0;height:1.5pt" o:hralign="center" o:hrstd="t" o:hr="t"/>
        </w:pict>
      </w:r>
    </w:p>
    <w:bookmarkEnd w:id="48"/>
    <w:bookmarkStart w:id="49" w:name="future-capability-specifications"/>
    <w:p>
      <w:pPr>
        <w:pStyle w:val="Heading1"/>
      </w:pPr>
      <w:r>
        <w:t xml:space="preserve">28. Future Capability Specifications</w:t>
      </w:r>
    </w:p>
    <w:p>
      <w:pPr>
        <w:pStyle w:val="FirstParagraph"/>
      </w:pPr>
      <w:r>
        <w:t xml:space="preserve">This specification defines the Capability Standard.</w:t>
      </w:r>
    </w:p>
    <w:p>
      <w:pPr>
        <w:pStyle w:val="BodyText"/>
      </w:pPr>
      <w:r>
        <w:t xml:space="preserve">Future specifications SHALL define capability families.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KMOS-1210 Language Capabilities</w:t>
      </w:r>
    </w:p>
    <w:p>
      <w:pPr>
        <w:pStyle w:val="BodyText"/>
      </w:pPr>
      <w:r>
        <w:t xml:space="preserve">KMOS-1220 Knowledge Capabilities</w:t>
      </w:r>
    </w:p>
    <w:p>
      <w:pPr>
        <w:pStyle w:val="BodyText"/>
      </w:pPr>
      <w:r>
        <w:t xml:space="preserve">KMOS-1230 Media Capabilities</w:t>
      </w:r>
    </w:p>
    <w:p>
      <w:pPr>
        <w:pStyle w:val="BodyText"/>
      </w:pPr>
      <w:r>
        <w:t xml:space="preserve">KMOS-1240 Publishing Capabilities</w:t>
      </w:r>
    </w:p>
    <w:p>
      <w:pPr>
        <w:pStyle w:val="BodyText"/>
      </w:pPr>
      <w:r>
        <w:t xml:space="preserve">KMOS-1250 Governance Capabilities</w:t>
      </w:r>
    </w:p>
    <w:p>
      <w:pPr>
        <w:pStyle w:val="BodyText"/>
      </w:pPr>
      <w:r>
        <w:t xml:space="preserve">KMOS-1260 Search Capabilities</w:t>
      </w:r>
    </w:p>
    <w:p>
      <w:pPr>
        <w:pStyle w:val="BodyText"/>
      </w:pPr>
      <w:r>
        <w:t xml:space="preserve">KMOS-1270 Platform Capabilities</w:t>
      </w:r>
    </w:p>
    <w:p>
      <w:pPr>
        <w:pStyle w:val="BodyText"/>
      </w:pPr>
      <w:r>
        <w:t xml:space="preserve">KMOS-1280 AI Collaboration Capabilities</w:t>
      </w:r>
    </w:p>
    <w:p>
      <w:pPr>
        <w:pStyle w:val="BodyText"/>
      </w:pPr>
      <w:r>
        <w:t xml:space="preserve">Each family SHALL define standardized contracts, inputs, outputs, quality metrics, certification requirements, and interoperability rules.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-capability-example"/>
    <w:p>
      <w:pPr>
        <w:pStyle w:val="Heading1"/>
      </w:pPr>
      <w:r>
        <w:t xml:space="preserve">29. Reference Capability Example</w:t>
      </w:r>
    </w:p>
    <w:p>
      <w:pPr>
        <w:pStyle w:val="FirstParagraph"/>
      </w:pPr>
      <w:r>
        <w:t xml:space="preserve">Capability Name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Improve transcript accuracy using institutional vocabulary and editorial standards.</w:t>
      </w:r>
    </w:p>
    <w:p>
      <w:pPr>
        <w:pStyle w:val="BodyText"/>
      </w:pPr>
      <w:r>
        <w:t xml:space="preserve">Consumes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VocabularyUpdated</w:t>
      </w:r>
    </w:p>
    <w:p>
      <w:pPr>
        <w:pStyle w:val="BodyText"/>
      </w:pPr>
      <w:r>
        <w:t xml:space="preserve">EditorialRulesChanged</w:t>
      </w:r>
    </w:p>
    <w:p>
      <w:pPr>
        <w:pStyle w:val="BodyText"/>
      </w:pPr>
      <w:r>
        <w:t xml:space="preserve">Produces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Registers</w:t>
      </w:r>
    </w:p>
    <w:p>
      <w:pPr>
        <w:pStyle w:val="BodyText"/>
      </w:pPr>
      <w:r>
        <w:t xml:space="preserve">Corrected Transcript Asset</w:t>
      </w:r>
    </w:p>
    <w:p>
      <w:pPr>
        <w:pStyle w:val="BodyText"/>
      </w:pPr>
      <w:r>
        <w:t xml:space="preserve">Updated Lineage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The business contract remains stable regardless of whether implementation uses rule-based systems, AI models, or future technologies.</w:t>
      </w:r>
    </w:p>
    <w:p>
      <w:r>
        <w:pict>
          <v:rect style="width:0;height:1.5pt" o:hralign="center" o:hrstd="t" o:hr="t"/>
        </w:pict>
      </w:r>
    </w:p>
    <w:bookmarkEnd w:id="50"/>
    <w:bookmarkStart w:id="51" w:name="next-specification"/>
    <w:p>
      <w:pPr>
        <w:pStyle w:val="Heading1"/>
      </w:pPr>
      <w:r>
        <w:t xml:space="preserve">30. Next Specification</w:t>
      </w:r>
    </w:p>
    <w:p>
      <w:pPr>
        <w:pStyle w:val="FirstParagraph"/>
      </w:pPr>
      <w:r>
        <w:t xml:space="preserve">KMOS-0130 defines the</w:t>
      </w:r>
      <w:r>
        <w:t xml:space="preserve"> </w:t>
      </w:r>
      <w:r>
        <w:rPr>
          <w:b/>
          <w:bCs/>
        </w:rPr>
        <w:t xml:space="preserve">Knowledge Object Schema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KMOS-0100 defines the canonical business language,</w:t>
      </w:r>
    </w:p>
    <w:p>
      <w:pPr>
        <w:pStyle w:val="Compact"/>
        <w:numPr>
          <w:ilvl w:val="0"/>
          <w:numId w:val="1002"/>
        </w:numPr>
      </w:pPr>
      <w:r>
        <w:t xml:space="preserve">KMOS-0110 defines canonical business communication,</w:t>
      </w:r>
    </w:p>
    <w:p>
      <w:pPr>
        <w:pStyle w:val="Compact"/>
        <w:numPr>
          <w:ilvl w:val="0"/>
          <w:numId w:val="1002"/>
        </w:numPr>
      </w:pPr>
      <w:r>
        <w:t xml:space="preserve">KMOS-0120 defines canonical business execution,</w:t>
      </w:r>
    </w:p>
    <w:p>
      <w:pPr>
        <w:pStyle w:val="FirstParagraph"/>
      </w:pPr>
      <w:r>
        <w:t xml:space="preserve">then KMOS-0130 defines the formal structure of the Knowledge Objects that represent the organization’s institutional memory.</w:t>
      </w:r>
    </w:p>
    <w:p>
      <w:pPr>
        <w:pStyle w:val="BodyText"/>
      </w:pPr>
      <w:r>
        <w:t xml:space="preserve">Together these specifications establish the semantic, communication, and execution foundations upon which every future KMOS implementation SHALL be built.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2026-06-30T08:59:53Z</dcterms:created>
  <dcterms:modified xsi:type="dcterms:W3CDTF">2026-06-30T08:59:53Z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