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kmos-0150"/>
    <w:p>
      <w:pPr>
        <w:pStyle w:val="Heading1"/>
      </w:pPr>
      <w:r>
        <w:t xml:space="preserve">KMOS-0150</w:t>
      </w:r>
    </w:p>
    <w:bookmarkEnd w:id="20"/>
    <w:bookmarkStart w:id="21" w:name="workflow-definition-language-wdl"/>
    <w:p>
      <w:pPr>
        <w:pStyle w:val="Heading1"/>
      </w:pPr>
      <w:r>
        <w:t xml:space="preserve">Workflow Definition Language (WDL)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Draft</w:t>
      </w:r>
    </w:p>
    <w:p>
      <w:r>
        <w:pict>
          <v:rect style="width:0;height:1.5pt" o:hralign="center" o:hrstd="t" o:hr="t"/>
        </w:pict>
      </w:r>
    </w:p>
    <w:bookmarkEnd w:id="21"/>
    <w:bookmarkStart w:id="22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specification defines the Workflow Definition Language (WDL) for the Knowledge &amp; Media Operating System (KMOS).</w:t>
      </w:r>
    </w:p>
    <w:p>
      <w:pPr>
        <w:pStyle w:val="BodyText"/>
      </w:pPr>
      <w:r>
        <w:t xml:space="preserve">The Workflow Definition Language is the canonical language used to describe business workflows within KMOS.</w:t>
      </w:r>
    </w:p>
    <w:p>
      <w:pPr>
        <w:pStyle w:val="BodyText"/>
      </w:pPr>
      <w:r>
        <w:t xml:space="preserve">Workflows coordinate business execution.</w:t>
      </w:r>
    </w:p>
    <w:p>
      <w:pPr>
        <w:pStyle w:val="BodyText"/>
      </w:pPr>
      <w:r>
        <w:t xml:space="preserve">Workflows do not contain business logic.</w:t>
      </w:r>
    </w:p>
    <w:p>
      <w:pPr>
        <w:pStyle w:val="BodyText"/>
      </w:pPr>
      <w:r>
        <w:t xml:space="preserve">Business logic resides exclusively within Capabilities.</w:t>
      </w:r>
    </w:p>
    <w:p>
      <w:pPr>
        <w:pStyle w:val="BodyText"/>
      </w:pPr>
      <w:r>
        <w:t xml:space="preserve">The Workflow Definition Language describes:</w:t>
      </w:r>
    </w:p>
    <w:p>
      <w:pPr>
        <w:pStyle w:val="Compact"/>
        <w:numPr>
          <w:ilvl w:val="0"/>
          <w:numId w:val="1001"/>
        </w:numPr>
      </w:pPr>
      <w:r>
        <w:t xml:space="preserve">sequencing</w:t>
      </w:r>
    </w:p>
    <w:p>
      <w:pPr>
        <w:pStyle w:val="Compact"/>
        <w:numPr>
          <w:ilvl w:val="0"/>
          <w:numId w:val="1001"/>
        </w:numPr>
      </w:pPr>
      <w:r>
        <w:t xml:space="preserve">orchestration</w:t>
      </w:r>
    </w:p>
    <w:p>
      <w:pPr>
        <w:pStyle w:val="Compact"/>
        <w:numPr>
          <w:ilvl w:val="0"/>
          <w:numId w:val="1001"/>
        </w:numPr>
      </w:pPr>
      <w:r>
        <w:t xml:space="preserve">dependencies</w:t>
      </w:r>
    </w:p>
    <w:p>
      <w:pPr>
        <w:pStyle w:val="Compact"/>
        <w:numPr>
          <w:ilvl w:val="0"/>
          <w:numId w:val="1001"/>
        </w:numPr>
      </w:pPr>
      <w:r>
        <w:t xml:space="preserve">policies</w:t>
      </w:r>
    </w:p>
    <w:p>
      <w:pPr>
        <w:pStyle w:val="Compact"/>
        <w:numPr>
          <w:ilvl w:val="0"/>
          <w:numId w:val="1001"/>
        </w:numPr>
      </w:pPr>
      <w:r>
        <w:t xml:space="preserve">approvals</w:t>
      </w:r>
    </w:p>
    <w:p>
      <w:pPr>
        <w:pStyle w:val="Compact"/>
        <w:numPr>
          <w:ilvl w:val="0"/>
          <w:numId w:val="1001"/>
        </w:numPr>
      </w:pPr>
      <w:r>
        <w:t xml:space="preserve">state transitions</w:t>
      </w:r>
    </w:p>
    <w:p>
      <w:pPr>
        <w:pStyle w:val="Compact"/>
        <w:numPr>
          <w:ilvl w:val="0"/>
          <w:numId w:val="1001"/>
        </w:numPr>
      </w:pPr>
      <w:r>
        <w:t xml:space="preserve">event subscriptions</w:t>
      </w:r>
    </w:p>
    <w:p>
      <w:pPr>
        <w:pStyle w:val="Compact"/>
        <w:numPr>
          <w:ilvl w:val="0"/>
          <w:numId w:val="1001"/>
        </w:numPr>
      </w:pPr>
      <w:r>
        <w:t xml:space="preserve">execution constraints</w:t>
      </w:r>
    </w:p>
    <w:p>
      <w:pPr>
        <w:pStyle w:val="FirstParagraph"/>
      </w:pPr>
      <w:r>
        <w:t xml:space="preserve">The language remains implementation independent.</w:t>
      </w:r>
    </w:p>
    <w:p>
      <w:r>
        <w:pict>
          <v:rect style="width:0;height:1.5pt" o:hralign="center" o:hrstd="t" o:hr="t"/>
        </w:pict>
      </w:r>
    </w:p>
    <w:bookmarkEnd w:id="22"/>
    <w:bookmarkStart w:id="23" w:name="scope"/>
    <w:p>
      <w:pPr>
        <w:pStyle w:val="Heading1"/>
      </w:pPr>
      <w:r>
        <w:t xml:space="preserve">2. Scope</w:t>
      </w:r>
    </w:p>
    <w:p>
      <w:pPr>
        <w:pStyle w:val="FirstParagraph"/>
      </w:pPr>
      <w:r>
        <w:t xml:space="preserve">This specification defines:</w:t>
      </w:r>
    </w:p>
    <w:p>
      <w:pPr>
        <w:pStyle w:val="BodyText"/>
      </w:pPr>
      <w:r>
        <w:t xml:space="preserve">Workflow Structure</w:t>
      </w:r>
    </w:p>
    <w:p>
      <w:pPr>
        <w:pStyle w:val="BodyText"/>
      </w:pPr>
      <w:r>
        <w:t xml:space="preserve">Workflow Grammar</w:t>
      </w:r>
    </w:p>
    <w:p>
      <w:pPr>
        <w:pStyle w:val="BodyText"/>
      </w:pPr>
      <w:r>
        <w:t xml:space="preserve">Execution Model</w:t>
      </w:r>
    </w:p>
    <w:p>
      <w:pPr>
        <w:pStyle w:val="BodyText"/>
      </w:pPr>
      <w:r>
        <w:t xml:space="preserve">Dependency Rules</w:t>
      </w:r>
    </w:p>
    <w:p>
      <w:pPr>
        <w:pStyle w:val="BodyText"/>
      </w:pPr>
      <w:r>
        <w:t xml:space="preserve">State Model</w:t>
      </w:r>
    </w:p>
    <w:p>
      <w:pPr>
        <w:pStyle w:val="BodyText"/>
      </w:pPr>
      <w:r>
        <w:t xml:space="preserve">Human Interaction</w:t>
      </w:r>
    </w:p>
    <w:p>
      <w:pPr>
        <w:pStyle w:val="BodyText"/>
      </w:pPr>
      <w:r>
        <w:t xml:space="preserve">Event Participation</w:t>
      </w:r>
    </w:p>
    <w:p>
      <w:pPr>
        <w:pStyle w:val="BodyText"/>
      </w:pPr>
      <w:r>
        <w:t xml:space="preserve">Policy Integration</w:t>
      </w:r>
    </w:p>
    <w:p>
      <w:pPr>
        <w:pStyle w:val="BodyText"/>
      </w:pPr>
      <w:r>
        <w:t xml:space="preserve">Versioning</w:t>
      </w:r>
    </w:p>
    <w:p>
      <w:pPr>
        <w:pStyle w:val="BodyText"/>
      </w:pPr>
      <w:r>
        <w:t xml:space="preserve">Validation</w:t>
      </w:r>
    </w:p>
    <w:p>
      <w:pPr>
        <w:pStyle w:val="BodyText"/>
      </w:pPr>
      <w:r>
        <w:t xml:space="preserve">Conformance</w:t>
      </w:r>
    </w:p>
    <w:p>
      <w:pPr>
        <w:pStyle w:val="BodyText"/>
      </w:pPr>
      <w:r>
        <w:t xml:space="preserve">This specification does not prescribe workflow engines or orchestration technologies.</w:t>
      </w:r>
    </w:p>
    <w:p>
      <w:r>
        <w:pict>
          <v:rect style="width:0;height:1.5pt" o:hralign="center" o:hrstd="t" o:hr="t"/>
        </w:pict>
      </w:r>
    </w:p>
    <w:bookmarkEnd w:id="23"/>
    <w:bookmarkStart w:id="24" w:name="workflow-philosophy"/>
    <w:p>
      <w:pPr>
        <w:pStyle w:val="Heading1"/>
      </w:pPr>
      <w:r>
        <w:t xml:space="preserve">3. Workflow Philosophy</w:t>
      </w:r>
    </w:p>
    <w:p>
      <w:pPr>
        <w:pStyle w:val="FirstParagraph"/>
      </w:pPr>
      <w:r>
        <w:t xml:space="preserve">A workflow describes</w:t>
      </w:r>
      <w:r>
        <w:t xml:space="preserve"> </w:t>
      </w:r>
      <w:r>
        <w:rPr>
          <w:b/>
          <w:bCs/>
        </w:rPr>
        <w:t xml:space="preserve">coordination</w:t>
      </w:r>
      <w:r>
        <w:t xml:space="preserve">, not computation.</w:t>
      </w:r>
    </w:p>
    <w:p>
      <w:pPr>
        <w:pStyle w:val="BodyText"/>
      </w:pPr>
      <w:r>
        <w:t xml:space="preserve">Capabilities perform work.</w:t>
      </w:r>
    </w:p>
    <w:p>
      <w:pPr>
        <w:pStyle w:val="BodyText"/>
      </w:pPr>
      <w:r>
        <w:t xml:space="preserve">Events communicate facts.</w:t>
      </w:r>
    </w:p>
    <w:p>
      <w:pPr>
        <w:pStyle w:val="BodyText"/>
      </w:pPr>
      <w:r>
        <w:t xml:space="preserve">Policies define constraints.</w:t>
      </w:r>
    </w:p>
    <w:p>
      <w:pPr>
        <w:pStyle w:val="BodyText"/>
      </w:pPr>
      <w:r>
        <w:t xml:space="preserve">The Workflow Engine coordinates execution using workflow definitions.</w:t>
      </w:r>
    </w:p>
    <w:p>
      <w:pPr>
        <w:pStyle w:val="BodyText"/>
      </w:pPr>
      <w:r>
        <w:t xml:space="preserve">A workflow SHALL never duplicate business rules already owned by a domain.</w:t>
      </w:r>
    </w:p>
    <w:p>
      <w:r>
        <w:pict>
          <v:rect style="width:0;height:1.5pt" o:hralign="center" o:hrstd="t" o:hr="t"/>
        </w:pict>
      </w:r>
    </w:p>
    <w:bookmarkEnd w:id="24"/>
    <w:bookmarkStart w:id="25" w:name="design-principles"/>
    <w:p>
      <w:pPr>
        <w:pStyle w:val="Heading1"/>
      </w:pPr>
      <w:r>
        <w:t xml:space="preserve">4. Design Principles</w:t>
      </w:r>
    </w:p>
    <w:p>
      <w:pPr>
        <w:pStyle w:val="FirstParagraph"/>
      </w:pPr>
      <w:r>
        <w:t xml:space="preserve">Every workflow SHALL be:</w:t>
      </w:r>
    </w:p>
    <w:p>
      <w:pPr>
        <w:pStyle w:val="BodyText"/>
      </w:pPr>
      <w:r>
        <w:t xml:space="preserve">Declarative</w:t>
      </w:r>
    </w:p>
    <w:p>
      <w:pPr>
        <w:pStyle w:val="BodyText"/>
      </w:pPr>
      <w:r>
        <w:t xml:space="preserve">Versioned</w:t>
      </w:r>
    </w:p>
    <w:p>
      <w:pPr>
        <w:pStyle w:val="BodyText"/>
      </w:pPr>
      <w:r>
        <w:t xml:space="preserve">Event-Driven</w:t>
      </w:r>
    </w:p>
    <w:p>
      <w:pPr>
        <w:pStyle w:val="BodyText"/>
      </w:pPr>
      <w:r>
        <w:t xml:space="preserve">Composable</w:t>
      </w:r>
    </w:p>
    <w:p>
      <w:pPr>
        <w:pStyle w:val="BodyText"/>
      </w:pPr>
      <w:r>
        <w:t xml:space="preserve">Replayable</w:t>
      </w:r>
    </w:p>
    <w:p>
      <w:pPr>
        <w:pStyle w:val="BodyText"/>
      </w:pPr>
      <w:r>
        <w:t xml:space="preserve">Observable</w:t>
      </w:r>
    </w:p>
    <w:p>
      <w:pPr>
        <w:pStyle w:val="BodyText"/>
      </w:pPr>
      <w:r>
        <w:t xml:space="preserve">Governed</w:t>
      </w:r>
    </w:p>
    <w:p>
      <w:pPr>
        <w:pStyle w:val="BodyText"/>
      </w:pPr>
      <w:r>
        <w:t xml:space="preserve">Technology Independent</w:t>
      </w:r>
    </w:p>
    <w:p>
      <w:pPr>
        <w:pStyle w:val="BodyText"/>
      </w:pPr>
      <w:r>
        <w:t xml:space="preserve">Human-Aware</w:t>
      </w:r>
    </w:p>
    <w:p>
      <w:pPr>
        <w:pStyle w:val="BodyText"/>
      </w:pPr>
      <w:r>
        <w:t xml:space="preserve">Knowledge-Centric</w:t>
      </w:r>
    </w:p>
    <w:p>
      <w:pPr>
        <w:pStyle w:val="BodyText"/>
      </w:pPr>
      <w:r>
        <w:t xml:space="preserve">Workflow definitions SHALL describe intent rather than implementation.</w:t>
      </w:r>
    </w:p>
    <w:p>
      <w:r>
        <w:pict>
          <v:rect style="width:0;height:1.5pt" o:hralign="center" o:hrstd="t" o:hr="t"/>
        </w:pict>
      </w:r>
    </w:p>
    <w:bookmarkEnd w:id="25"/>
    <w:bookmarkStart w:id="31" w:name="workflow-structure"/>
    <w:p>
      <w:pPr>
        <w:pStyle w:val="Heading1"/>
      </w:pPr>
      <w:r>
        <w:t xml:space="preserve">5. Workflow Structure</w:t>
      </w:r>
    </w:p>
    <w:p>
      <w:pPr>
        <w:pStyle w:val="FirstParagraph"/>
      </w:pPr>
      <w:r>
        <w:t xml:space="preserve">Every workflow SHALL contain the following sections.</w:t>
      </w:r>
    </w:p>
    <w:bookmarkStart w:id="26" w:name="identity"/>
    <w:p>
      <w:pPr>
        <w:pStyle w:val="Heading2"/>
      </w:pPr>
      <w:r>
        <w:t xml:space="preserve">Identity</w:t>
      </w:r>
    </w:p>
    <w:p>
      <w:pPr>
        <w:pStyle w:val="FirstParagraph"/>
      </w:pPr>
      <w:r>
        <w:t xml:space="preserve">Workflow Identifier</w:t>
      </w:r>
    </w:p>
    <w:p>
      <w:pPr>
        <w:pStyle w:val="BodyText"/>
      </w:pPr>
      <w:r>
        <w:t xml:space="preserve">Canonical Name</w:t>
      </w:r>
    </w:p>
    <w:p>
      <w:pPr>
        <w:pStyle w:val="BodyText"/>
      </w:pPr>
      <w:r>
        <w:t xml:space="preserve">Version</w:t>
      </w:r>
    </w:p>
    <w:p>
      <w:pPr>
        <w:pStyle w:val="BodyText"/>
      </w:pPr>
      <w:r>
        <w:t xml:space="preserve">Owner Domain</w:t>
      </w:r>
    </w:p>
    <w:p>
      <w:pPr>
        <w:pStyle w:val="BodyText"/>
      </w:pPr>
      <w:r>
        <w:t xml:space="preserve">Lifecycle State</w:t>
      </w:r>
    </w:p>
    <w:p>
      <w:r>
        <w:pict>
          <v:rect style="width:0;height:1.5pt" o:hralign="center" o:hrstd="t" o:hr="t"/>
        </w:pict>
      </w:r>
    </w:p>
    <w:bookmarkEnd w:id="26"/>
    <w:bookmarkStart w:id="27" w:name="definition"/>
    <w:p>
      <w:pPr>
        <w:pStyle w:val="Heading2"/>
      </w:pPr>
      <w:r>
        <w:t xml:space="preserve">Definition</w:t>
      </w:r>
    </w:p>
    <w:p>
      <w:pPr>
        <w:pStyle w:val="FirstParagraph"/>
      </w:pPr>
      <w:r>
        <w:t xml:space="preserve">Business Purpose</w:t>
      </w:r>
    </w:p>
    <w:p>
      <w:pPr>
        <w:pStyle w:val="BodyText"/>
      </w:pPr>
      <w:r>
        <w:t xml:space="preserve">Description</w:t>
      </w:r>
    </w:p>
    <w:p>
      <w:pPr>
        <w:pStyle w:val="BodyText"/>
      </w:pPr>
      <w:r>
        <w:t xml:space="preserve">Trigger Conditions</w:t>
      </w:r>
    </w:p>
    <w:p>
      <w:pPr>
        <w:pStyle w:val="BodyText"/>
      </w:pPr>
      <w:r>
        <w:t xml:space="preserve">Entry Criteria</w:t>
      </w:r>
    </w:p>
    <w:p>
      <w:pPr>
        <w:pStyle w:val="BodyText"/>
      </w:pPr>
      <w:r>
        <w:t xml:space="preserve">Exit Criteria</w:t>
      </w:r>
    </w:p>
    <w:p>
      <w:r>
        <w:pict>
          <v:rect style="width:0;height:1.5pt" o:hralign="center" o:hrstd="t" o:hr="t"/>
        </w:pict>
      </w:r>
    </w:p>
    <w:bookmarkEnd w:id="27"/>
    <w:bookmarkStart w:id="28" w:name="participants"/>
    <w:p>
      <w:pPr>
        <w:pStyle w:val="Heading2"/>
      </w:pPr>
      <w:r>
        <w:t xml:space="preserve">Participants</w:t>
      </w:r>
    </w:p>
    <w:p>
      <w:pPr>
        <w:pStyle w:val="FirstParagraph"/>
      </w:pPr>
      <w:r>
        <w:t xml:space="preserve">Capabilities</w:t>
      </w:r>
    </w:p>
    <w:p>
      <w:pPr>
        <w:pStyle w:val="BodyText"/>
      </w:pPr>
      <w:r>
        <w:t xml:space="preserve">Policies</w:t>
      </w:r>
    </w:p>
    <w:p>
      <w:pPr>
        <w:pStyle w:val="BodyText"/>
      </w:pPr>
      <w:r>
        <w:t xml:space="preserve">Human Roles</w:t>
      </w:r>
    </w:p>
    <w:p>
      <w:pPr>
        <w:pStyle w:val="BodyText"/>
      </w:pPr>
      <w:r>
        <w:t xml:space="preserve">External Connectors</w:t>
      </w:r>
    </w:p>
    <w:p>
      <w:pPr>
        <w:pStyle w:val="BodyText"/>
      </w:pPr>
      <w:r>
        <w:t xml:space="preserve">AI Collaborators</w:t>
      </w:r>
    </w:p>
    <w:p>
      <w:pPr>
        <w:pStyle w:val="BodyText"/>
      </w:pPr>
      <w:r>
        <w:t xml:space="preserve">Platform Services</w:t>
      </w:r>
    </w:p>
    <w:p>
      <w:r>
        <w:pict>
          <v:rect style="width:0;height:1.5pt" o:hralign="center" o:hrstd="t" o:hr="t"/>
        </w:pict>
      </w:r>
    </w:p>
    <w:bookmarkEnd w:id="28"/>
    <w:bookmarkStart w:id="29" w:name="execution-rules"/>
    <w:p>
      <w:pPr>
        <w:pStyle w:val="Heading2"/>
      </w:pPr>
      <w:r>
        <w:t xml:space="preserve">Execution Rules</w:t>
      </w:r>
    </w:p>
    <w:p>
      <w:pPr>
        <w:pStyle w:val="FirstParagraph"/>
      </w:pPr>
      <w:r>
        <w:t xml:space="preserve">Dependencies</w:t>
      </w:r>
    </w:p>
    <w:p>
      <w:pPr>
        <w:pStyle w:val="BodyText"/>
      </w:pPr>
      <w:r>
        <w:t xml:space="preserve">Parallelism</w:t>
      </w:r>
    </w:p>
    <w:p>
      <w:pPr>
        <w:pStyle w:val="BodyText"/>
      </w:pPr>
      <w:r>
        <w:t xml:space="preserve">Synchronization</w:t>
      </w:r>
    </w:p>
    <w:p>
      <w:pPr>
        <w:pStyle w:val="BodyText"/>
      </w:pPr>
      <w:r>
        <w:t xml:space="preserve">Timeouts</w:t>
      </w:r>
    </w:p>
    <w:p>
      <w:pPr>
        <w:pStyle w:val="BodyText"/>
      </w:pPr>
      <w:r>
        <w:t xml:space="preserve">Retries</w:t>
      </w:r>
    </w:p>
    <w:p>
      <w:pPr>
        <w:pStyle w:val="BodyText"/>
      </w:pPr>
      <w:r>
        <w:t xml:space="preserve">Compensation</w:t>
      </w:r>
    </w:p>
    <w:p>
      <w:pPr>
        <w:pStyle w:val="BodyText"/>
      </w:pPr>
      <w:r>
        <w:t xml:space="preserve">Escalation</w:t>
      </w:r>
    </w:p>
    <w:p>
      <w:r>
        <w:pict>
          <v:rect style="width:0;height:1.5pt" o:hralign="center" o:hrstd="t" o:hr="t"/>
        </w:pict>
      </w:r>
    </w:p>
    <w:bookmarkEnd w:id="29"/>
    <w:bookmarkStart w:id="30" w:name="governance"/>
    <w:p>
      <w:pPr>
        <w:pStyle w:val="Heading2"/>
      </w:pPr>
      <w:r>
        <w:t xml:space="preserve">Governance</w:t>
      </w:r>
    </w:p>
    <w:p>
      <w:pPr>
        <w:pStyle w:val="FirstParagraph"/>
      </w:pPr>
      <w:r>
        <w:t xml:space="preserve">Approval Requirements</w:t>
      </w:r>
    </w:p>
    <w:p>
      <w:pPr>
        <w:pStyle w:val="BodyText"/>
      </w:pPr>
      <w:r>
        <w:t xml:space="preserve">Evidence Collection</w:t>
      </w:r>
    </w:p>
    <w:p>
      <w:pPr>
        <w:pStyle w:val="BodyText"/>
      </w:pPr>
      <w:r>
        <w:t xml:space="preserve">Review Points</w:t>
      </w:r>
    </w:p>
    <w:p>
      <w:pPr>
        <w:pStyle w:val="BodyText"/>
      </w:pPr>
      <w:r>
        <w:t xml:space="preserve">Audit Requirements</w:t>
      </w:r>
    </w:p>
    <w:p>
      <w:pPr>
        <w:pStyle w:val="BodyText"/>
      </w:pPr>
      <w:r>
        <w:t xml:space="preserve">Retention Policy</w:t>
      </w:r>
    </w:p>
    <w:p>
      <w:pPr>
        <w:pStyle w:val="BodyText"/>
      </w:pPr>
      <w:r>
        <w:t xml:space="preserve">Compliance Rules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workflow-grammar"/>
    <w:p>
      <w:pPr>
        <w:pStyle w:val="Heading1"/>
      </w:pPr>
      <w:r>
        <w:t xml:space="preserve">6. Workflow Grammar</w:t>
      </w:r>
    </w:p>
    <w:p>
      <w:pPr>
        <w:pStyle w:val="FirstParagraph"/>
      </w:pPr>
      <w:r>
        <w:t xml:space="preserve">A workflow SHALL be composed of the following constructs.</w:t>
      </w:r>
    </w:p>
    <w:p>
      <w:pPr>
        <w:pStyle w:val="BodyText"/>
      </w:pPr>
      <w:r>
        <w:t xml:space="preserve">Trigger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Activity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Decision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Parallel Branch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Synchronization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Approval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Completion</w:t>
      </w:r>
    </w:p>
    <w:p>
      <w:pPr>
        <w:pStyle w:val="BodyText"/>
      </w:pPr>
      <w:r>
        <w:t xml:space="preserve">Activities SHALL invoke Capabilities.</w:t>
      </w:r>
    </w:p>
    <w:p>
      <w:pPr>
        <w:pStyle w:val="BodyText"/>
      </w:pPr>
      <w:r>
        <w:t xml:space="preserve">Activities SHALL NOT embed business algorithms.</w:t>
      </w:r>
    </w:p>
    <w:p>
      <w:r>
        <w:pict>
          <v:rect style="width:0;height:1.5pt" o:hralign="center" o:hrstd="t" o:hr="t"/>
        </w:pict>
      </w:r>
    </w:p>
    <w:bookmarkEnd w:id="32"/>
    <w:bookmarkStart w:id="33" w:name="triggers"/>
    <w:p>
      <w:pPr>
        <w:pStyle w:val="Heading1"/>
      </w:pPr>
      <w:r>
        <w:t xml:space="preserve">7. Triggers</w:t>
      </w:r>
    </w:p>
    <w:p>
      <w:pPr>
        <w:pStyle w:val="FirstParagraph"/>
      </w:pPr>
      <w:r>
        <w:t xml:space="preserve">Workflow execution MAY begin through:</w:t>
      </w:r>
    </w:p>
    <w:p>
      <w:pPr>
        <w:pStyle w:val="BodyText"/>
      </w:pPr>
      <w:r>
        <w:t xml:space="preserve">Canonical Events</w:t>
      </w:r>
    </w:p>
    <w:p>
      <w:pPr>
        <w:pStyle w:val="BodyText"/>
      </w:pPr>
      <w:r>
        <w:t xml:space="preserve">Schedules</w:t>
      </w:r>
    </w:p>
    <w:p>
      <w:pPr>
        <w:pStyle w:val="BodyText"/>
      </w:pPr>
      <w:r>
        <w:t xml:space="preserve">API Requests</w:t>
      </w:r>
    </w:p>
    <w:p>
      <w:pPr>
        <w:pStyle w:val="BodyText"/>
      </w:pPr>
      <w:r>
        <w:t xml:space="preserve">Manual Requests</w:t>
      </w:r>
    </w:p>
    <w:p>
      <w:pPr>
        <w:pStyle w:val="BodyText"/>
      </w:pPr>
      <w:r>
        <w:t xml:space="preserve">External Connectors</w:t>
      </w:r>
    </w:p>
    <w:p>
      <w:pPr>
        <w:pStyle w:val="BodyText"/>
      </w:pPr>
      <w:r>
        <w:t xml:space="preserve">Policy Evaluation</w:t>
      </w:r>
    </w:p>
    <w:p>
      <w:pPr>
        <w:pStyle w:val="BodyText"/>
      </w:pPr>
      <w:r>
        <w:t xml:space="preserve">Parent Workflows</w:t>
      </w:r>
    </w:p>
    <w:p>
      <w:pPr>
        <w:pStyle w:val="BodyText"/>
      </w:pPr>
      <w:r>
        <w:t xml:space="preserve">Every trigger SHALL be explicitly declared.</w:t>
      </w:r>
    </w:p>
    <w:p>
      <w:r>
        <w:pict>
          <v:rect style="width:0;height:1.5pt" o:hralign="center" o:hrstd="t" o:hr="t"/>
        </w:pict>
      </w:r>
    </w:p>
    <w:bookmarkEnd w:id="33"/>
    <w:bookmarkStart w:id="34" w:name="activities"/>
    <w:p>
      <w:pPr>
        <w:pStyle w:val="Heading1"/>
      </w:pPr>
      <w:r>
        <w:t xml:space="preserve">8. Activities</w:t>
      </w:r>
    </w:p>
    <w:p>
      <w:pPr>
        <w:pStyle w:val="FirstParagraph"/>
      </w:pPr>
      <w:r>
        <w:t xml:space="preserve">Activities represent units of orchestration.</w:t>
      </w:r>
    </w:p>
    <w:p>
      <w:pPr>
        <w:pStyle w:val="BodyText"/>
      </w:pPr>
      <w:r>
        <w:t xml:space="preserve">Activities SHALL reference:</w:t>
      </w:r>
    </w:p>
    <w:p>
      <w:pPr>
        <w:pStyle w:val="BodyText"/>
      </w:pPr>
      <w:r>
        <w:t xml:space="preserve">Capabilities</w:t>
      </w:r>
    </w:p>
    <w:p>
      <w:pPr>
        <w:pStyle w:val="BodyText"/>
      </w:pPr>
      <w:r>
        <w:t xml:space="preserve">Inputs</w:t>
      </w:r>
    </w:p>
    <w:p>
      <w:pPr>
        <w:pStyle w:val="BodyText"/>
      </w:pPr>
      <w:r>
        <w:t xml:space="preserve">Expected Outputs</w:t>
      </w:r>
    </w:p>
    <w:p>
      <w:pPr>
        <w:pStyle w:val="BodyText"/>
      </w:pPr>
      <w:r>
        <w:t xml:space="preserve">Timeout Policies</w:t>
      </w:r>
    </w:p>
    <w:p>
      <w:pPr>
        <w:pStyle w:val="BodyText"/>
      </w:pPr>
      <w:r>
        <w:t xml:space="preserve">Retry Policies</w:t>
      </w:r>
    </w:p>
    <w:p>
      <w:pPr>
        <w:pStyle w:val="BodyText"/>
      </w:pPr>
      <w:r>
        <w:t xml:space="preserve">Published Events</w:t>
      </w:r>
    </w:p>
    <w:p>
      <w:pPr>
        <w:pStyle w:val="BodyText"/>
      </w:pPr>
      <w:r>
        <w:t xml:space="preserve">Activities SHALL remain implementation independent.</w:t>
      </w:r>
    </w:p>
    <w:p>
      <w:r>
        <w:pict>
          <v:rect style="width:0;height:1.5pt" o:hralign="center" o:hrstd="t" o:hr="t"/>
        </w:pict>
      </w:r>
    </w:p>
    <w:bookmarkEnd w:id="34"/>
    <w:bookmarkStart w:id="35" w:name="decisions"/>
    <w:p>
      <w:pPr>
        <w:pStyle w:val="Heading1"/>
      </w:pPr>
      <w:r>
        <w:t xml:space="preserve">9. Decisions</w:t>
      </w:r>
    </w:p>
    <w:p>
      <w:pPr>
        <w:pStyle w:val="FirstParagraph"/>
      </w:pPr>
      <w:r>
        <w:t xml:space="preserve">Decision points SHALL evaluate:</w:t>
      </w:r>
    </w:p>
    <w:p>
      <w:pPr>
        <w:pStyle w:val="BodyText"/>
      </w:pPr>
      <w:r>
        <w:t xml:space="preserve">Policies</w:t>
      </w:r>
    </w:p>
    <w:p>
      <w:pPr>
        <w:pStyle w:val="BodyText"/>
      </w:pPr>
      <w:r>
        <w:t xml:space="preserve">Workflow State</w:t>
      </w:r>
    </w:p>
    <w:p>
      <w:pPr>
        <w:pStyle w:val="BodyText"/>
      </w:pPr>
      <w:r>
        <w:t xml:space="preserve">Governance Results</w:t>
      </w:r>
    </w:p>
    <w:p>
      <w:pPr>
        <w:pStyle w:val="BodyText"/>
      </w:pPr>
      <w:r>
        <w:t xml:space="preserve">Capability Outputs</w:t>
      </w:r>
    </w:p>
    <w:p>
      <w:pPr>
        <w:pStyle w:val="BodyText"/>
      </w:pPr>
      <w:r>
        <w:t xml:space="preserve">Human Decisions</w:t>
      </w:r>
    </w:p>
    <w:p>
      <w:pPr>
        <w:pStyle w:val="BodyText"/>
      </w:pPr>
      <w:r>
        <w:t xml:space="preserve">Knowledge Availability</w:t>
      </w:r>
    </w:p>
    <w:p>
      <w:pPr>
        <w:pStyle w:val="BodyText"/>
      </w:pPr>
      <w:r>
        <w:t xml:space="preserve">Decisions SHALL NOT execute business logic.</w:t>
      </w:r>
    </w:p>
    <w:p>
      <w:pPr>
        <w:pStyle w:val="BodyText"/>
      </w:pPr>
      <w:r>
        <w:t xml:space="preserve">Business evaluation belongs to Capabilities or Policies.</w:t>
      </w:r>
    </w:p>
    <w:p>
      <w:r>
        <w:pict>
          <v:rect style="width:0;height:1.5pt" o:hralign="center" o:hrstd="t" o:hr="t"/>
        </w:pict>
      </w:r>
    </w:p>
    <w:bookmarkEnd w:id="35"/>
    <w:bookmarkStart w:id="36" w:name="parallel-execution"/>
    <w:p>
      <w:pPr>
        <w:pStyle w:val="Heading1"/>
      </w:pPr>
      <w:r>
        <w:t xml:space="preserve">10. Parallel Execution</w:t>
      </w:r>
    </w:p>
    <w:p>
      <w:pPr>
        <w:pStyle w:val="FirstParagraph"/>
      </w:pPr>
      <w:r>
        <w:t xml:space="preserve">Independent activities MAY execute concurrently.</w:t>
      </w:r>
    </w:p>
    <w:p>
      <w:pPr>
        <w:pStyle w:val="BodyText"/>
      </w:pPr>
      <w:r>
        <w:t xml:space="preserve">Parallel branches SHALL declare:</w:t>
      </w:r>
    </w:p>
    <w:p>
      <w:pPr>
        <w:pStyle w:val="BodyText"/>
      </w:pPr>
      <w:r>
        <w:t xml:space="preserve">Entry Conditions</w:t>
      </w:r>
    </w:p>
    <w:p>
      <w:pPr>
        <w:pStyle w:val="BodyText"/>
      </w:pPr>
      <w:r>
        <w:t xml:space="preserve">Synchronization Points</w:t>
      </w:r>
    </w:p>
    <w:p>
      <w:pPr>
        <w:pStyle w:val="BodyText"/>
      </w:pPr>
      <w:r>
        <w:t xml:space="preserve">Failure Strategy</w:t>
      </w:r>
    </w:p>
    <w:p>
      <w:pPr>
        <w:pStyle w:val="BodyText"/>
      </w:pPr>
      <w:r>
        <w:t xml:space="preserve">Completion Requirements</w:t>
      </w:r>
    </w:p>
    <w:p>
      <w:pPr>
        <w:pStyle w:val="BodyText"/>
      </w:pPr>
      <w:r>
        <w:t xml:space="preserve">Synchronization SHALL occur through canonical events.</w:t>
      </w:r>
    </w:p>
    <w:p>
      <w:r>
        <w:pict>
          <v:rect style="width:0;height:1.5pt" o:hralign="center" o:hrstd="t" o:hr="t"/>
        </w:pict>
      </w:r>
    </w:p>
    <w:bookmarkEnd w:id="36"/>
    <w:bookmarkStart w:id="37" w:name="dependencies"/>
    <w:p>
      <w:pPr>
        <w:pStyle w:val="Heading1"/>
      </w:pPr>
      <w:r>
        <w:t xml:space="preserve">11. Dependencies</w:t>
      </w:r>
    </w:p>
    <w:p>
      <w:pPr>
        <w:pStyle w:val="FirstParagraph"/>
      </w:pPr>
      <w:r>
        <w:t xml:space="preserve">Dependencies SHALL be explicit.</w:t>
      </w:r>
    </w:p>
    <w:p>
      <w:pPr>
        <w:pStyle w:val="BodyText"/>
      </w:pPr>
      <w:r>
        <w:t xml:space="preserve">Supported dependency types include:</w:t>
      </w:r>
    </w:p>
    <w:p>
      <w:pPr>
        <w:pStyle w:val="BodyText"/>
      </w:pPr>
      <w:r>
        <w:t xml:space="preserve">Completion Dependency</w:t>
      </w:r>
    </w:p>
    <w:p>
      <w:pPr>
        <w:pStyle w:val="BodyText"/>
      </w:pPr>
      <w:r>
        <w:t xml:space="preserve">Knowledge Dependency</w:t>
      </w:r>
    </w:p>
    <w:p>
      <w:pPr>
        <w:pStyle w:val="BodyText"/>
      </w:pPr>
      <w:r>
        <w:t xml:space="preserve">Asset Dependency</w:t>
      </w:r>
    </w:p>
    <w:p>
      <w:pPr>
        <w:pStyle w:val="BodyText"/>
      </w:pPr>
      <w:r>
        <w:t xml:space="preserve">Approval Dependency</w:t>
      </w:r>
    </w:p>
    <w:p>
      <w:pPr>
        <w:pStyle w:val="BodyText"/>
      </w:pPr>
      <w:r>
        <w:t xml:space="preserve">Event Dependency</w:t>
      </w:r>
    </w:p>
    <w:p>
      <w:pPr>
        <w:pStyle w:val="BodyText"/>
      </w:pPr>
      <w:r>
        <w:t xml:space="preserve">Capability Dependency</w:t>
      </w:r>
    </w:p>
    <w:p>
      <w:pPr>
        <w:pStyle w:val="BodyText"/>
      </w:pPr>
      <w:r>
        <w:t xml:space="preserve">Hidden dependencies are prohibited.</w:t>
      </w:r>
    </w:p>
    <w:p>
      <w:r>
        <w:pict>
          <v:rect style="width:0;height:1.5pt" o:hralign="center" o:hrstd="t" o:hr="t"/>
        </w:pict>
      </w:r>
    </w:p>
    <w:bookmarkEnd w:id="37"/>
    <w:bookmarkStart w:id="38" w:name="human-participation"/>
    <w:p>
      <w:pPr>
        <w:pStyle w:val="Heading1"/>
      </w:pPr>
      <w:r>
        <w:t xml:space="preserve">12. Human Participation</w:t>
      </w:r>
    </w:p>
    <w:p>
      <w:pPr>
        <w:pStyle w:val="FirstParagraph"/>
      </w:pPr>
      <w:r>
        <w:t xml:space="preserve">Human interaction is a first-class workflow construct.</w:t>
      </w:r>
    </w:p>
    <w:p>
      <w:pPr>
        <w:pStyle w:val="BodyText"/>
      </w:pPr>
      <w:r>
        <w:t xml:space="preserve">Examples include:</w:t>
      </w:r>
    </w:p>
    <w:p>
      <w:pPr>
        <w:pStyle w:val="BodyText"/>
      </w:pPr>
      <w:r>
        <w:t xml:space="preserve">Editorial Review</w:t>
      </w:r>
    </w:p>
    <w:p>
      <w:pPr>
        <w:pStyle w:val="BodyText"/>
      </w:pPr>
      <w:r>
        <w:t xml:space="preserve">Knowledge Approval</w:t>
      </w:r>
    </w:p>
    <w:p>
      <w:pPr>
        <w:pStyle w:val="BodyText"/>
      </w:pPr>
      <w:r>
        <w:t xml:space="preserve">Publication Authorization</w:t>
      </w:r>
    </w:p>
    <w:p>
      <w:pPr>
        <w:pStyle w:val="BodyText"/>
      </w:pPr>
      <w:r>
        <w:t xml:space="preserve">Quality Review</w:t>
      </w:r>
    </w:p>
    <w:p>
      <w:pPr>
        <w:pStyle w:val="BodyText"/>
      </w:pPr>
      <w:r>
        <w:t xml:space="preserve">Compliance Verification</w:t>
      </w:r>
    </w:p>
    <w:p>
      <w:pPr>
        <w:pStyle w:val="BodyText"/>
      </w:pPr>
      <w:r>
        <w:t xml:space="preserve">Human actions SHALL produce canonical events.</w:t>
      </w:r>
    </w:p>
    <w:p>
      <w:r>
        <w:pict>
          <v:rect style="width:0;height:1.5pt" o:hralign="center" o:hrstd="t" o:hr="t"/>
        </w:pict>
      </w:r>
    </w:p>
    <w:bookmarkEnd w:id="38"/>
    <w:bookmarkStart w:id="39" w:name="ai-participation"/>
    <w:p>
      <w:pPr>
        <w:pStyle w:val="Heading1"/>
      </w:pPr>
      <w:r>
        <w:t xml:space="preserve">13. AI Participation</w:t>
      </w:r>
    </w:p>
    <w:p>
      <w:pPr>
        <w:pStyle w:val="FirstParagraph"/>
      </w:pPr>
      <w:r>
        <w:t xml:space="preserve">AI workers participate as Capabilities.</w:t>
      </w:r>
    </w:p>
    <w:p>
      <w:pPr>
        <w:pStyle w:val="BodyText"/>
      </w:pPr>
      <w:r>
        <w:t xml:space="preserve">Workflow definitions SHALL reference AI through Capability contracts rather than model implementations.</w:t>
      </w:r>
    </w:p>
    <w:p>
      <w:pPr>
        <w:pStyle w:val="BodyText"/>
      </w:pPr>
      <w:r>
        <w:t xml:space="preserve">AI SHALL remain interchangeable.</w:t>
      </w:r>
    </w:p>
    <w:p>
      <w:r>
        <w:pict>
          <v:rect style="width:0;height:1.5pt" o:hralign="center" o:hrstd="t" o:hr="t"/>
        </w:pict>
      </w:r>
    </w:p>
    <w:bookmarkEnd w:id="39"/>
    <w:bookmarkStart w:id="40" w:name="policies"/>
    <w:p>
      <w:pPr>
        <w:pStyle w:val="Heading1"/>
      </w:pPr>
      <w:r>
        <w:t xml:space="preserve">14. Policies</w:t>
      </w:r>
    </w:p>
    <w:p>
      <w:pPr>
        <w:pStyle w:val="FirstParagraph"/>
      </w:pPr>
      <w:r>
        <w:t xml:space="preserve">Policies influence workflow execution.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Retry Limits</w:t>
      </w:r>
    </w:p>
    <w:p>
      <w:pPr>
        <w:pStyle w:val="BodyText"/>
      </w:pPr>
      <w:r>
        <w:t xml:space="preserve">Approval Thresholds</w:t>
      </w:r>
    </w:p>
    <w:p>
      <w:pPr>
        <w:pStyle w:val="BodyText"/>
      </w:pPr>
      <w:r>
        <w:t xml:space="preserve">Security Requirements</w:t>
      </w:r>
    </w:p>
    <w:p>
      <w:pPr>
        <w:pStyle w:val="BodyText"/>
      </w:pPr>
      <w:r>
        <w:t xml:space="preserve">Publication Windows</w:t>
      </w:r>
    </w:p>
    <w:p>
      <w:pPr>
        <w:pStyle w:val="BodyText"/>
      </w:pPr>
      <w:r>
        <w:t xml:space="preserve">Quality Gates</w:t>
      </w:r>
    </w:p>
    <w:p>
      <w:pPr>
        <w:pStyle w:val="BodyText"/>
      </w:pPr>
      <w:r>
        <w:t xml:space="preserve">Retention Rules</w:t>
      </w:r>
    </w:p>
    <w:p>
      <w:pPr>
        <w:pStyle w:val="BodyText"/>
      </w:pPr>
      <w:r>
        <w:t xml:space="preserve">Policies SHALL remain external to workflow definitions whenever practical.</w:t>
      </w:r>
    </w:p>
    <w:p>
      <w:r>
        <w:pict>
          <v:rect style="width:0;height:1.5pt" o:hralign="center" o:hrstd="t" o:hr="t"/>
        </w:pict>
      </w:r>
    </w:p>
    <w:bookmarkEnd w:id="40"/>
    <w:bookmarkStart w:id="41" w:name="state-model"/>
    <w:p>
      <w:pPr>
        <w:pStyle w:val="Heading1"/>
      </w:pPr>
      <w:r>
        <w:t xml:space="preserve">15. State Model</w:t>
      </w:r>
    </w:p>
    <w:p>
      <w:pPr>
        <w:pStyle w:val="FirstParagraph"/>
      </w:pPr>
      <w:r>
        <w:t xml:space="preserve">Every workflow execution SHALL expose canonical states.</w:t>
      </w:r>
    </w:p>
    <w:p>
      <w:pPr>
        <w:pStyle w:val="BodyText"/>
      </w:pPr>
      <w:r>
        <w:t xml:space="preserve">Created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Scheduled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Running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Waiting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Paused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Retrying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Completed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Failed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Cancelled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Compensated</w:t>
      </w:r>
    </w:p>
    <w:p>
      <w:pPr>
        <w:pStyle w:val="BodyText"/>
      </w:pPr>
      <w:r>
        <w:t xml:space="preserve">State transitions SHALL generate canonical events.</w:t>
      </w:r>
    </w:p>
    <w:p>
      <w:r>
        <w:pict>
          <v:rect style="width:0;height:1.5pt" o:hralign="center" o:hrstd="t" o:hr="t"/>
        </w:pict>
      </w:r>
    </w:p>
    <w:bookmarkEnd w:id="41"/>
    <w:bookmarkStart w:id="42" w:name="error-handling"/>
    <w:p>
      <w:pPr>
        <w:pStyle w:val="Heading1"/>
      </w:pPr>
      <w:r>
        <w:t xml:space="preserve">16. Error Handling</w:t>
      </w:r>
    </w:p>
    <w:p>
      <w:pPr>
        <w:pStyle w:val="FirstParagraph"/>
      </w:pPr>
      <w:r>
        <w:t xml:space="preserve">Workflow definitions SHALL describe error strategies.</w:t>
      </w:r>
    </w:p>
    <w:p>
      <w:pPr>
        <w:pStyle w:val="BodyText"/>
      </w:pPr>
      <w:r>
        <w:t xml:space="preserve">Retry</w:t>
      </w:r>
    </w:p>
    <w:p>
      <w:pPr>
        <w:pStyle w:val="BodyText"/>
      </w:pPr>
      <w:r>
        <w:t xml:space="preserve">Escalate</w:t>
      </w:r>
    </w:p>
    <w:p>
      <w:pPr>
        <w:pStyle w:val="BodyText"/>
      </w:pPr>
      <w:r>
        <w:t xml:space="preserve">Pause</w:t>
      </w:r>
    </w:p>
    <w:p>
      <w:pPr>
        <w:pStyle w:val="BodyText"/>
      </w:pPr>
      <w:r>
        <w:t xml:space="preserve">Skip Optional Activity</w:t>
      </w:r>
    </w:p>
    <w:p>
      <w:pPr>
        <w:pStyle w:val="BodyText"/>
      </w:pPr>
      <w:r>
        <w:t xml:space="preserve">Compensate</w:t>
      </w:r>
    </w:p>
    <w:p>
      <w:pPr>
        <w:pStyle w:val="BodyText"/>
      </w:pPr>
      <w:r>
        <w:t xml:space="preserve">Abort</w:t>
      </w:r>
    </w:p>
    <w:p>
      <w:pPr>
        <w:pStyle w:val="BodyText"/>
      </w:pPr>
      <w:r>
        <w:t xml:space="preserve">Notify</w:t>
      </w:r>
    </w:p>
    <w:p>
      <w:pPr>
        <w:pStyle w:val="BodyText"/>
      </w:pPr>
      <w:r>
        <w:t xml:space="preserve">Error handling SHALL remain deterministic.</w:t>
      </w:r>
    </w:p>
    <w:p>
      <w:r>
        <w:pict>
          <v:rect style="width:0;height:1.5pt" o:hralign="center" o:hrstd="t" o:hr="t"/>
        </w:pict>
      </w:r>
    </w:p>
    <w:bookmarkEnd w:id="42"/>
    <w:bookmarkStart w:id="43" w:name="compensation"/>
    <w:p>
      <w:pPr>
        <w:pStyle w:val="Heading1"/>
      </w:pPr>
      <w:r>
        <w:t xml:space="preserve">17. Compensation</w:t>
      </w:r>
    </w:p>
    <w:p>
      <w:pPr>
        <w:pStyle w:val="FirstParagraph"/>
      </w:pPr>
      <w:r>
        <w:t xml:space="preserve">Long-running workflows MAY define compensation activities.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Withdraw Publication</w:t>
      </w:r>
    </w:p>
    <w:p>
      <w:pPr>
        <w:pStyle w:val="BodyText"/>
      </w:pPr>
      <w:r>
        <w:t xml:space="preserve">Archive Incorrect Assets</w:t>
      </w:r>
    </w:p>
    <w:p>
      <w:pPr>
        <w:pStyle w:val="BodyText"/>
      </w:pPr>
      <w:r>
        <w:t xml:space="preserve">Reverse Approval</w:t>
      </w:r>
    </w:p>
    <w:p>
      <w:pPr>
        <w:pStyle w:val="BodyText"/>
      </w:pPr>
      <w:r>
        <w:t xml:space="preserve">Notify Stakeholders</w:t>
      </w:r>
    </w:p>
    <w:p>
      <w:pPr>
        <w:pStyle w:val="BodyText"/>
      </w:pPr>
      <w:r>
        <w:t xml:space="preserve">Compensation SHALL be implemented through Capabilities.</w:t>
      </w:r>
    </w:p>
    <w:p>
      <w:pPr>
        <w:pStyle w:val="BodyText"/>
      </w:pPr>
      <w:r>
        <w:t xml:space="preserve">Workflow definitions SHALL NOT embed rollback logic.</w:t>
      </w:r>
    </w:p>
    <w:p>
      <w:r>
        <w:pict>
          <v:rect style="width:0;height:1.5pt" o:hralign="center" o:hrstd="t" o:hr="t"/>
        </w:pict>
      </w:r>
    </w:p>
    <w:bookmarkEnd w:id="43"/>
    <w:bookmarkStart w:id="44" w:name="versioning"/>
    <w:p>
      <w:pPr>
        <w:pStyle w:val="Heading1"/>
      </w:pPr>
      <w:r>
        <w:t xml:space="preserve">18. Versioning</w:t>
      </w:r>
    </w:p>
    <w:p>
      <w:pPr>
        <w:pStyle w:val="FirstParagraph"/>
      </w:pPr>
      <w:r>
        <w:t xml:space="preserve">Workflow definitions SHALL be immutable.</w:t>
      </w:r>
    </w:p>
    <w:p>
      <w:pPr>
        <w:pStyle w:val="BodyText"/>
      </w:pPr>
      <w:r>
        <w:t xml:space="preserve">Changes require new versions.</w:t>
      </w:r>
    </w:p>
    <w:p>
      <w:pPr>
        <w:pStyle w:val="BodyText"/>
      </w:pPr>
      <w:r>
        <w:t xml:space="preserve">Each version records:</w:t>
      </w:r>
    </w:p>
    <w:p>
      <w:pPr>
        <w:pStyle w:val="BodyText"/>
      </w:pPr>
      <w:r>
        <w:t xml:space="preserve">Previous Version</w:t>
      </w:r>
    </w:p>
    <w:p>
      <w:pPr>
        <w:pStyle w:val="BodyText"/>
      </w:pPr>
      <w:r>
        <w:t xml:space="preserve">Reason</w:t>
      </w:r>
    </w:p>
    <w:p>
      <w:pPr>
        <w:pStyle w:val="BodyText"/>
      </w:pPr>
      <w:r>
        <w:t xml:space="preserve">Approval</w:t>
      </w:r>
    </w:p>
    <w:p>
      <w:pPr>
        <w:pStyle w:val="BodyText"/>
      </w:pPr>
      <w:r>
        <w:t xml:space="preserve">Creation Event</w:t>
      </w:r>
    </w:p>
    <w:p>
      <w:pPr>
        <w:pStyle w:val="BodyText"/>
      </w:pPr>
      <w:r>
        <w:t xml:space="preserve">Effective Date</w:t>
      </w:r>
    </w:p>
    <w:p>
      <w:pPr>
        <w:pStyle w:val="BodyText"/>
      </w:pPr>
      <w:r>
        <w:t xml:space="preserve">Migration Guidance</w:t>
      </w:r>
    </w:p>
    <w:p>
      <w:pPr>
        <w:pStyle w:val="BodyText"/>
      </w:pPr>
      <w:r>
        <w:t xml:space="preserve">Historical workflows SHALL remain executable for audit purposes.</w:t>
      </w:r>
    </w:p>
    <w:p>
      <w:r>
        <w:pict>
          <v:rect style="width:0;height:1.5pt" o:hralign="center" o:hrstd="t" o:hr="t"/>
        </w:pict>
      </w:r>
    </w:p>
    <w:bookmarkEnd w:id="44"/>
    <w:bookmarkStart w:id="45" w:name="observability"/>
    <w:p>
      <w:pPr>
        <w:pStyle w:val="Heading1"/>
      </w:pPr>
      <w:r>
        <w:t xml:space="preserve">19. Observability</w:t>
      </w:r>
    </w:p>
    <w:p>
      <w:pPr>
        <w:pStyle w:val="FirstParagraph"/>
      </w:pPr>
      <w:r>
        <w:t xml:space="preserve">Every execution SHALL record:</w:t>
      </w:r>
    </w:p>
    <w:p>
      <w:pPr>
        <w:pStyle w:val="BodyText"/>
      </w:pPr>
      <w:r>
        <w:t xml:space="preserve">Workflow Version</w:t>
      </w:r>
    </w:p>
    <w:p>
      <w:pPr>
        <w:pStyle w:val="BodyText"/>
      </w:pPr>
      <w:r>
        <w:t xml:space="preserve">Execution Identifier</w:t>
      </w:r>
    </w:p>
    <w:p>
      <w:pPr>
        <w:pStyle w:val="BodyText"/>
      </w:pPr>
      <w:r>
        <w:t xml:space="preserve">Trigger Event</w:t>
      </w:r>
    </w:p>
    <w:p>
      <w:pPr>
        <w:pStyle w:val="BodyText"/>
      </w:pPr>
      <w:r>
        <w:t xml:space="preserve">Activities</w:t>
      </w:r>
    </w:p>
    <w:p>
      <w:pPr>
        <w:pStyle w:val="BodyText"/>
      </w:pPr>
      <w:r>
        <w:t xml:space="preserve">Consumed Events</w:t>
      </w:r>
    </w:p>
    <w:p>
      <w:pPr>
        <w:pStyle w:val="BodyText"/>
      </w:pPr>
      <w:r>
        <w:t xml:space="preserve">Published Events</w:t>
      </w:r>
    </w:p>
    <w:p>
      <w:pPr>
        <w:pStyle w:val="BodyText"/>
      </w:pPr>
      <w:r>
        <w:t xml:space="preserve">Capability Executions</w:t>
      </w:r>
    </w:p>
    <w:p>
      <w:pPr>
        <w:pStyle w:val="BodyText"/>
      </w:pPr>
      <w:r>
        <w:t xml:space="preserve">Human Approvals</w:t>
      </w:r>
    </w:p>
    <w:p>
      <w:pPr>
        <w:pStyle w:val="BodyText"/>
      </w:pPr>
      <w:r>
        <w:t xml:space="preserve">Policy Decisions</w:t>
      </w:r>
    </w:p>
    <w:p>
      <w:pPr>
        <w:pStyle w:val="BodyText"/>
      </w:pPr>
      <w:r>
        <w:t xml:space="preserve">Execution Duration</w:t>
      </w:r>
    </w:p>
    <w:p>
      <w:pPr>
        <w:pStyle w:val="BodyText"/>
      </w:pPr>
      <w:r>
        <w:t xml:space="preserve">Failures</w:t>
      </w:r>
    </w:p>
    <w:p>
      <w:pPr>
        <w:pStyle w:val="BodyText"/>
      </w:pPr>
      <w:r>
        <w:t xml:space="preserve">Retries</w:t>
      </w:r>
    </w:p>
    <w:p>
      <w:pPr>
        <w:pStyle w:val="BodyText"/>
      </w:pPr>
      <w:r>
        <w:t xml:space="preserve">Outputs</w:t>
      </w:r>
    </w:p>
    <w:p>
      <w:pPr>
        <w:pStyle w:val="BodyText"/>
      </w:pPr>
      <w:r>
        <w:t xml:space="preserve">Execution history becomes institutional evidence.</w:t>
      </w:r>
    </w:p>
    <w:p>
      <w:r>
        <w:pict>
          <v:rect style="width:0;height:1.5pt" o:hralign="center" o:hrstd="t" o:hr="t"/>
        </w:pict>
      </w:r>
    </w:p>
    <w:bookmarkEnd w:id="45"/>
    <w:bookmarkStart w:id="46" w:name="validation"/>
    <w:p>
      <w:pPr>
        <w:pStyle w:val="Heading1"/>
      </w:pPr>
      <w:r>
        <w:t xml:space="preserve">20. Validation</w:t>
      </w:r>
    </w:p>
    <w:p>
      <w:pPr>
        <w:pStyle w:val="FirstParagraph"/>
      </w:pPr>
      <w:r>
        <w:t xml:space="preserve">Workflow definitions SHALL pass validation before publication.</w:t>
      </w:r>
    </w:p>
    <w:p>
      <w:pPr>
        <w:pStyle w:val="BodyText"/>
      </w:pPr>
      <w:r>
        <w:t xml:space="preserve">Validation includes:</w:t>
      </w:r>
    </w:p>
    <w:p>
      <w:pPr>
        <w:pStyle w:val="BodyText"/>
      </w:pPr>
      <w:r>
        <w:t xml:space="preserve">Structure</w:t>
      </w:r>
    </w:p>
    <w:p>
      <w:pPr>
        <w:pStyle w:val="BodyText"/>
      </w:pPr>
      <w:r>
        <w:t xml:space="preserve">Dependencies</w:t>
      </w:r>
    </w:p>
    <w:p>
      <w:pPr>
        <w:pStyle w:val="BodyText"/>
      </w:pPr>
      <w:r>
        <w:t xml:space="preserve">Capability References</w:t>
      </w:r>
    </w:p>
    <w:p>
      <w:pPr>
        <w:pStyle w:val="BodyText"/>
      </w:pPr>
      <w:r>
        <w:t xml:space="preserve">Policy References</w:t>
      </w:r>
    </w:p>
    <w:p>
      <w:pPr>
        <w:pStyle w:val="BodyText"/>
      </w:pPr>
      <w:r>
        <w:t xml:space="preserve">Approval Rules</w:t>
      </w:r>
    </w:p>
    <w:p>
      <w:pPr>
        <w:pStyle w:val="BodyText"/>
      </w:pPr>
      <w:r>
        <w:t xml:space="preserve">State Integrity</w:t>
      </w:r>
    </w:p>
    <w:p>
      <w:pPr>
        <w:pStyle w:val="BodyText"/>
      </w:pPr>
      <w:r>
        <w:t xml:space="preserve">Event Integrity</w:t>
      </w:r>
    </w:p>
    <w:p>
      <w:pPr>
        <w:pStyle w:val="BodyText"/>
      </w:pPr>
      <w:r>
        <w:t xml:space="preserve">Version Consistency</w:t>
      </w:r>
    </w:p>
    <w:p>
      <w:pPr>
        <w:pStyle w:val="BodyText"/>
      </w:pPr>
      <w:r>
        <w:t xml:space="preserve">Validation failures SHALL publish canonical events.</w:t>
      </w:r>
    </w:p>
    <w:p>
      <w:r>
        <w:pict>
          <v:rect style="width:0;height:1.5pt" o:hralign="center" o:hrstd="t" o:hr="t"/>
        </w:pict>
      </w:r>
    </w:p>
    <w:bookmarkEnd w:id="46"/>
    <w:bookmarkStart w:id="47" w:name="conformance"/>
    <w:p>
      <w:pPr>
        <w:pStyle w:val="Heading1"/>
      </w:pPr>
      <w:r>
        <w:t xml:space="preserve">21. Conformance</w:t>
      </w:r>
    </w:p>
    <w:p>
      <w:pPr>
        <w:pStyle w:val="FirstParagraph"/>
      </w:pPr>
      <w:r>
        <w:t xml:space="preserve">An implementation claiming compliance with KMOS-0150 SHALL:</w:t>
      </w:r>
    </w:p>
    <w:p>
      <w:pPr>
        <w:pStyle w:val="BodyText"/>
      </w:pPr>
      <w:r>
        <w:t xml:space="preserve">Support canonical workflow structures.</w:t>
      </w:r>
    </w:p>
    <w:p>
      <w:pPr>
        <w:pStyle w:val="BodyText"/>
      </w:pPr>
      <w:r>
        <w:t xml:space="preserve">Support event-driven execution.</w:t>
      </w:r>
    </w:p>
    <w:p>
      <w:pPr>
        <w:pStyle w:val="BodyText"/>
      </w:pPr>
      <w:r>
        <w:t xml:space="preserve">Support declarative orchestration.</w:t>
      </w:r>
    </w:p>
    <w:p>
      <w:pPr>
        <w:pStyle w:val="BodyText"/>
      </w:pPr>
      <w:r>
        <w:t xml:space="preserve">Support immutable version history.</w:t>
      </w:r>
    </w:p>
    <w:p>
      <w:pPr>
        <w:pStyle w:val="BodyText"/>
      </w:pPr>
      <w:r>
        <w:t xml:space="preserve">Support explicit dependencies.</w:t>
      </w:r>
    </w:p>
    <w:p>
      <w:pPr>
        <w:pStyle w:val="BodyText"/>
      </w:pPr>
      <w:r>
        <w:t xml:space="preserve">Support human participation.</w:t>
      </w:r>
    </w:p>
    <w:p>
      <w:pPr>
        <w:pStyle w:val="BodyText"/>
      </w:pPr>
      <w:r>
        <w:t xml:space="preserve">Support policy evaluation.</w:t>
      </w:r>
    </w:p>
    <w:p>
      <w:pPr>
        <w:pStyle w:val="BodyText"/>
      </w:pPr>
      <w:r>
        <w:t xml:space="preserve">Support observability.</w:t>
      </w:r>
    </w:p>
    <w:p>
      <w:pPr>
        <w:pStyle w:val="BodyText"/>
      </w:pPr>
      <w:r>
        <w:t xml:space="preserve">Support governance.</w:t>
      </w:r>
    </w:p>
    <w:p>
      <w:pPr>
        <w:pStyle w:val="BodyText"/>
      </w:pPr>
      <w:r>
        <w:t xml:space="preserve">Support replay.</w:t>
      </w:r>
    </w:p>
    <w:p>
      <w:pPr>
        <w:pStyle w:val="BodyText"/>
      </w:pPr>
      <w:r>
        <w:t xml:space="preserve">Implementations SHALL NOT embed business logic inside workflow definitions.</w:t>
      </w:r>
    </w:p>
    <w:p>
      <w:r>
        <w:pict>
          <v:rect style="width:0;height:1.5pt" o:hralign="center" o:hrstd="t" o:hr="t"/>
        </w:pict>
      </w:r>
    </w:p>
    <w:bookmarkEnd w:id="47"/>
    <w:bookmarkStart w:id="48" w:name="relationship-to-previous-specifications"/>
    <w:p>
      <w:pPr>
        <w:pStyle w:val="Heading1"/>
      </w:pPr>
      <w:r>
        <w:t xml:space="preserve">22. Relationship to Previous Specifications</w:t>
      </w:r>
    </w:p>
    <w:p>
      <w:pPr>
        <w:pStyle w:val="FirstParagraph"/>
      </w:pPr>
      <w:r>
        <w:t xml:space="preserve">KMOS-0100 defined Canonical Objects.</w:t>
      </w:r>
    </w:p>
    <w:p>
      <w:pPr>
        <w:pStyle w:val="BodyText"/>
      </w:pPr>
      <w:r>
        <w:t xml:space="preserve">KMOS-0110 defined Canonical Events.</w:t>
      </w:r>
    </w:p>
    <w:p>
      <w:pPr>
        <w:pStyle w:val="BodyText"/>
      </w:pPr>
      <w:r>
        <w:t xml:space="preserve">KMOS-0120 defined Capabilities.</w:t>
      </w:r>
    </w:p>
    <w:p>
      <w:pPr>
        <w:pStyle w:val="BodyText"/>
      </w:pPr>
      <w:r>
        <w:t xml:space="preserve">KMOS-0130 defined Knowledge Objects.</w:t>
      </w:r>
    </w:p>
    <w:p>
      <w:pPr>
        <w:pStyle w:val="BodyText"/>
      </w:pPr>
      <w:r>
        <w:t xml:space="preserve">KMOS-0140 defined Asset Metadata.</w:t>
      </w:r>
    </w:p>
    <w:p>
      <w:pPr>
        <w:pStyle w:val="BodyText"/>
      </w:pPr>
      <w:r>
        <w:t xml:space="preserve">KMOS-0150 defines how these components are orchestrated into repeatable business processes.</w:t>
      </w:r>
    </w:p>
    <w:p>
      <w:pPr>
        <w:pStyle w:val="BodyText"/>
      </w:pPr>
      <w:r>
        <w:t xml:space="preserve">Workflow Definitions become executable architectural blueprints.</w:t>
      </w:r>
    </w:p>
    <w:p>
      <w:r>
        <w:pict>
          <v:rect style="width:0;height:1.5pt" o:hralign="center" o:hrstd="t" o:hr="t"/>
        </w:pict>
      </w:r>
    </w:p>
    <w:bookmarkEnd w:id="48"/>
    <w:bookmarkStart w:id="49" w:name="architectural-consequences"/>
    <w:p>
      <w:pPr>
        <w:pStyle w:val="Heading1"/>
      </w:pPr>
      <w:r>
        <w:t xml:space="preserve">23. Architectural Consequences</w:t>
      </w:r>
    </w:p>
    <w:p>
      <w:pPr>
        <w:pStyle w:val="FirstParagraph"/>
      </w:pPr>
      <w:r>
        <w:t xml:space="preserve">Because workflows are declarative:</w:t>
      </w:r>
    </w:p>
    <w:p>
      <w:pPr>
        <w:pStyle w:val="BodyText"/>
      </w:pPr>
      <w:r>
        <w:t xml:space="preserve">Business logic remains reusable.</w:t>
      </w:r>
    </w:p>
    <w:p>
      <w:pPr>
        <w:pStyle w:val="BodyText"/>
      </w:pPr>
      <w:r>
        <w:t xml:space="preserve">Capabilities remain interchangeable.</w:t>
      </w:r>
    </w:p>
    <w:p>
      <w:pPr>
        <w:pStyle w:val="BodyText"/>
      </w:pPr>
      <w:r>
        <w:t xml:space="preserve">Applications remain lightweight.</w:t>
      </w:r>
    </w:p>
    <w:p>
      <w:pPr>
        <w:pStyle w:val="BodyText"/>
      </w:pPr>
      <w:r>
        <w:t xml:space="preserve">Execution becomes observable.</w:t>
      </w:r>
    </w:p>
    <w:p>
      <w:pPr>
        <w:pStyle w:val="BodyText"/>
      </w:pPr>
      <w:r>
        <w:t xml:space="preserve">Governance becomes comprehensive.</w:t>
      </w:r>
    </w:p>
    <w:p>
      <w:pPr>
        <w:pStyle w:val="BodyText"/>
      </w:pPr>
      <w:r>
        <w:t xml:space="preserve">Replay becomes possible.</w:t>
      </w:r>
    </w:p>
    <w:p>
      <w:pPr>
        <w:pStyle w:val="BodyText"/>
      </w:pPr>
      <w:r>
        <w:t xml:space="preserve">Knowledge accumulation remains independent of orchestration technology.</w:t>
      </w:r>
    </w:p>
    <w:p>
      <w:pPr>
        <w:pStyle w:val="BodyText"/>
      </w:pPr>
      <w:r>
        <w:t xml:space="preserve">The platform evolves through workflow composition rather than application redesign.</w:t>
      </w:r>
    </w:p>
    <w:p>
      <w:r>
        <w:pict>
          <v:rect style="width:0;height:1.5pt" o:hralign="center" o:hrstd="t" o:hr="t"/>
        </w:pict>
      </w:r>
    </w:p>
    <w:bookmarkEnd w:id="49"/>
    <w:bookmarkStart w:id="50" w:name="reference-workflow"/>
    <w:p>
      <w:pPr>
        <w:pStyle w:val="Heading1"/>
      </w:pPr>
      <w:r>
        <w:t xml:space="preserve">24. Reference Workflow</w:t>
      </w:r>
    </w:p>
    <w:p>
      <w:pPr>
        <w:pStyle w:val="FirstParagraph"/>
      </w:pPr>
      <w:r>
        <w:t xml:space="preserve">Lecture Imported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Register Asset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Extract Audio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Generate Transcript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Correct Transcript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Expand Vocabulary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Extract Knowledge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Generate Story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Generate Storyboard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Render Media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Editorial Approval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Publish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Update Knowledge Graph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Archive Evidence</w:t>
      </w:r>
    </w:p>
    <w:p>
      <w:pPr>
        <w:pStyle w:val="BodyText"/>
      </w:pPr>
      <w:r>
        <w:t xml:space="preserve">Each activity references Capabilities.</w:t>
      </w:r>
    </w:p>
    <w:p>
      <w:pPr>
        <w:pStyle w:val="BodyText"/>
      </w:pPr>
      <w:r>
        <w:t xml:space="preserve">Each transition occurs through Events.</w:t>
      </w:r>
    </w:p>
    <w:p>
      <w:pPr>
        <w:pStyle w:val="BodyText"/>
      </w:pPr>
      <w:r>
        <w:t xml:space="preserve">Each decision follows Policies.</w:t>
      </w:r>
    </w:p>
    <w:p>
      <w:pPr>
        <w:pStyle w:val="BodyText"/>
      </w:pPr>
      <w:r>
        <w:t xml:space="preserve">Each execution remains fully governed.</w:t>
      </w:r>
    </w:p>
    <w:p>
      <w:r>
        <w:pict>
          <v:rect style="width:0;height:1.5pt" o:hralign="center" o:hrstd="t" o:hr="t"/>
        </w:pict>
      </w:r>
    </w:p>
    <w:bookmarkEnd w:id="50"/>
    <w:bookmarkStart w:id="51" w:name="future-workflow-specifications"/>
    <w:p>
      <w:pPr>
        <w:pStyle w:val="Heading1"/>
      </w:pPr>
      <w:r>
        <w:t xml:space="preserve">25. Future Workflow Specifications</w:t>
      </w:r>
    </w:p>
    <w:p>
      <w:pPr>
        <w:pStyle w:val="FirstParagraph"/>
      </w:pPr>
      <w:r>
        <w:t xml:space="preserve">This specification defines the Workflow Definition Language.</w:t>
      </w:r>
    </w:p>
    <w:p>
      <w:pPr>
        <w:pStyle w:val="BodyText"/>
      </w:pPr>
      <w:r>
        <w:t xml:space="preserve">Future specifications SHALL extend this language.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KMOS-1510 Lecture Processing Workflow</w:t>
      </w:r>
    </w:p>
    <w:p>
      <w:pPr>
        <w:pStyle w:val="BodyText"/>
      </w:pPr>
      <w:r>
        <w:t xml:space="preserve">KMOS-1520 Preservation Workflow</w:t>
      </w:r>
    </w:p>
    <w:p>
      <w:pPr>
        <w:pStyle w:val="BodyText"/>
      </w:pPr>
      <w:r>
        <w:t xml:space="preserve">KMOS-1530 Publication Workflow</w:t>
      </w:r>
    </w:p>
    <w:p>
      <w:pPr>
        <w:pStyle w:val="BodyText"/>
      </w:pPr>
      <w:r>
        <w:t xml:space="preserve">KMOS-1540 Translation Workflow</w:t>
      </w:r>
    </w:p>
    <w:p>
      <w:pPr>
        <w:pStyle w:val="BodyText"/>
      </w:pPr>
      <w:r>
        <w:t xml:space="preserve">KMOS-1550 Knowledge Curation Workflow</w:t>
      </w:r>
    </w:p>
    <w:p>
      <w:pPr>
        <w:pStyle w:val="BodyText"/>
      </w:pPr>
      <w:r>
        <w:t xml:space="preserve">KMOS-1560 AI Collaboration Workflow</w:t>
      </w:r>
    </w:p>
    <w:p>
      <w:pPr>
        <w:pStyle w:val="BodyText"/>
      </w:pPr>
      <w:r>
        <w:t xml:space="preserve">KMOS-1570 Review &amp; Approval Workflow</w:t>
      </w:r>
    </w:p>
    <w:p>
      <w:pPr>
        <w:pStyle w:val="BodyText"/>
      </w:pPr>
      <w:r>
        <w:t xml:space="preserve">KMOS-1580 Archival Workflow</w:t>
      </w:r>
    </w:p>
    <w:p>
      <w:pPr>
        <w:pStyle w:val="BodyText"/>
      </w:pPr>
      <w:r>
        <w:t xml:space="preserve">Each specialization SHALL remain fully compatible with the canonical Workflow Definition Language.</w:t>
      </w:r>
    </w:p>
    <w:p>
      <w:r>
        <w:pict>
          <v:rect style="width:0;height:1.5pt" o:hralign="center" o:hrstd="t" o:hr="t"/>
        </w:pict>
      </w:r>
    </w:p>
    <w:bookmarkEnd w:id="51"/>
    <w:bookmarkStart w:id="52" w:name="next-specification"/>
    <w:p>
      <w:pPr>
        <w:pStyle w:val="Heading1"/>
      </w:pPr>
      <w:r>
        <w:t xml:space="preserve">26. Next Specification</w:t>
      </w:r>
    </w:p>
    <w:p>
      <w:pPr>
        <w:pStyle w:val="FirstParagraph"/>
      </w:pPr>
      <w:r>
        <w:t xml:space="preserve">KMOS-0160 defines the</w:t>
      </w:r>
      <w:r>
        <w:t xml:space="preserve"> </w:t>
      </w:r>
      <w:r>
        <w:rPr>
          <w:b/>
          <w:bCs/>
        </w:rPr>
        <w:t xml:space="preserve">Capability Development Kit (CDK) &amp; Runtime Standard</w:t>
      </w:r>
      <w:r>
        <w:t xml:space="preserve">.</w:t>
      </w:r>
    </w:p>
    <w:p>
      <w:pPr>
        <w:pStyle w:val="BodyText"/>
      </w:pPr>
      <w:r>
        <w:t xml:space="preserve">If:</w:t>
      </w:r>
    </w:p>
    <w:p>
      <w:pPr>
        <w:pStyle w:val="Compact"/>
        <w:numPr>
          <w:ilvl w:val="0"/>
          <w:numId w:val="1002"/>
        </w:numPr>
      </w:pPr>
      <w:r>
        <w:t xml:space="preserve">KMOS-0100 defines canonical business objects,</w:t>
      </w:r>
    </w:p>
    <w:p>
      <w:pPr>
        <w:pStyle w:val="Compact"/>
        <w:numPr>
          <w:ilvl w:val="0"/>
          <w:numId w:val="1002"/>
        </w:numPr>
      </w:pPr>
      <w:r>
        <w:t xml:space="preserve">KMOS-0110 defines canonical business events,</w:t>
      </w:r>
    </w:p>
    <w:p>
      <w:pPr>
        <w:pStyle w:val="Compact"/>
        <w:numPr>
          <w:ilvl w:val="0"/>
          <w:numId w:val="1002"/>
        </w:numPr>
      </w:pPr>
      <w:r>
        <w:t xml:space="preserve">KMOS-0120 defines capability contracts,</w:t>
      </w:r>
    </w:p>
    <w:p>
      <w:pPr>
        <w:pStyle w:val="Compact"/>
        <w:numPr>
          <w:ilvl w:val="0"/>
          <w:numId w:val="1002"/>
        </w:numPr>
      </w:pPr>
      <w:r>
        <w:t xml:space="preserve">KMOS-0130 defines institutional knowledge,</w:t>
      </w:r>
    </w:p>
    <w:p>
      <w:pPr>
        <w:pStyle w:val="Compact"/>
        <w:numPr>
          <w:ilvl w:val="0"/>
          <w:numId w:val="1002"/>
        </w:numPr>
      </w:pPr>
      <w:r>
        <w:t xml:space="preserve">KMOS-0140 defines institutional evidence,</w:t>
      </w:r>
    </w:p>
    <w:p>
      <w:pPr>
        <w:pStyle w:val="Compact"/>
        <w:numPr>
          <w:ilvl w:val="0"/>
          <w:numId w:val="1002"/>
        </w:numPr>
      </w:pPr>
      <w:r>
        <w:t xml:space="preserve">KMOS-0150 defines workflow orchestration,</w:t>
      </w:r>
    </w:p>
    <w:p>
      <w:pPr>
        <w:pStyle w:val="FirstParagraph"/>
      </w:pPr>
      <w:r>
        <w:t xml:space="preserve">then KMOS-0160 defines the engineering standard for building, packaging, testing, certifying, and operating Capabilities that conform to the KMOS architecture.</w:t>
      </w:r>
    </w:p>
    <w:p>
      <w:pPr>
        <w:pStyle w:val="BodyText"/>
      </w:pPr>
      <w:r>
        <w:t xml:space="preserve">Together these specifications establish a complete path from business architecture to executable platform components.</w:t>
      </w:r>
    </w:p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2026-06-30T09:03:13Z</dcterms:created>
  <dcterms:modified xsi:type="dcterms:W3CDTF">2026-06-30T09:03:13Z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