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60"/>
    <w:p>
      <w:pPr>
        <w:pStyle w:val="Heading1"/>
      </w:pPr>
      <w:r>
        <w:t xml:space="preserve">KMOS-0160</w:t>
      </w:r>
    </w:p>
    <w:bookmarkEnd w:id="20"/>
    <w:bookmarkStart w:id="21" w:name="Xe62194bdfb05c25db15fca6f7e33967fd4711fa"/>
    <w:p>
      <w:pPr>
        <w:pStyle w:val="Heading1"/>
      </w:pPr>
      <w:r>
        <w:t xml:space="preserve">Capability Development Kit (CDK) &amp; Runtime Standard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Capability Development Kit (CDK) and Runtime Standard for the Knowledge &amp; Media Operating System (KMOS).</w:t>
      </w:r>
    </w:p>
    <w:p>
      <w:pPr>
        <w:pStyle w:val="BodyText"/>
      </w:pPr>
      <w:r>
        <w:t xml:space="preserve">The CDK establishes the engineering requirements for designing, implementing, packaging, testing, certifying, deploying, and operating Capabilities.</w:t>
      </w:r>
    </w:p>
    <w:p>
      <w:pPr>
        <w:pStyle w:val="BodyText"/>
      </w:pPr>
      <w:r>
        <w:t xml:space="preserve">Every executable Capability claiming compliance with KMOS SHALL conform to this specification.</w:t>
      </w:r>
    </w:p>
    <w:p>
      <w:pPr>
        <w:pStyle w:val="BodyText"/>
      </w:pPr>
      <w:r>
        <w:t xml:space="preserve">The CDK standard ensures that Capabilities developed by different teams, organizations, or vendors remain interoperable, discoverable, governable, and replaceable.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Capability project structure</w:t>
      </w:r>
    </w:p>
    <w:p>
      <w:pPr>
        <w:pStyle w:val="Compact"/>
        <w:numPr>
          <w:ilvl w:val="0"/>
          <w:numId w:val="1001"/>
        </w:numPr>
      </w:pPr>
      <w:r>
        <w:t xml:space="preserve">Capability manifests</w:t>
      </w:r>
    </w:p>
    <w:p>
      <w:pPr>
        <w:pStyle w:val="Compact"/>
        <w:numPr>
          <w:ilvl w:val="0"/>
          <w:numId w:val="1001"/>
        </w:numPr>
      </w:pPr>
      <w:r>
        <w:t xml:space="preserve">Runtime contracts</w:t>
      </w:r>
    </w:p>
    <w:p>
      <w:pPr>
        <w:pStyle w:val="Compact"/>
        <w:numPr>
          <w:ilvl w:val="0"/>
          <w:numId w:val="1001"/>
        </w:numPr>
      </w:pPr>
      <w:r>
        <w:t xml:space="preserve">Packaging</w:t>
      </w:r>
    </w:p>
    <w:p>
      <w:pPr>
        <w:pStyle w:val="Compact"/>
        <w:numPr>
          <w:ilvl w:val="0"/>
          <w:numId w:val="1001"/>
        </w:numPr>
      </w:pPr>
      <w:r>
        <w:t xml:space="preserve">Registration</w:t>
      </w:r>
    </w:p>
    <w:p>
      <w:pPr>
        <w:pStyle w:val="Compact"/>
        <w:numPr>
          <w:ilvl w:val="0"/>
          <w:numId w:val="1001"/>
        </w:numPr>
      </w:pPr>
      <w:r>
        <w:t xml:space="preserve">Discovery</w:t>
      </w:r>
    </w:p>
    <w:p>
      <w:pPr>
        <w:pStyle w:val="Compact"/>
        <w:numPr>
          <w:ilvl w:val="0"/>
          <w:numId w:val="1001"/>
        </w:numPr>
      </w:pPr>
      <w:r>
        <w:t xml:space="preserve">Configuration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Certification</w:t>
      </w:r>
    </w:p>
    <w:p>
      <w:pPr>
        <w:pStyle w:val="Compact"/>
        <w:numPr>
          <w:ilvl w:val="0"/>
          <w:numId w:val="1001"/>
        </w:numPr>
      </w:pPr>
      <w:r>
        <w:t xml:space="preserve">Deployment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Lifecycle</w:t>
      </w:r>
    </w:p>
    <w:p>
      <w:pPr>
        <w:pStyle w:val="Compact"/>
        <w:numPr>
          <w:ilvl w:val="0"/>
          <w:numId w:val="1001"/>
        </w:numPr>
      </w:pPr>
      <w:r>
        <w:t xml:space="preserve">Conformance</w:t>
      </w:r>
    </w:p>
    <w:p>
      <w:pPr>
        <w:pStyle w:val="FirstParagraph"/>
      </w:pPr>
      <w:r>
        <w:t xml:space="preserve">This specification intentionally does not prescribe programming languages or software frameworks.</w:t>
      </w:r>
    </w:p>
    <w:p>
      <w:r>
        <w:pict>
          <v:rect style="width:0;height:1.5pt" o:hralign="center" o:hrstd="t" o:hr="t"/>
        </w:pict>
      </w:r>
    </w:p>
    <w:bookmarkEnd w:id="23"/>
    <w:bookmarkStart w:id="24" w:name="engineering-philosophy"/>
    <w:p>
      <w:pPr>
        <w:pStyle w:val="Heading1"/>
      </w:pPr>
      <w:r>
        <w:t xml:space="preserve">3. Engineering Philosophy</w:t>
      </w:r>
    </w:p>
    <w:p>
      <w:pPr>
        <w:pStyle w:val="FirstParagraph"/>
      </w:pPr>
      <w:r>
        <w:t xml:space="preserve">Capabilities are business assets.</w:t>
      </w:r>
    </w:p>
    <w:p>
      <w:pPr>
        <w:pStyle w:val="BodyText"/>
      </w:pPr>
      <w:r>
        <w:t xml:space="preserve">Source code is one implementation.</w:t>
      </w:r>
    </w:p>
    <w:p>
      <w:pPr>
        <w:pStyle w:val="BodyText"/>
      </w:pPr>
      <w:r>
        <w:t xml:space="preserve">Containers are one deployment mechanism.</w:t>
      </w:r>
    </w:p>
    <w:p>
      <w:pPr>
        <w:pStyle w:val="BodyText"/>
      </w:pPr>
      <w:r>
        <w:t xml:space="preserve">Programming languages are implementation choices.</w:t>
      </w:r>
    </w:p>
    <w:p>
      <w:pPr>
        <w:pStyle w:val="BodyText"/>
      </w:pPr>
      <w:r>
        <w:t xml:space="preserve">The Capability contract remains the permanent engineering interface.</w:t>
      </w:r>
    </w:p>
    <w:p>
      <w:pPr>
        <w:pStyle w:val="BodyText"/>
      </w:pPr>
      <w:r>
        <w:t xml:space="preserve">The CDK exists to standardize that interface.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inciples"/>
    <w:p>
      <w:pPr>
        <w:pStyle w:val="Heading1"/>
      </w:pPr>
      <w:r>
        <w:t xml:space="preserve">4. Design Principles</w:t>
      </w:r>
    </w:p>
    <w:p>
      <w:pPr>
        <w:pStyle w:val="FirstParagraph"/>
      </w:pPr>
      <w:r>
        <w:t xml:space="preserve">Every Capability SHALL be:</w:t>
      </w:r>
    </w:p>
    <w:p>
      <w:pPr>
        <w:pStyle w:val="BodyText"/>
      </w:pPr>
      <w:r>
        <w:t xml:space="preserve">Self-Describing</w:t>
      </w:r>
    </w:p>
    <w:p>
      <w:pPr>
        <w:pStyle w:val="BodyText"/>
      </w:pPr>
      <w:r>
        <w:t xml:space="preserve">Self-Registering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Configurable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Secure</w:t>
      </w:r>
    </w:p>
    <w:p>
      <w:pPr>
        <w:pStyle w:val="BodyText"/>
      </w:pPr>
      <w:r>
        <w:t xml:space="preserve">Portable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Replaceable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Capabilities SHALL minimize assumptions about runtime infrastructure.</w:t>
      </w:r>
    </w:p>
    <w:p>
      <w:r>
        <w:pict>
          <v:rect style="width:0;height:1.5pt" o:hralign="center" o:hrstd="t" o:hr="t"/>
        </w:pict>
      </w:r>
    </w:p>
    <w:bookmarkEnd w:id="25"/>
    <w:bookmarkStart w:id="26" w:name="capability-package"/>
    <w:p>
      <w:pPr>
        <w:pStyle w:val="Heading1"/>
      </w:pPr>
      <w:r>
        <w:t xml:space="preserve">5. Capability Package</w:t>
      </w:r>
    </w:p>
    <w:p>
      <w:pPr>
        <w:pStyle w:val="FirstParagraph"/>
      </w:pPr>
      <w:r>
        <w:t xml:space="preserve">A deployable Capability consists of:</w:t>
      </w:r>
    </w:p>
    <w:p>
      <w:pPr>
        <w:pStyle w:val="BodyText"/>
      </w:pPr>
      <w:r>
        <w:t xml:space="preserve">Capability Manifest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Contract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Executable 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Configuration Schema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 Suite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Certification Metadata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 Descriptor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Operational Metadata</w:t>
      </w:r>
    </w:p>
    <w:p>
      <w:pPr>
        <w:pStyle w:val="BodyText"/>
      </w:pPr>
      <w:r>
        <w:t xml:space="preserve">All components collectively form a Capability Package.</w:t>
      </w:r>
    </w:p>
    <w:p>
      <w:r>
        <w:pict>
          <v:rect style="width:0;height:1.5pt" o:hralign="center" o:hrstd="t" o:hr="t"/>
        </w:pict>
      </w:r>
    </w:p>
    <w:bookmarkEnd w:id="26"/>
    <w:bookmarkStart w:id="27" w:name="standard-project-structure"/>
    <w:p>
      <w:pPr>
        <w:pStyle w:val="Heading1"/>
      </w:pPr>
      <w:r>
        <w:t xml:space="preserve">6. Standard Project Structure</w:t>
      </w:r>
    </w:p>
    <w:p>
      <w:pPr>
        <w:pStyle w:val="FirstParagraph"/>
      </w:pPr>
      <w:r>
        <w:t xml:space="preserve">Every Capability SHOULD follow a common logical structure.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Manifest</w:t>
      </w:r>
    </w:p>
    <w:p>
      <w:pPr>
        <w:pStyle w:val="BodyText"/>
      </w:pPr>
      <w:r>
        <w:t xml:space="preserve">Business Contract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This logical structure SHALL remain independent of repository layout.</w:t>
      </w:r>
    </w:p>
    <w:p>
      <w:r>
        <w:pict>
          <v:rect style="width:0;height:1.5pt" o:hralign="center" o:hrstd="t" o:hr="t"/>
        </w:pict>
      </w:r>
    </w:p>
    <w:bookmarkEnd w:id="27"/>
    <w:bookmarkStart w:id="28" w:name="capability-manifest"/>
    <w:p>
      <w:pPr>
        <w:pStyle w:val="Heading1"/>
      </w:pPr>
      <w:r>
        <w:t xml:space="preserve">7. Capability Manifest</w:t>
      </w:r>
    </w:p>
    <w:p>
      <w:pPr>
        <w:pStyle w:val="FirstParagraph"/>
      </w:pPr>
      <w:r>
        <w:t xml:space="preserve">Every Capability SHALL publish a canonical manifest.</w:t>
      </w:r>
    </w:p>
    <w:p>
      <w:pPr>
        <w:pStyle w:val="BodyText"/>
      </w:pPr>
      <w:r>
        <w:t xml:space="preserve">The manifest SHALL include:</w:t>
      </w:r>
    </w:p>
    <w:p>
      <w:pPr>
        <w:pStyle w:val="BodyText"/>
      </w:pPr>
      <w:r>
        <w:t xml:space="preserve">Capability Identifier</w:t>
      </w:r>
    </w:p>
    <w:p>
      <w:pPr>
        <w:pStyle w:val="BodyText"/>
      </w:pPr>
      <w:r>
        <w:t xml:space="preserve">Canonical Name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Lifecycle State</w:t>
      </w:r>
    </w:p>
    <w:p>
      <w:pPr>
        <w:pStyle w:val="BodyText"/>
      </w:pPr>
      <w:r>
        <w:t xml:space="preserve">Supported Object Types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Configuration Schema</w:t>
      </w:r>
    </w:p>
    <w:p>
      <w:pPr>
        <w:pStyle w:val="BodyText"/>
      </w:pPr>
      <w:r>
        <w:t xml:space="preserve">Security Requirements</w:t>
      </w:r>
    </w:p>
    <w:p>
      <w:pPr>
        <w:pStyle w:val="BodyText"/>
      </w:pPr>
      <w:r>
        <w:t xml:space="preserve">Runtime Requirements</w:t>
      </w:r>
    </w:p>
    <w:p>
      <w:pPr>
        <w:pStyle w:val="BodyText"/>
      </w:pPr>
      <w:r>
        <w:t xml:space="preserve">Certification Level</w:t>
      </w:r>
    </w:p>
    <w:p>
      <w:pPr>
        <w:pStyle w:val="BodyText"/>
      </w:pPr>
      <w:r>
        <w:t xml:space="preserve">Documentation References</w:t>
      </w:r>
    </w:p>
    <w:p>
      <w:pPr>
        <w:pStyle w:val="BodyText"/>
      </w:pPr>
      <w:r>
        <w:t xml:space="preserve">The manifest SHALL be machine-readable.</w:t>
      </w:r>
    </w:p>
    <w:p>
      <w:r>
        <w:pict>
          <v:rect style="width:0;height:1.5pt" o:hralign="center" o:hrstd="t" o:hr="t"/>
        </w:pict>
      </w:r>
    </w:p>
    <w:bookmarkEnd w:id="28"/>
    <w:bookmarkStart w:id="29" w:name="runtime-contract"/>
    <w:p>
      <w:pPr>
        <w:pStyle w:val="Heading1"/>
      </w:pPr>
      <w:r>
        <w:t xml:space="preserve">8. Runtime Contract</w:t>
      </w:r>
    </w:p>
    <w:p>
      <w:pPr>
        <w:pStyle w:val="FirstParagraph"/>
      </w:pPr>
      <w:r>
        <w:t xml:space="preserve">Every Capability SHALL expose the following runtime information.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Readiness</w:t>
      </w:r>
    </w:p>
    <w:p>
      <w:pPr>
        <w:pStyle w:val="BodyText"/>
      </w:pPr>
      <w:r>
        <w:t xml:space="preserve">Supported Operations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Configuration Version</w:t>
      </w:r>
    </w:p>
    <w:p>
      <w:pPr>
        <w:pStyle w:val="BodyText"/>
      </w:pPr>
      <w:r>
        <w:t xml:space="preserve">Operational Status</w:t>
      </w:r>
    </w:p>
    <w:p>
      <w:pPr>
        <w:pStyle w:val="BodyText"/>
      </w:pPr>
      <w:r>
        <w:t xml:space="preserve">Current Lifecycle State</w:t>
      </w:r>
    </w:p>
    <w:p>
      <w:pPr>
        <w:pStyle w:val="BodyText"/>
      </w:pPr>
      <w:r>
        <w:t xml:space="preserve">The Runtime Contract SHALL remain stable across implementations.</w:t>
      </w:r>
    </w:p>
    <w:p>
      <w:r>
        <w:pict>
          <v:rect style="width:0;height:1.5pt" o:hralign="center" o:hrstd="t" o:hr="t"/>
        </w:pict>
      </w:r>
    </w:p>
    <w:bookmarkEnd w:id="29"/>
    <w:bookmarkStart w:id="30" w:name="configuration"/>
    <w:p>
      <w:pPr>
        <w:pStyle w:val="Heading1"/>
      </w:pPr>
      <w:r>
        <w:t xml:space="preserve">9. Configuration</w:t>
      </w:r>
    </w:p>
    <w:p>
      <w:pPr>
        <w:pStyle w:val="FirstParagraph"/>
      </w:pPr>
      <w:r>
        <w:t xml:space="preserve">Configuration SHALL be externalized.</w:t>
      </w:r>
    </w:p>
    <w:p>
      <w:pPr>
        <w:pStyle w:val="BodyText"/>
      </w:pPr>
      <w:r>
        <w:t xml:space="preserve">Configuration categories include:</w:t>
      </w:r>
    </w:p>
    <w:p>
      <w:pPr>
        <w:pStyle w:val="BodyText"/>
      </w:pPr>
      <w:r>
        <w:t xml:space="preserve">Business Configuration</w:t>
      </w:r>
    </w:p>
    <w:p>
      <w:pPr>
        <w:pStyle w:val="BodyText"/>
      </w:pPr>
      <w:r>
        <w:t xml:space="preserve">Operational Configuration</w:t>
      </w:r>
    </w:p>
    <w:p>
      <w:pPr>
        <w:pStyle w:val="BodyText"/>
      </w:pPr>
      <w:r>
        <w:t xml:space="preserve">Security Configuration</w:t>
      </w:r>
    </w:p>
    <w:p>
      <w:pPr>
        <w:pStyle w:val="BodyText"/>
      </w:pPr>
      <w:r>
        <w:t xml:space="preserve">Model Selection</w:t>
      </w:r>
    </w:p>
    <w:p>
      <w:pPr>
        <w:pStyle w:val="BodyText"/>
      </w:pPr>
      <w:r>
        <w:t xml:space="preserve">Performance Parameters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Environment Settings</w:t>
      </w:r>
    </w:p>
    <w:p>
      <w:pPr>
        <w:pStyle w:val="BodyText"/>
      </w:pPr>
      <w:r>
        <w:t xml:space="preserve">Configuration SHALL be versioned and governed.</w:t>
      </w:r>
    </w:p>
    <w:p>
      <w:pPr>
        <w:pStyle w:val="BodyText"/>
      </w:pPr>
      <w:r>
        <w:t xml:space="preserve">Capabilities SHALL NOT require source code changes for operational configuration.</w:t>
      </w:r>
    </w:p>
    <w:p>
      <w:r>
        <w:pict>
          <v:rect style="width:0;height:1.5pt" o:hralign="center" o:hrstd="t" o:hr="t"/>
        </w:pict>
      </w:r>
    </w:p>
    <w:bookmarkEnd w:id="30"/>
    <w:bookmarkStart w:id="31" w:name="dependency-model"/>
    <w:p>
      <w:pPr>
        <w:pStyle w:val="Heading1"/>
      </w:pPr>
      <w:r>
        <w:t xml:space="preserve">10. Dependency Model</w:t>
      </w:r>
    </w:p>
    <w:p>
      <w:pPr>
        <w:pStyle w:val="FirstParagraph"/>
      </w:pPr>
      <w:r>
        <w:t xml:space="preserve">Capabilities SHALL explicitly declare dependencies.</w:t>
      </w:r>
    </w:p>
    <w:p>
      <w:pPr>
        <w:pStyle w:val="BodyText"/>
      </w:pPr>
      <w:r>
        <w:t xml:space="preserve">Dependency categories include:</w:t>
      </w:r>
    </w:p>
    <w:p>
      <w:pPr>
        <w:pStyle w:val="BodyText"/>
      </w:pPr>
      <w:r>
        <w:t xml:space="preserve">Platform Services</w:t>
      </w:r>
    </w:p>
    <w:p>
      <w:pPr>
        <w:pStyle w:val="BodyText"/>
      </w:pPr>
      <w:r>
        <w:t xml:space="preserve">Other Capabilities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Knowledge Sources</w:t>
      </w:r>
    </w:p>
    <w:p>
      <w:pPr>
        <w:pStyle w:val="BodyText"/>
      </w:pPr>
      <w:r>
        <w:t xml:space="preserve">Connectors</w:t>
      </w:r>
    </w:p>
    <w:p>
      <w:pPr>
        <w:pStyle w:val="BodyText"/>
      </w:pPr>
      <w:r>
        <w:t xml:space="preserve">External Services</w:t>
      </w:r>
    </w:p>
    <w:p>
      <w:pPr>
        <w:pStyle w:val="BodyText"/>
      </w:pPr>
      <w:r>
        <w:t xml:space="preserve">Runtime Libraries</w:t>
      </w:r>
    </w:p>
    <w:p>
      <w:pPr>
        <w:pStyle w:val="BodyText"/>
      </w:pPr>
      <w:r>
        <w:t xml:space="preserve">Hidden dependencies are prohibited.</w:t>
      </w:r>
    </w:p>
    <w:p>
      <w:pPr>
        <w:pStyle w:val="BodyText"/>
      </w:pPr>
      <w:r>
        <w:t xml:space="preserve">The platform SHALL validate dependency integrity before activation.</w:t>
      </w:r>
    </w:p>
    <w:p>
      <w:r>
        <w:pict>
          <v:rect style="width:0;height:1.5pt" o:hralign="center" o:hrstd="t" o:hr="t"/>
        </w:pict>
      </w:r>
    </w:p>
    <w:bookmarkEnd w:id="31"/>
    <w:bookmarkStart w:id="32" w:name="packaging"/>
    <w:p>
      <w:pPr>
        <w:pStyle w:val="Heading1"/>
      </w:pPr>
      <w:r>
        <w:t xml:space="preserve">11. Packaging</w:t>
      </w:r>
    </w:p>
    <w:p>
      <w:pPr>
        <w:pStyle w:val="FirstParagraph"/>
      </w:pPr>
      <w:r>
        <w:t xml:space="preserve">Capability Packages SHALL be deployment independent.</w:t>
      </w:r>
    </w:p>
    <w:p>
      <w:pPr>
        <w:pStyle w:val="BodyText"/>
      </w:pPr>
      <w:r>
        <w:t xml:space="preserve">Supported packaging technologies MAY include:</w:t>
      </w:r>
    </w:p>
    <w:p>
      <w:pPr>
        <w:pStyle w:val="BodyText"/>
      </w:pPr>
      <w:r>
        <w:t xml:space="preserve">Containers</w:t>
      </w:r>
    </w:p>
    <w:p>
      <w:pPr>
        <w:pStyle w:val="BodyText"/>
      </w:pPr>
      <w:r>
        <w:t xml:space="preserve">Native Executables</w:t>
      </w:r>
    </w:p>
    <w:p>
      <w:pPr>
        <w:pStyle w:val="BodyText"/>
      </w:pPr>
      <w:r>
        <w:t xml:space="preserve">Virtual Machines</w:t>
      </w:r>
    </w:p>
    <w:p>
      <w:pPr>
        <w:pStyle w:val="BodyText"/>
      </w:pPr>
      <w:r>
        <w:t xml:space="preserve">Serverless Packages</w:t>
      </w:r>
    </w:p>
    <w:p>
      <w:pPr>
        <w:pStyle w:val="BodyText"/>
      </w:pPr>
      <w:r>
        <w:t xml:space="preserve">Plugin Packages</w:t>
      </w:r>
    </w:p>
    <w:p>
      <w:pPr>
        <w:pStyle w:val="BodyText"/>
      </w:pPr>
      <w:r>
        <w:t xml:space="preserve">Embedded Components</w:t>
      </w:r>
    </w:p>
    <w:p>
      <w:pPr>
        <w:pStyle w:val="BodyText"/>
      </w:pPr>
      <w:r>
        <w:t xml:space="preserve">Future packaging technologies</w:t>
      </w:r>
    </w:p>
    <w:p>
      <w:pPr>
        <w:pStyle w:val="BodyText"/>
      </w:pPr>
      <w:r>
        <w:t xml:space="preserve">Packaging SHALL NOT alter business contracts.</w:t>
      </w:r>
    </w:p>
    <w:p>
      <w:r>
        <w:pict>
          <v:rect style="width:0;height:1.5pt" o:hralign="center" o:hrstd="t" o:hr="t"/>
        </w:pict>
      </w:r>
    </w:p>
    <w:bookmarkEnd w:id="32"/>
    <w:bookmarkStart w:id="33" w:name="registration"/>
    <w:p>
      <w:pPr>
        <w:pStyle w:val="Heading1"/>
      </w:pPr>
      <w:r>
        <w:t xml:space="preserve">12. Registration</w:t>
      </w:r>
    </w:p>
    <w:p>
      <w:pPr>
        <w:pStyle w:val="FirstParagraph"/>
      </w:pPr>
      <w:r>
        <w:t xml:space="preserve">At startup every Capability SHALL register with the Capability Registry.</w:t>
      </w:r>
    </w:p>
    <w:p>
      <w:pPr>
        <w:pStyle w:val="BodyText"/>
      </w:pPr>
      <w:r>
        <w:t xml:space="preserve">Registration SHALL include: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Manifest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Supported Operations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Operational Status</w:t>
      </w:r>
    </w:p>
    <w:p>
      <w:pPr>
        <w:pStyle w:val="BodyText"/>
      </w:pPr>
      <w:r>
        <w:t xml:space="preserve">Current Endpoint Information</w:t>
      </w:r>
    </w:p>
    <w:p>
      <w:pPr>
        <w:pStyle w:val="BodyText"/>
      </w:pPr>
      <w:r>
        <w:t xml:space="preserve">Registration SHALL be repeatable and idempotent.</w:t>
      </w:r>
    </w:p>
    <w:p>
      <w:r>
        <w:pict>
          <v:rect style="width:0;height:1.5pt" o:hralign="center" o:hrstd="t" o:hr="t"/>
        </w:pict>
      </w:r>
    </w:p>
    <w:bookmarkEnd w:id="33"/>
    <w:bookmarkStart w:id="34" w:name="discovery"/>
    <w:p>
      <w:pPr>
        <w:pStyle w:val="Heading1"/>
      </w:pPr>
      <w:r>
        <w:t xml:space="preserve">13. Discovery</w:t>
      </w:r>
    </w:p>
    <w:p>
      <w:pPr>
        <w:pStyle w:val="FirstParagraph"/>
      </w:pPr>
      <w:r>
        <w:t xml:space="preserve">Capabilities SHALL be discoverable through the Capability Registry.</w:t>
      </w:r>
    </w:p>
    <w:p>
      <w:pPr>
        <w:pStyle w:val="BodyText"/>
      </w:pPr>
      <w:r>
        <w:t xml:space="preserve">Discovery SHALL support: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Capability Type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Supported Inputs</w:t>
      </w:r>
    </w:p>
    <w:p>
      <w:pPr>
        <w:pStyle w:val="BodyText"/>
      </w:pPr>
      <w:r>
        <w:t xml:space="preserve">Supported Outputs</w:t>
      </w:r>
    </w:p>
    <w:p>
      <w:pPr>
        <w:pStyle w:val="BodyText"/>
      </w:pPr>
      <w:r>
        <w:t xml:space="preserve">Lifecycle State</w:t>
      </w:r>
    </w:p>
    <w:p>
      <w:pPr>
        <w:pStyle w:val="BodyText"/>
      </w:pPr>
      <w:r>
        <w:t xml:space="preserve">Operational Status</w:t>
      </w:r>
    </w:p>
    <w:p>
      <w:pPr>
        <w:pStyle w:val="BodyText"/>
      </w:pPr>
      <w:r>
        <w:t xml:space="preserve">Event Participation</w:t>
      </w:r>
    </w:p>
    <w:p>
      <w:pPr>
        <w:pStyle w:val="BodyText"/>
      </w:pPr>
      <w:r>
        <w:t xml:space="preserve">Applications SHALL NOT hardcode runtime locations.</w:t>
      </w:r>
    </w:p>
    <w:p>
      <w:r>
        <w:pict>
          <v:rect style="width:0;height:1.5pt" o:hralign="center" o:hrstd="t" o:hr="t"/>
        </w:pict>
      </w:r>
    </w:p>
    <w:bookmarkEnd w:id="34"/>
    <w:bookmarkStart w:id="35" w:name="health-model"/>
    <w:p>
      <w:pPr>
        <w:pStyle w:val="Heading1"/>
      </w:pPr>
      <w:r>
        <w:t xml:space="preserve">14. Health Model</w:t>
      </w:r>
    </w:p>
    <w:p>
      <w:pPr>
        <w:pStyle w:val="FirstParagraph"/>
      </w:pPr>
      <w:r>
        <w:t xml:space="preserve">Every Capability SHALL expose health information.</w:t>
      </w:r>
    </w:p>
    <w:p>
      <w:pPr>
        <w:pStyle w:val="BodyText"/>
      </w:pPr>
      <w:r>
        <w:t xml:space="preserve">Health states include:</w:t>
      </w:r>
    </w:p>
    <w:p>
      <w:pPr>
        <w:pStyle w:val="BodyText"/>
      </w:pPr>
      <w:r>
        <w:t xml:space="preserve">Unknown</w:t>
      </w:r>
    </w:p>
    <w:p>
      <w:pPr>
        <w:pStyle w:val="BodyText"/>
      </w:pPr>
      <w:r>
        <w:t xml:space="preserve">Starting</w:t>
      </w:r>
    </w:p>
    <w:p>
      <w:pPr>
        <w:pStyle w:val="BodyText"/>
      </w:pPr>
      <w:r>
        <w:t xml:space="preserve">Ready</w:t>
      </w:r>
    </w:p>
    <w:p>
      <w:pPr>
        <w:pStyle w:val="BodyText"/>
      </w:pPr>
      <w:r>
        <w:t xml:space="preserve">Busy</w:t>
      </w:r>
    </w:p>
    <w:p>
      <w:pPr>
        <w:pStyle w:val="BodyText"/>
      </w:pPr>
      <w:r>
        <w:t xml:space="preserve">Degraded</w:t>
      </w:r>
    </w:p>
    <w:p>
      <w:pPr>
        <w:pStyle w:val="BodyText"/>
      </w:pPr>
      <w:r>
        <w:t xml:space="preserve">Unavailable</w:t>
      </w:r>
    </w:p>
    <w:p>
      <w:pPr>
        <w:pStyle w:val="BodyText"/>
      </w:pPr>
      <w:r>
        <w:t xml:space="preserve">Retired</w:t>
      </w:r>
    </w:p>
    <w:p>
      <w:pPr>
        <w:pStyle w:val="BodyText"/>
      </w:pPr>
      <w:r>
        <w:t xml:space="preserve">Health SHALL distinguish operational failures from business failures.</w:t>
      </w:r>
    </w:p>
    <w:p>
      <w:r>
        <w:pict>
          <v:rect style="width:0;height:1.5pt" o:hralign="center" o:hrstd="t" o:hr="t"/>
        </w:pict>
      </w:r>
    </w:p>
    <w:bookmarkEnd w:id="35"/>
    <w:bookmarkStart w:id="36" w:name="observability"/>
    <w:p>
      <w:pPr>
        <w:pStyle w:val="Heading1"/>
      </w:pPr>
      <w:r>
        <w:t xml:space="preserve">15. Observability</w:t>
      </w:r>
    </w:p>
    <w:p>
      <w:pPr>
        <w:pStyle w:val="FirstParagraph"/>
      </w:pPr>
      <w:r>
        <w:t xml:space="preserve">Capabilities SHALL publish:</w:t>
      </w:r>
    </w:p>
    <w:p>
      <w:pPr>
        <w:pStyle w:val="BodyText"/>
      </w:pPr>
      <w:r>
        <w:t xml:space="preserve">Structured Logs</w:t>
      </w:r>
    </w:p>
    <w:p>
      <w:pPr>
        <w:pStyle w:val="BodyText"/>
      </w:pPr>
      <w:r>
        <w:t xml:space="preserve">Distributed Traces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Execution Events</w:t>
      </w:r>
    </w:p>
    <w:p>
      <w:pPr>
        <w:pStyle w:val="BodyText"/>
      </w:pPr>
      <w:r>
        <w:t xml:space="preserve">Performance Statistics</w:t>
      </w:r>
    </w:p>
    <w:p>
      <w:pPr>
        <w:pStyle w:val="BodyText"/>
      </w:pPr>
      <w:r>
        <w:t xml:space="preserve">Resource Consumption</w:t>
      </w:r>
    </w:p>
    <w:p>
      <w:pPr>
        <w:pStyle w:val="BodyText"/>
      </w:pPr>
      <w:r>
        <w:t xml:space="preserve">Operational Alerts</w:t>
      </w:r>
    </w:p>
    <w:p>
      <w:pPr>
        <w:pStyle w:val="BodyText"/>
      </w:pPr>
      <w:r>
        <w:t xml:space="preserve">Business Metrics</w:t>
      </w:r>
    </w:p>
    <w:p>
      <w:pPr>
        <w:pStyle w:val="BodyText"/>
      </w:pPr>
      <w:r>
        <w:t xml:space="preserve">Observability SHALL integrate with platform governance.</w:t>
      </w:r>
    </w:p>
    <w:p>
      <w:r>
        <w:pict>
          <v:rect style="width:0;height:1.5pt" o:hralign="center" o:hrstd="t" o:hr="t"/>
        </w:pict>
      </w:r>
    </w:p>
    <w:bookmarkEnd w:id="36"/>
    <w:bookmarkStart w:id="37" w:name="testing"/>
    <w:p>
      <w:pPr>
        <w:pStyle w:val="Heading1"/>
      </w:pPr>
      <w:r>
        <w:t xml:space="preserve">16. Testing</w:t>
      </w:r>
    </w:p>
    <w:p>
      <w:pPr>
        <w:pStyle w:val="FirstParagraph"/>
      </w:pPr>
      <w:r>
        <w:t xml:space="preserve">Every Capability SHALL include automated tests.</w:t>
      </w:r>
    </w:p>
    <w:p>
      <w:pPr>
        <w:pStyle w:val="BodyText"/>
      </w:pPr>
      <w:r>
        <w:t xml:space="preserve">Minimum categories include: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Contract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Workflow Compatibility Tests</w:t>
      </w:r>
    </w:p>
    <w:p>
      <w:pPr>
        <w:pStyle w:val="BodyText"/>
      </w:pPr>
      <w:r>
        <w:t xml:space="preserve">Performance Tests</w:t>
      </w:r>
    </w:p>
    <w:p>
      <w:pPr>
        <w:pStyle w:val="BodyText"/>
      </w:pPr>
      <w:r>
        <w:t xml:space="preserve">Security Tests</w:t>
      </w:r>
    </w:p>
    <w:p>
      <w:pPr>
        <w:pStyle w:val="BodyText"/>
      </w:pPr>
      <w:r>
        <w:t xml:space="preserve">Regression Tests</w:t>
      </w:r>
    </w:p>
    <w:p>
      <w:pPr>
        <w:pStyle w:val="BodyText"/>
      </w:pPr>
      <w:r>
        <w:t xml:space="preserve">Certification Tests</w:t>
      </w:r>
    </w:p>
    <w:p>
      <w:pPr>
        <w:pStyle w:val="BodyText"/>
      </w:pPr>
      <w:r>
        <w:t xml:space="preserve">Testing SHALL validate business contracts in addition to implementation correctness.</w:t>
      </w:r>
    </w:p>
    <w:p>
      <w:r>
        <w:pict>
          <v:rect style="width:0;height:1.5pt" o:hralign="center" o:hrstd="t" o:hr="t"/>
        </w:pict>
      </w:r>
    </w:p>
    <w:bookmarkEnd w:id="37"/>
    <w:bookmarkStart w:id="38" w:name="certification"/>
    <w:p>
      <w:pPr>
        <w:pStyle w:val="Heading1"/>
      </w:pPr>
      <w:r>
        <w:t xml:space="preserve">17. Certification</w:t>
      </w:r>
    </w:p>
    <w:p>
      <w:pPr>
        <w:pStyle w:val="FirstParagraph"/>
      </w:pPr>
      <w:r>
        <w:t xml:space="preserve">Capabilities SHALL undergo certification.</w:t>
      </w:r>
    </w:p>
    <w:p>
      <w:pPr>
        <w:pStyle w:val="BodyText"/>
      </w:pPr>
      <w:r>
        <w:t xml:space="preserve">Certification levels include:</w:t>
      </w:r>
    </w:p>
    <w:p>
      <w:pPr>
        <w:pStyle w:val="BodyText"/>
      </w:pPr>
      <w:r>
        <w:t xml:space="preserve">Experimental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Reference Implementation</w:t>
      </w:r>
    </w:p>
    <w:p>
      <w:pPr>
        <w:pStyle w:val="BodyText"/>
      </w:pPr>
      <w:r>
        <w:t xml:space="preserve">Certification SHALL evaluate:</w:t>
      </w:r>
    </w:p>
    <w:p>
      <w:pPr>
        <w:pStyle w:val="BodyText"/>
      </w:pPr>
      <w:r>
        <w:t xml:space="preserve">Business Compliance</w:t>
      </w:r>
    </w:p>
    <w:p>
      <w:pPr>
        <w:pStyle w:val="BodyText"/>
      </w:pPr>
      <w:r>
        <w:t xml:space="preserve">Contract Compatibility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Operational Readiness</w:t>
      </w:r>
    </w:p>
    <w:p>
      <w:pPr>
        <w:pStyle w:val="BodyText"/>
      </w:pPr>
      <w:r>
        <w:t xml:space="preserve">Certified Capabilities become reusable platform assets.</w:t>
      </w:r>
    </w:p>
    <w:p>
      <w:r>
        <w:pict>
          <v:rect style="width:0;height:1.5pt" o:hralign="center" o:hrstd="t" o:hr="t"/>
        </w:pict>
      </w:r>
    </w:p>
    <w:bookmarkEnd w:id="38"/>
    <w:bookmarkStart w:id="39" w:name="security"/>
    <w:p>
      <w:pPr>
        <w:pStyle w:val="Heading1"/>
      </w:pPr>
      <w:r>
        <w:t xml:space="preserve">18. Security</w:t>
      </w:r>
    </w:p>
    <w:p>
      <w:pPr>
        <w:pStyle w:val="FirstParagraph"/>
      </w:pPr>
      <w:r>
        <w:t xml:space="preserve">Capabilities SHALL support platform security requirements.</w:t>
      </w:r>
    </w:p>
    <w:p>
      <w:pPr>
        <w:pStyle w:val="BodyText"/>
      </w:pPr>
      <w:r>
        <w:t xml:space="preserve">Requirements include: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Encrypted Communication</w:t>
      </w:r>
    </w:p>
    <w:p>
      <w:pPr>
        <w:pStyle w:val="BodyText"/>
      </w:pPr>
      <w:r>
        <w:t xml:space="preserve">Secret Management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Least Privilege</w:t>
      </w:r>
    </w:p>
    <w:p>
      <w:pPr>
        <w:pStyle w:val="BodyText"/>
      </w:pPr>
      <w:r>
        <w:t xml:space="preserve">Security SHALL remain externally configurable where practical.</w:t>
      </w:r>
    </w:p>
    <w:p>
      <w:r>
        <w:pict>
          <v:rect style="width:0;height:1.5pt" o:hralign="center" o:hrstd="t" o:hr="t"/>
        </w:pict>
      </w:r>
    </w:p>
    <w:bookmarkEnd w:id="39"/>
    <w:bookmarkStart w:id="40" w:name="runtime-lifecycle"/>
    <w:p>
      <w:pPr>
        <w:pStyle w:val="Heading1"/>
      </w:pPr>
      <w:r>
        <w:t xml:space="preserve">19. Runtime Lifecycle</w:t>
      </w:r>
    </w:p>
    <w:p>
      <w:pPr>
        <w:pStyle w:val="FirstParagraph"/>
      </w:pPr>
      <w:r>
        <w:t xml:space="preserve">Capabilities progress through runtime states.</w:t>
      </w:r>
    </w:p>
    <w:p>
      <w:pPr>
        <w:pStyle w:val="BodyText"/>
      </w:pPr>
      <w:r>
        <w:t xml:space="preserve">Installed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Deprecated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Retired</w:t>
      </w:r>
    </w:p>
    <w:p>
      <w:pPr>
        <w:pStyle w:val="BodyText"/>
      </w:pPr>
      <w:r>
        <w:t xml:space="preserve">Lifecycle transitions SHALL publish canonical events.</w:t>
      </w:r>
    </w:p>
    <w:p>
      <w:r>
        <w:pict>
          <v:rect style="width:0;height:1.5pt" o:hralign="center" o:hrstd="t" o:hr="t"/>
        </w:pict>
      </w:r>
    </w:p>
    <w:bookmarkEnd w:id="40"/>
    <w:bookmarkStart w:id="41" w:name="upgrade-strategy"/>
    <w:p>
      <w:pPr>
        <w:pStyle w:val="Heading1"/>
      </w:pPr>
      <w:r>
        <w:t xml:space="preserve">20. Upgrade Strategy</w:t>
      </w:r>
    </w:p>
    <w:p>
      <w:pPr>
        <w:pStyle w:val="FirstParagraph"/>
      </w:pPr>
      <w:r>
        <w:t xml:space="preserve">Capabilities SHALL support rolling upgrades.</w:t>
      </w:r>
    </w:p>
    <w:p>
      <w:pPr>
        <w:pStyle w:val="BodyText"/>
      </w:pPr>
      <w:r>
        <w:t xml:space="preserve">Upgrade SHALL preserve:</w:t>
      </w:r>
    </w:p>
    <w:p>
      <w:pPr>
        <w:pStyle w:val="BodyText"/>
      </w:pPr>
      <w:r>
        <w:t xml:space="preserve">Business Contracts</w:t>
      </w:r>
    </w:p>
    <w:p>
      <w:pPr>
        <w:pStyle w:val="BodyText"/>
      </w:pPr>
      <w:r>
        <w:t xml:space="preserve">Canonical Identifiers</w:t>
      </w:r>
    </w:p>
    <w:p>
      <w:pPr>
        <w:pStyle w:val="BodyText"/>
      </w:pPr>
      <w:r>
        <w:t xml:space="preserve">Configuration Compatibility</w:t>
      </w:r>
    </w:p>
    <w:p>
      <w:pPr>
        <w:pStyle w:val="BodyText"/>
      </w:pPr>
      <w:r>
        <w:t xml:space="preserve">Workflow Compatibility</w:t>
      </w:r>
    </w:p>
    <w:p>
      <w:pPr>
        <w:pStyle w:val="BodyText"/>
      </w:pPr>
      <w:r>
        <w:t xml:space="preserve">Governance History</w:t>
      </w:r>
    </w:p>
    <w:p>
      <w:pPr>
        <w:pStyle w:val="BodyText"/>
      </w:pPr>
      <w:r>
        <w:t xml:space="preserve">Operational Metrics</w:t>
      </w:r>
    </w:p>
    <w:p>
      <w:pPr>
        <w:pStyle w:val="BodyText"/>
      </w:pPr>
      <w:r>
        <w:t xml:space="preserve">Breaking changes REQUIRE:</w:t>
      </w:r>
    </w:p>
    <w:p>
      <w:pPr>
        <w:pStyle w:val="BodyText"/>
      </w:pPr>
      <w:r>
        <w:t xml:space="preserve">Major Version</w:t>
      </w:r>
    </w:p>
    <w:p>
      <w:pPr>
        <w:pStyle w:val="BodyText"/>
      </w:pPr>
      <w:r>
        <w:t xml:space="preserve">Migration Documentation</w:t>
      </w:r>
    </w:p>
    <w:p>
      <w:pPr>
        <w:pStyle w:val="BodyText"/>
      </w:pPr>
      <w:r>
        <w:t xml:space="preserve">Compatibility Analysis</w:t>
      </w:r>
    </w:p>
    <w:p>
      <w:pPr>
        <w:pStyle w:val="BodyText"/>
      </w:pPr>
      <w:r>
        <w:t xml:space="preserve">Certification Review</w:t>
      </w:r>
    </w:p>
    <w:p>
      <w:r>
        <w:pict>
          <v:rect style="width:0;height:1.5pt" o:hralign="center" o:hrstd="t" o:hr="t"/>
        </w:pict>
      </w:r>
    </w:p>
    <w:bookmarkEnd w:id="41"/>
    <w:bookmarkStart w:id="42" w:name="runtime-isolation"/>
    <w:p>
      <w:pPr>
        <w:pStyle w:val="Heading1"/>
      </w:pPr>
      <w:r>
        <w:t xml:space="preserve">21. Runtime Isolation</w:t>
      </w:r>
    </w:p>
    <w:p>
      <w:pPr>
        <w:pStyle w:val="FirstParagraph"/>
      </w:pPr>
      <w:r>
        <w:t xml:space="preserve">Capabilities SHALL execute independently.</w:t>
      </w:r>
    </w:p>
    <w:p>
      <w:pPr>
        <w:pStyle w:val="BodyText"/>
      </w:pPr>
      <w:r>
        <w:t xml:space="preserve">Failure of one Capability SHALL NOT invalidate unrelated Capabilities.</w:t>
      </w:r>
    </w:p>
    <w:p>
      <w:pPr>
        <w:pStyle w:val="BodyText"/>
      </w:pPr>
      <w:r>
        <w:t xml:space="preserve">Isolation SHALL support:</w:t>
      </w:r>
    </w:p>
    <w:p>
      <w:pPr>
        <w:pStyle w:val="BodyText"/>
      </w:pPr>
      <w:r>
        <w:t xml:space="preserve">Fault Containment</w:t>
      </w:r>
    </w:p>
    <w:p>
      <w:pPr>
        <w:pStyle w:val="BodyText"/>
      </w:pPr>
      <w:r>
        <w:t xml:space="preserve">Independent Scaling</w:t>
      </w:r>
    </w:p>
    <w:p>
      <w:pPr>
        <w:pStyle w:val="BodyText"/>
      </w:pPr>
      <w:r>
        <w:t xml:space="preserve">Independent Deployment</w:t>
      </w:r>
    </w:p>
    <w:p>
      <w:pPr>
        <w:pStyle w:val="BodyText"/>
      </w:pPr>
      <w:r>
        <w:t xml:space="preserve">Independent Recovery</w:t>
      </w:r>
    </w:p>
    <w:p>
      <w:pPr>
        <w:pStyle w:val="BodyText"/>
      </w:pPr>
      <w:r>
        <w:t xml:space="preserve">Independent Versioning</w:t>
      </w:r>
    </w:p>
    <w:p>
      <w:pPr>
        <w:pStyle w:val="BodyText"/>
      </w:pPr>
      <w:r>
        <w:t xml:space="preserve">Platform resilience depends upon Capability isolation.</w:t>
      </w:r>
    </w:p>
    <w:p>
      <w:r>
        <w:pict>
          <v:rect style="width:0;height:1.5pt" o:hralign="center" o:hrstd="t" o:hr="t"/>
        </w:pict>
      </w:r>
    </w:p>
    <w:bookmarkEnd w:id="42"/>
    <w:bookmarkStart w:id="43" w:name="governance"/>
    <w:p>
      <w:pPr>
        <w:pStyle w:val="Heading1"/>
      </w:pPr>
      <w:r>
        <w:t xml:space="preserve">22. Governance</w:t>
      </w:r>
    </w:p>
    <w:p>
      <w:pPr>
        <w:pStyle w:val="FirstParagraph"/>
      </w:pPr>
      <w:r>
        <w:t xml:space="preserve">Every Capability SHALL maintain governance records.</w:t>
      </w:r>
    </w:p>
    <w:p>
      <w:pPr>
        <w:pStyle w:val="BodyText"/>
      </w:pPr>
      <w:r>
        <w:t xml:space="preserve">Required records include:</w:t>
      </w:r>
    </w:p>
    <w:p>
      <w:pPr>
        <w:pStyle w:val="BodyText"/>
      </w:pPr>
      <w:r>
        <w:t xml:space="preserve">Business Owner</w:t>
      </w:r>
    </w:p>
    <w:p>
      <w:pPr>
        <w:pStyle w:val="BodyText"/>
      </w:pPr>
      <w:r>
        <w:t xml:space="preserve">Technical Owner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Review Notes</w:t>
      </w:r>
    </w:p>
    <w:p>
      <w:pPr>
        <w:pStyle w:val="BodyText"/>
      </w:pPr>
      <w:r>
        <w:t xml:space="preserve">Known Limitations</w:t>
      </w:r>
    </w:p>
    <w:p>
      <w:pPr>
        <w:pStyle w:val="BodyText"/>
      </w:pPr>
      <w:r>
        <w:t xml:space="preserve">Operational History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Compliance Status</w:t>
      </w:r>
    </w:p>
    <w:p>
      <w:pPr>
        <w:pStyle w:val="BodyText"/>
      </w:pPr>
      <w:r>
        <w:t xml:space="preserve">Governance SHALL remain independent of implementation language.</w:t>
      </w:r>
    </w:p>
    <w:p>
      <w:r>
        <w:pict>
          <v:rect style="width:0;height:1.5pt" o:hralign="center" o:hrstd="t" o:hr="t"/>
        </w:pict>
      </w:r>
    </w:p>
    <w:bookmarkEnd w:id="43"/>
    <w:bookmarkStart w:id="44" w:name="conformance"/>
    <w:p>
      <w:pPr>
        <w:pStyle w:val="Heading1"/>
      </w:pPr>
      <w:r>
        <w:t xml:space="preserve">23. Conformance</w:t>
      </w:r>
    </w:p>
    <w:p>
      <w:pPr>
        <w:pStyle w:val="FirstParagraph"/>
      </w:pPr>
      <w:r>
        <w:t xml:space="preserve">An implementation claiming compliance with KMOS-0160 SHALL:</w:t>
      </w:r>
    </w:p>
    <w:p>
      <w:pPr>
        <w:pStyle w:val="BodyText"/>
      </w:pPr>
      <w:r>
        <w:t xml:space="preserve">Publish a canonical manifest.</w:t>
      </w:r>
    </w:p>
    <w:p>
      <w:pPr>
        <w:pStyle w:val="BodyText"/>
      </w:pPr>
      <w:r>
        <w:t xml:space="preserve">Implement the Runtime Contract.</w:t>
      </w:r>
    </w:p>
    <w:p>
      <w:pPr>
        <w:pStyle w:val="BodyText"/>
      </w:pPr>
      <w:r>
        <w:t xml:space="preserve">Register with the Capability Registry.</w:t>
      </w:r>
    </w:p>
    <w:p>
      <w:pPr>
        <w:pStyle w:val="BodyText"/>
      </w:pPr>
      <w:r>
        <w:t xml:space="preserve">Support external configuration.</w:t>
      </w:r>
    </w:p>
    <w:p>
      <w:pPr>
        <w:pStyle w:val="BodyText"/>
      </w:pPr>
      <w:r>
        <w:t xml:space="preserve">Publish health information.</w:t>
      </w:r>
    </w:p>
    <w:p>
      <w:pPr>
        <w:pStyle w:val="BodyText"/>
      </w:pPr>
      <w:r>
        <w:t xml:space="preserve">Support structured observability.</w:t>
      </w:r>
    </w:p>
    <w:p>
      <w:pPr>
        <w:pStyle w:val="BodyText"/>
      </w:pPr>
      <w:r>
        <w:t xml:space="preserve">Participate in governance.</w:t>
      </w:r>
    </w:p>
    <w:p>
      <w:pPr>
        <w:pStyle w:val="BodyText"/>
      </w:pPr>
      <w:r>
        <w:t xml:space="preserve">Support automated testing.</w:t>
      </w:r>
    </w:p>
    <w:p>
      <w:pPr>
        <w:pStyle w:val="BodyText"/>
      </w:pPr>
      <w:r>
        <w:t xml:space="preserve">Support certification.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Remain technology independent.</w:t>
      </w:r>
    </w:p>
    <w:p>
      <w:pPr>
        <w:pStyle w:val="BodyText"/>
      </w:pPr>
      <w:r>
        <w:t xml:space="preserve">Partial implementations SHALL explicitly declare unsupported features.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e-capability-package"/>
    <w:p>
      <w:pPr>
        <w:pStyle w:val="Heading1"/>
      </w:pPr>
      <w:r>
        <w:t xml:space="preserve">24. Reference Capability Package</w:t>
      </w:r>
    </w:p>
    <w:p>
      <w:pPr>
        <w:pStyle w:val="FirstParagraph"/>
      </w:pPr>
      <w:r>
        <w:t xml:space="preserve">A compliant Capability Package consists of:</w:t>
      </w:r>
    </w:p>
    <w:p>
      <w:pPr>
        <w:pStyle w:val="BodyText"/>
      </w:pPr>
      <w:r>
        <w:t xml:space="preserve">Capability Manifest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Contract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Configuration Schema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Executable Runtime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Automated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Certification Metadata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 Descriptor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 Definition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Operational Policies</w:t>
      </w:r>
    </w:p>
    <w:p>
      <w:pPr>
        <w:pStyle w:val="BodyText"/>
      </w:pPr>
      <w:r>
        <w:t xml:space="preserve">Every package remains independently deployable and independently certifiable.</w:t>
      </w:r>
    </w:p>
    <w:p>
      <w:r>
        <w:pict>
          <v:rect style="width:0;height:1.5pt" o:hralign="center" o:hrstd="t" o:hr="t"/>
        </w:pict>
      </w:r>
    </w:p>
    <w:bookmarkEnd w:id="45"/>
    <w:bookmarkStart w:id="46" w:name="relationship-to-previous-specifications"/>
    <w:p>
      <w:pPr>
        <w:pStyle w:val="Heading1"/>
      </w:pPr>
      <w:r>
        <w:t xml:space="preserve">25. Relationship to Previous Specifications</w:t>
      </w:r>
    </w:p>
    <w:p>
      <w:pPr>
        <w:pStyle w:val="FirstParagraph"/>
      </w:pPr>
      <w:r>
        <w:t xml:space="preserve">KMOS-0100 defined Canonical Objects.</w:t>
      </w:r>
    </w:p>
    <w:p>
      <w:pPr>
        <w:pStyle w:val="BodyText"/>
      </w:pPr>
      <w:r>
        <w:t xml:space="preserve">KMOS-0110 defined Canonical Events.</w:t>
      </w:r>
    </w:p>
    <w:p>
      <w:pPr>
        <w:pStyle w:val="BodyText"/>
      </w:pPr>
      <w:r>
        <w:t xml:space="preserve">KMOS-0120 defined Capability Contracts.</w:t>
      </w:r>
    </w:p>
    <w:p>
      <w:pPr>
        <w:pStyle w:val="BodyText"/>
      </w:pPr>
      <w:r>
        <w:t xml:space="preserve">KMOS-0130 defined Knowledge Objects.</w:t>
      </w:r>
    </w:p>
    <w:p>
      <w:pPr>
        <w:pStyle w:val="BodyText"/>
      </w:pPr>
      <w:r>
        <w:t xml:space="preserve">KMOS-0140 defined Asset Metadata.</w:t>
      </w:r>
    </w:p>
    <w:p>
      <w:pPr>
        <w:pStyle w:val="BodyText"/>
      </w:pPr>
      <w:r>
        <w:t xml:space="preserve">KMOS-0150 defined the Workflow Definition Language.</w:t>
      </w:r>
    </w:p>
    <w:p>
      <w:pPr>
        <w:pStyle w:val="BodyText"/>
      </w:pPr>
      <w:r>
        <w:t xml:space="preserve">KMOS-0160 defines how compliant Capabilities are engineered, packaged, operated, and governed.</w:t>
      </w:r>
    </w:p>
    <w:p>
      <w:pPr>
        <w:pStyle w:val="BodyText"/>
      </w:pPr>
      <w:r>
        <w:t xml:space="preserve">The CDK becomes the engineering foundation of the KMOS ecosystem.</w:t>
      </w:r>
    </w:p>
    <w:p>
      <w:r>
        <w:pict>
          <v:rect style="width:0;height:1.5pt" o:hralign="center" o:hrstd="t" o:hr="t"/>
        </w:pict>
      </w:r>
    </w:p>
    <w:bookmarkEnd w:id="46"/>
    <w:bookmarkStart w:id="47" w:name="architectural-consequences"/>
    <w:p>
      <w:pPr>
        <w:pStyle w:val="Heading1"/>
      </w:pPr>
      <w:r>
        <w:t xml:space="preserve">26. Architectural Consequences</w:t>
      </w:r>
    </w:p>
    <w:p>
      <w:pPr>
        <w:pStyle w:val="FirstParagraph"/>
      </w:pPr>
      <w:r>
        <w:t xml:space="preserve">Because every Capability conforms to a common engineering standard:</w:t>
      </w:r>
    </w:p>
    <w:p>
      <w:pPr>
        <w:pStyle w:val="BodyText"/>
      </w:pPr>
      <w:r>
        <w:t xml:space="preserve">Teams may develop Capabilities independently.</w:t>
      </w:r>
    </w:p>
    <w:p>
      <w:pPr>
        <w:pStyle w:val="BodyText"/>
      </w:pPr>
      <w:r>
        <w:t xml:space="preserve">Organizations may exchange Capabilities.</w:t>
      </w:r>
    </w:p>
    <w:p>
      <w:pPr>
        <w:pStyle w:val="BodyText"/>
      </w:pPr>
      <w:r>
        <w:t xml:space="preserve">Applications dynamically discover platform functionality.</w:t>
      </w:r>
    </w:p>
    <w:p>
      <w:pPr>
        <w:pStyle w:val="BodyText"/>
      </w:pPr>
      <w:r>
        <w:t xml:space="preserve">Capabilities become reusable institutional assets.</w:t>
      </w:r>
    </w:p>
    <w:p>
      <w:pPr>
        <w:pStyle w:val="BodyText"/>
      </w:pPr>
      <w:r>
        <w:t xml:space="preserve">Technology choices remain flexible.</w:t>
      </w:r>
    </w:p>
    <w:p>
      <w:pPr>
        <w:pStyle w:val="BodyText"/>
      </w:pPr>
      <w:r>
        <w:t xml:space="preserve">Operational governance becomes consistent.</w:t>
      </w:r>
    </w:p>
    <w:p>
      <w:pPr>
        <w:pStyle w:val="BodyText"/>
      </w:pPr>
      <w:r>
        <w:t xml:space="preserve">Certification becomes measurable.</w:t>
      </w:r>
    </w:p>
    <w:p>
      <w:pPr>
        <w:pStyle w:val="BodyText"/>
      </w:pPr>
      <w:r>
        <w:t xml:space="preserve">The platform evolves through the addition of certified Capabilities rather than tightly coupled applications.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gineering-specifications"/>
    <w:p>
      <w:pPr>
        <w:pStyle w:val="Heading1"/>
      </w:pPr>
      <w:r>
        <w:t xml:space="preserve">27. Future Engineering Specifications</w:t>
      </w:r>
    </w:p>
    <w:p>
      <w:pPr>
        <w:pStyle w:val="FirstParagraph"/>
      </w:pPr>
      <w:r>
        <w:t xml:space="preserve">This specification defines the Capability Development Kit.</w:t>
      </w:r>
    </w:p>
    <w:p>
      <w:pPr>
        <w:pStyle w:val="BodyText"/>
      </w:pPr>
      <w:r>
        <w:t xml:space="preserve">Future engineering specifications SHALL extend it.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KMOS-1610 Capability Packaging Format</w:t>
      </w:r>
    </w:p>
    <w:p>
      <w:pPr>
        <w:pStyle w:val="BodyText"/>
      </w:pPr>
      <w:r>
        <w:t xml:space="preserve">KMOS-1620 Capability Manifest Schema</w:t>
      </w:r>
    </w:p>
    <w:p>
      <w:pPr>
        <w:pStyle w:val="BodyText"/>
      </w:pPr>
      <w:r>
        <w:t xml:space="preserve">KMOS-1630 Capability Testing Framework</w:t>
      </w:r>
    </w:p>
    <w:p>
      <w:pPr>
        <w:pStyle w:val="BodyText"/>
      </w:pPr>
      <w:r>
        <w:t xml:space="preserve">KMOS-1640 Capability Certification Program</w:t>
      </w:r>
    </w:p>
    <w:p>
      <w:pPr>
        <w:pStyle w:val="BodyText"/>
      </w:pPr>
      <w:r>
        <w:t xml:space="preserve">KMOS-1650 Capability Marketplace</w:t>
      </w:r>
    </w:p>
    <w:p>
      <w:pPr>
        <w:pStyle w:val="BodyText"/>
      </w:pPr>
      <w:r>
        <w:t xml:space="preserve">KMOS-1660 Runtime Diagnostics</w:t>
      </w:r>
    </w:p>
    <w:p>
      <w:pPr>
        <w:pStyle w:val="BodyText"/>
      </w:pPr>
      <w:r>
        <w:t xml:space="preserve">KMOS-1670 Capability Templates</w:t>
      </w:r>
    </w:p>
    <w:p>
      <w:pPr>
        <w:pStyle w:val="BodyText"/>
      </w:pPr>
      <w:r>
        <w:t xml:space="preserve">KMOS-1680 Reference Capability Library</w:t>
      </w:r>
    </w:p>
    <w:p>
      <w:pPr>
        <w:pStyle w:val="BodyText"/>
      </w:pPr>
      <w:r>
        <w:t xml:space="preserve">Each SHALL extend this engineering standard while preserving interoperability.</w:t>
      </w:r>
    </w:p>
    <w:p>
      <w:r>
        <w:pict>
          <v:rect style="width:0;height:1.5pt" o:hralign="center" o:hrstd="t" o:hr="t"/>
        </w:pict>
      </w:r>
    </w:p>
    <w:bookmarkEnd w:id="48"/>
    <w:bookmarkStart w:id="49" w:name="next-specification"/>
    <w:p>
      <w:pPr>
        <w:pStyle w:val="Heading1"/>
      </w:pPr>
      <w:r>
        <w:t xml:space="preserve">28. Next Specification</w:t>
      </w:r>
    </w:p>
    <w:p>
      <w:pPr>
        <w:pStyle w:val="FirstParagraph"/>
      </w:pPr>
      <w:r>
        <w:t xml:space="preserve">KMOS-0170 defines the</w:t>
      </w:r>
      <w:r>
        <w:t xml:space="preserve"> </w:t>
      </w:r>
      <w:r>
        <w:rPr>
          <w:b/>
          <w:bCs/>
        </w:rPr>
        <w:t xml:space="preserve">Plugin &amp; Extension Framework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Compact"/>
        <w:numPr>
          <w:ilvl w:val="0"/>
          <w:numId w:val="1002"/>
        </w:numPr>
      </w:pPr>
      <w:r>
        <w:t xml:space="preserve">KMOS-0160 defines how Capabilities are engineered and operated,</w:t>
      </w:r>
    </w:p>
    <w:p>
      <w:pPr>
        <w:pStyle w:val="FirstParagraph"/>
      </w:pPr>
      <w:r>
        <w:t xml:space="preserve">then KMOS-0170 defines how new functionality is safely added to KMOS without modifying the platform core.</w:t>
      </w:r>
    </w:p>
    <w:p>
      <w:pPr>
        <w:pStyle w:val="BodyText"/>
      </w:pPr>
      <w:r>
        <w:t xml:space="preserve">The Plugin &amp; Extension Framework enables organizations, partners, and third-party developers to extend KMOS through governed, discoverable, versioned, and certifiable extensions while preserving architectural integrity.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2026-06-30T09:03:34Z</dcterms:created>
  <dcterms:modified xsi:type="dcterms:W3CDTF">2026-06-30T09:03:34Z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