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180"/>
    <w:p>
      <w:pPr>
        <w:pStyle w:val="Heading1"/>
      </w:pPr>
      <w:r>
        <w:t xml:space="preserve">KMOS-0180</w:t>
      </w:r>
    </w:p>
    <w:bookmarkEnd w:id="20"/>
    <w:bookmarkStart w:id="21" w:name="api-integration-standard"/>
    <w:p>
      <w:pPr>
        <w:pStyle w:val="Heading1"/>
      </w:pPr>
      <w:r>
        <w:t xml:space="preserve">API &amp; Integration Standard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the API and Integration Standard for the Knowledge &amp; Media Operating System (KMOS).</w:t>
      </w:r>
    </w:p>
    <w:p>
      <w:pPr>
        <w:pStyle w:val="BodyText"/>
      </w:pPr>
      <w:r>
        <w:t xml:space="preserve">The purpose of this specification is to establish a stable, technology-independent contract between KMOS and external systems.</w:t>
      </w:r>
    </w:p>
    <w:p>
      <w:pPr>
        <w:pStyle w:val="BodyText"/>
      </w:pPr>
      <w:r>
        <w:t xml:space="preserve">APIs expose business capabilities.</w:t>
      </w:r>
    </w:p>
    <w:p>
      <w:pPr>
        <w:pStyle w:val="BodyText"/>
      </w:pPr>
      <w:r>
        <w:t xml:space="preserve">Events expose business facts.</w:t>
      </w:r>
    </w:p>
    <w:p>
      <w:pPr>
        <w:pStyle w:val="BodyText"/>
      </w:pPr>
      <w:r>
        <w:t xml:space="preserve">Implementations remain internal.</w:t>
      </w:r>
    </w:p>
    <w:p>
      <w:pPr>
        <w:pStyle w:val="BodyText"/>
      </w:pPr>
      <w:r>
        <w:t xml:space="preserve">Every API and integration SHALL preserve the architectural principles established throughout the KMOS specification series.</w:t>
      </w:r>
    </w:p>
    <w:p>
      <w:r>
        <w:pict>
          <v:rect style="width:0;height:1.5pt" o:hralign="center" o:hrstd="t" o:hr="t"/>
        </w:pict>
      </w:r>
    </w:p>
    <w:bookmarkEnd w:id="22"/>
    <w:bookmarkStart w:id="23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This specification defines:</w:t>
      </w:r>
    </w:p>
    <w:p>
      <w:pPr>
        <w:pStyle w:val="Compact"/>
        <w:numPr>
          <w:ilvl w:val="0"/>
          <w:numId w:val="1001"/>
        </w:numPr>
      </w:pPr>
      <w:r>
        <w:t xml:space="preserve">API Architecture</w:t>
      </w:r>
    </w:p>
    <w:p>
      <w:pPr>
        <w:pStyle w:val="Compact"/>
        <w:numPr>
          <w:ilvl w:val="0"/>
          <w:numId w:val="1001"/>
        </w:numPr>
      </w:pPr>
      <w:r>
        <w:t xml:space="preserve">Integration Principles</w:t>
      </w:r>
    </w:p>
    <w:p>
      <w:pPr>
        <w:pStyle w:val="Compact"/>
        <w:numPr>
          <w:ilvl w:val="0"/>
          <w:numId w:val="1001"/>
        </w:numPr>
      </w:pPr>
      <w:r>
        <w:t xml:space="preserve">Canonical Contracts</w:t>
      </w:r>
    </w:p>
    <w:p>
      <w:pPr>
        <w:pStyle w:val="Compact"/>
        <w:numPr>
          <w:ilvl w:val="0"/>
          <w:numId w:val="1001"/>
        </w:numPr>
      </w:pPr>
      <w:r>
        <w:t xml:space="preserve">Resource Design</w:t>
      </w:r>
    </w:p>
    <w:p>
      <w:pPr>
        <w:pStyle w:val="Compact"/>
        <w:numPr>
          <w:ilvl w:val="0"/>
          <w:numId w:val="1001"/>
        </w:numPr>
      </w:pPr>
      <w:r>
        <w:t xml:space="preserve">Event Integration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Authorization</w:t>
      </w:r>
    </w:p>
    <w:p>
      <w:pPr>
        <w:pStyle w:val="Compact"/>
        <w:numPr>
          <w:ilvl w:val="0"/>
          <w:numId w:val="1001"/>
        </w:numPr>
      </w:pPr>
      <w:r>
        <w:t xml:space="preserve">Versioning</w:t>
      </w:r>
    </w:p>
    <w:p>
      <w:pPr>
        <w:pStyle w:val="Compact"/>
        <w:numPr>
          <w:ilvl w:val="0"/>
          <w:numId w:val="1001"/>
        </w:numPr>
      </w:pPr>
      <w:r>
        <w:t xml:space="preserve">Compatibility</w:t>
      </w:r>
    </w:p>
    <w:p>
      <w:pPr>
        <w:pStyle w:val="Compact"/>
        <w:numPr>
          <w:ilvl w:val="0"/>
          <w:numId w:val="1001"/>
        </w:numPr>
      </w:pPr>
      <w:r>
        <w:t xml:space="preserve">Error Handling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Observability</w:t>
      </w:r>
    </w:p>
    <w:p>
      <w:pPr>
        <w:pStyle w:val="Compact"/>
        <w:numPr>
          <w:ilvl w:val="0"/>
          <w:numId w:val="1001"/>
        </w:numPr>
      </w:pPr>
      <w:r>
        <w:t xml:space="preserve">Conformance</w:t>
      </w:r>
    </w:p>
    <w:p>
      <w:pPr>
        <w:pStyle w:val="FirstParagraph"/>
      </w:pPr>
      <w:r>
        <w:t xml:space="preserve">This specification intentionally avoids prescribing specific transport protocols or programming languages.</w:t>
      </w:r>
    </w:p>
    <w:p>
      <w:r>
        <w:pict>
          <v:rect style="width:0;height:1.5pt" o:hralign="center" o:hrstd="t" o:hr="t"/>
        </w:pict>
      </w:r>
    </w:p>
    <w:bookmarkEnd w:id="23"/>
    <w:bookmarkStart w:id="24" w:name="architectural-philosophy"/>
    <w:p>
      <w:pPr>
        <w:pStyle w:val="Heading1"/>
      </w:pPr>
      <w:r>
        <w:t xml:space="preserve">3. Architectural Philosophy</w:t>
      </w:r>
    </w:p>
    <w:p>
      <w:pPr>
        <w:pStyle w:val="FirstParagraph"/>
      </w:pPr>
      <w:r>
        <w:t xml:space="preserve">APIs are interfaces to business capabilities.</w:t>
      </w:r>
    </w:p>
    <w:p>
      <w:pPr>
        <w:pStyle w:val="BodyText"/>
      </w:pPr>
      <w:r>
        <w:t xml:space="preserve">APIs SHALL NOT expose:</w:t>
      </w:r>
    </w:p>
    <w:p>
      <w:pPr>
        <w:pStyle w:val="BodyText"/>
      </w:pPr>
      <w:r>
        <w:t xml:space="preserve">Database schemas</w:t>
      </w:r>
    </w:p>
    <w:p>
      <w:pPr>
        <w:pStyle w:val="BodyText"/>
      </w:pPr>
      <w:r>
        <w:t xml:space="preserve">Internal services</w:t>
      </w:r>
    </w:p>
    <w:p>
      <w:pPr>
        <w:pStyle w:val="BodyText"/>
      </w:pPr>
      <w:r>
        <w:t xml:space="preserve">Storage layouts</w:t>
      </w:r>
    </w:p>
    <w:p>
      <w:pPr>
        <w:pStyle w:val="BodyText"/>
      </w:pPr>
      <w:r>
        <w:t xml:space="preserve">Workflow engines</w:t>
      </w:r>
    </w:p>
    <w:p>
      <w:pPr>
        <w:pStyle w:val="BodyText"/>
      </w:pPr>
      <w:r>
        <w:t xml:space="preserve">AI models</w:t>
      </w:r>
    </w:p>
    <w:p>
      <w:pPr>
        <w:pStyle w:val="BodyText"/>
      </w:pPr>
      <w:r>
        <w:t xml:space="preserve">Infrastructure topology</w:t>
      </w:r>
    </w:p>
    <w:p>
      <w:pPr>
        <w:pStyle w:val="BodyText"/>
      </w:pPr>
      <w:r>
        <w:t xml:space="preserve">External consumers interact only with canonical business concepts.</w:t>
      </w:r>
    </w:p>
    <w:p>
      <w:r>
        <w:pict>
          <v:rect style="width:0;height:1.5pt" o:hralign="center" o:hrstd="t" o:hr="t"/>
        </w:pict>
      </w:r>
    </w:p>
    <w:bookmarkEnd w:id="24"/>
    <w:bookmarkStart w:id="25" w:name="design-principles"/>
    <w:p>
      <w:pPr>
        <w:pStyle w:val="Heading1"/>
      </w:pPr>
      <w:r>
        <w:t xml:space="preserve">4. Design Principles</w:t>
      </w:r>
    </w:p>
    <w:p>
      <w:pPr>
        <w:pStyle w:val="FirstParagraph"/>
      </w:pPr>
      <w:r>
        <w:t xml:space="preserve">Every API SHALL be:</w:t>
      </w:r>
    </w:p>
    <w:p>
      <w:pPr>
        <w:pStyle w:val="BodyText"/>
      </w:pPr>
      <w:r>
        <w:t xml:space="preserve">Canonical</w:t>
      </w:r>
    </w:p>
    <w:p>
      <w:pPr>
        <w:pStyle w:val="BodyText"/>
      </w:pPr>
      <w:r>
        <w:t xml:space="preserve">Business-Oriented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Discoverable</w:t>
      </w:r>
    </w:p>
    <w:p>
      <w:pPr>
        <w:pStyle w:val="BodyText"/>
      </w:pPr>
      <w:r>
        <w:t xml:space="preserve">Secure</w:t>
      </w:r>
    </w:p>
    <w:p>
      <w:pPr>
        <w:pStyle w:val="BodyText"/>
      </w:pPr>
      <w:r>
        <w:t xml:space="preserve">Observable</w:t>
      </w:r>
    </w:p>
    <w:p>
      <w:pPr>
        <w:pStyle w:val="BodyText"/>
      </w:pPr>
      <w:r>
        <w:t xml:space="preserve">Governed</w:t>
      </w:r>
    </w:p>
    <w:p>
      <w:pPr>
        <w:pStyle w:val="BodyText"/>
      </w:pPr>
      <w:r>
        <w:t xml:space="preserve">Technology Independent</w:t>
      </w:r>
    </w:p>
    <w:p>
      <w:pPr>
        <w:pStyle w:val="BodyText"/>
      </w:pPr>
      <w:r>
        <w:t xml:space="preserve">Backward Compatible where practical</w:t>
      </w:r>
    </w:p>
    <w:p>
      <w:pPr>
        <w:pStyle w:val="BodyText"/>
      </w:pPr>
      <w:r>
        <w:t xml:space="preserve">Self-Documenting</w:t>
      </w:r>
    </w:p>
    <w:p>
      <w:pPr>
        <w:pStyle w:val="BodyText"/>
      </w:pPr>
      <w:r>
        <w:t xml:space="preserve">Every integration SHALL preserve institutional semantics.</w:t>
      </w:r>
    </w:p>
    <w:p>
      <w:r>
        <w:pict>
          <v:rect style="width:0;height:1.5pt" o:hralign="center" o:hrstd="t" o:hr="t"/>
        </w:pict>
      </w:r>
    </w:p>
    <w:bookmarkEnd w:id="25"/>
    <w:bookmarkStart w:id="26" w:name="canonical-resources"/>
    <w:p>
      <w:pPr>
        <w:pStyle w:val="Heading1"/>
      </w:pPr>
      <w:r>
        <w:t xml:space="preserve">5. Canonical Resources</w:t>
      </w:r>
    </w:p>
    <w:p>
      <w:pPr>
        <w:pStyle w:val="FirstParagraph"/>
      </w:pPr>
      <w:r>
        <w:t xml:space="preserve">APIs SHALL expose canonical business resources.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Knowledge Objects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Workflows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Publications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Organizations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Connectors</w:t>
      </w:r>
    </w:p>
    <w:p>
      <w:pPr>
        <w:pStyle w:val="BodyText"/>
      </w:pPr>
      <w:r>
        <w:t xml:space="preserve">Resources SHALL correspond to Canonical Objects defined in KMOS-0100.</w:t>
      </w:r>
    </w:p>
    <w:p>
      <w:r>
        <w:pict>
          <v:rect style="width:0;height:1.5pt" o:hralign="center" o:hrstd="t" o:hr="t"/>
        </w:pict>
      </w:r>
    </w:p>
    <w:bookmarkEnd w:id="26"/>
    <w:bookmarkStart w:id="27" w:name="resource-identity"/>
    <w:p>
      <w:pPr>
        <w:pStyle w:val="Heading1"/>
      </w:pPr>
      <w:r>
        <w:t xml:space="preserve">6. Resource Identity</w:t>
      </w:r>
    </w:p>
    <w:p>
      <w:pPr>
        <w:pStyle w:val="FirstParagraph"/>
      </w:pPr>
      <w:r>
        <w:t xml:space="preserve">Every exposed resource SHALL reference canonical identifiers.</w:t>
      </w:r>
    </w:p>
    <w:p>
      <w:pPr>
        <w:pStyle w:val="BodyText"/>
      </w:pPr>
      <w:r>
        <w:t xml:space="preserve">External identifiers SHALL remain stable across:</w:t>
      </w:r>
    </w:p>
    <w:p>
      <w:pPr>
        <w:pStyle w:val="BodyText"/>
      </w:pPr>
      <w:r>
        <w:t xml:space="preserve">Storage migration</w:t>
      </w:r>
    </w:p>
    <w:p>
      <w:pPr>
        <w:pStyle w:val="BodyText"/>
      </w:pPr>
      <w:r>
        <w:t xml:space="preserve">Application redesign</w:t>
      </w:r>
    </w:p>
    <w:p>
      <w:pPr>
        <w:pStyle w:val="BodyText"/>
      </w:pPr>
      <w:r>
        <w:t xml:space="preserve">Infrastructure replacement</w:t>
      </w:r>
    </w:p>
    <w:p>
      <w:pPr>
        <w:pStyle w:val="BodyText"/>
      </w:pPr>
      <w:r>
        <w:t xml:space="preserve">Cloud migration</w:t>
      </w:r>
    </w:p>
    <w:p>
      <w:pPr>
        <w:pStyle w:val="BodyText"/>
      </w:pPr>
      <w:r>
        <w:t xml:space="preserve">Technology upgrades</w:t>
      </w:r>
    </w:p>
    <w:p>
      <w:pPr>
        <w:pStyle w:val="BodyText"/>
      </w:pPr>
      <w:r>
        <w:t xml:space="preserve">Internal implementation identifiers SHALL remain private.</w:t>
      </w:r>
    </w:p>
    <w:p>
      <w:r>
        <w:pict>
          <v:rect style="width:0;height:1.5pt" o:hralign="center" o:hrstd="t" o:hr="t"/>
        </w:pict>
      </w:r>
    </w:p>
    <w:bookmarkEnd w:id="27"/>
    <w:bookmarkStart w:id="28" w:name="operations"/>
    <w:p>
      <w:pPr>
        <w:pStyle w:val="Heading1"/>
      </w:pPr>
      <w:r>
        <w:t xml:space="preserve">7. Operations</w:t>
      </w:r>
    </w:p>
    <w:p>
      <w:pPr>
        <w:pStyle w:val="FirstParagraph"/>
      </w:pPr>
      <w:r>
        <w:t xml:space="preserve">Every resource MAY support one or more canonical operations.</w:t>
      </w:r>
    </w:p>
    <w:p>
      <w:pPr>
        <w:pStyle w:val="BodyText"/>
      </w:pPr>
      <w:r>
        <w:t xml:space="preserve">Typical operations include: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Retrieve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Update (new version where applicable)</w:t>
      </w:r>
    </w:p>
    <w:p>
      <w:pPr>
        <w:pStyle w:val="BodyText"/>
      </w:pPr>
      <w:r>
        <w:t xml:space="preserve">Archive</w:t>
      </w:r>
    </w:p>
    <w:p>
      <w:pPr>
        <w:pStyle w:val="BodyText"/>
      </w:pPr>
      <w:r>
        <w:t xml:space="preserve">Validate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Execute</w:t>
      </w:r>
    </w:p>
    <w:p>
      <w:pPr>
        <w:pStyle w:val="BodyText"/>
      </w:pPr>
      <w:r>
        <w:t xml:space="preserve">Discover</w:t>
      </w:r>
    </w:p>
    <w:p>
      <w:pPr>
        <w:pStyle w:val="BodyText"/>
      </w:pPr>
      <w:r>
        <w:t xml:space="preserve">Subscribe</w:t>
      </w:r>
    </w:p>
    <w:p>
      <w:pPr>
        <w:pStyle w:val="BodyText"/>
      </w:pPr>
      <w:r>
        <w:t xml:space="preserve">Operations SHALL follow business semantics rather than CRUD conventions where appropriate.</w:t>
      </w:r>
    </w:p>
    <w:p>
      <w:r>
        <w:pict>
          <v:rect style="width:0;height:1.5pt" o:hralign="center" o:hrstd="t" o:hr="t"/>
        </w:pict>
      </w:r>
    </w:p>
    <w:bookmarkEnd w:id="28"/>
    <w:bookmarkStart w:id="29" w:name="business-contracts"/>
    <w:p>
      <w:pPr>
        <w:pStyle w:val="Heading1"/>
      </w:pPr>
      <w:r>
        <w:t xml:space="preserve">8. Business Contracts</w:t>
      </w:r>
    </w:p>
    <w:p>
      <w:pPr>
        <w:pStyle w:val="FirstParagraph"/>
      </w:pPr>
      <w:r>
        <w:t xml:space="preserve">Every API SHALL publish a canonical business contract.</w:t>
      </w:r>
    </w:p>
    <w:p>
      <w:pPr>
        <w:pStyle w:val="BodyText"/>
      </w:pPr>
      <w:r>
        <w:t xml:space="preserve">Contracts define:</w:t>
      </w:r>
    </w:p>
    <w:p>
      <w:pPr>
        <w:pStyle w:val="BodyText"/>
      </w:pPr>
      <w:r>
        <w:t xml:space="preserve">Business Purpose</w:t>
      </w:r>
    </w:p>
    <w:p>
      <w:pPr>
        <w:pStyle w:val="BodyText"/>
      </w:pPr>
      <w:r>
        <w:t xml:space="preserve">Inputs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Preconditions</w:t>
      </w:r>
    </w:p>
    <w:p>
      <w:pPr>
        <w:pStyle w:val="BodyText"/>
      </w:pPr>
      <w:r>
        <w:t xml:space="preserve">Postconditions</w:t>
      </w:r>
    </w:p>
    <w:p>
      <w:pPr>
        <w:pStyle w:val="BodyText"/>
      </w:pPr>
      <w:r>
        <w:t xml:space="preserve">Business Constraints</w:t>
      </w:r>
    </w:p>
    <w:p>
      <w:pPr>
        <w:pStyle w:val="BodyText"/>
      </w:pPr>
      <w:r>
        <w:t xml:space="preserve">Published Events</w:t>
      </w:r>
    </w:p>
    <w:p>
      <w:pPr>
        <w:pStyle w:val="BodyText"/>
      </w:pPr>
      <w:r>
        <w:t xml:space="preserve">Error Conditions</w:t>
      </w:r>
    </w:p>
    <w:p>
      <w:pPr>
        <w:pStyle w:val="BodyText"/>
      </w:pPr>
      <w:r>
        <w:t xml:space="preserve">Governance Requirements</w:t>
      </w:r>
    </w:p>
    <w:p>
      <w:pPr>
        <w:pStyle w:val="BodyText"/>
      </w:pPr>
      <w:r>
        <w:t xml:space="preserve">Contracts SHALL remain implementation independent.</w:t>
      </w:r>
    </w:p>
    <w:p>
      <w:r>
        <w:pict>
          <v:rect style="width:0;height:1.5pt" o:hralign="center" o:hrstd="t" o:hr="t"/>
        </w:pict>
      </w:r>
    </w:p>
    <w:bookmarkEnd w:id="29"/>
    <w:bookmarkStart w:id="30" w:name="event-integration"/>
    <w:p>
      <w:pPr>
        <w:pStyle w:val="Heading1"/>
      </w:pPr>
      <w:r>
        <w:t xml:space="preserve">9. Event Integration</w:t>
      </w:r>
    </w:p>
    <w:p>
      <w:pPr>
        <w:pStyle w:val="FirstParagraph"/>
      </w:pPr>
      <w:r>
        <w:t xml:space="preserve">APIs SHALL integrate with the canonical Event Model.</w:t>
      </w:r>
    </w:p>
    <w:p>
      <w:pPr>
        <w:pStyle w:val="BodyText"/>
      </w:pPr>
      <w:r>
        <w:t xml:space="preserve">Supported interaction models include:</w:t>
      </w:r>
    </w:p>
    <w:p>
      <w:pPr>
        <w:pStyle w:val="BodyText"/>
      </w:pPr>
      <w:r>
        <w:t xml:space="preserve">Request / Response</w:t>
      </w:r>
    </w:p>
    <w:p>
      <w:pPr>
        <w:pStyle w:val="BodyText"/>
      </w:pPr>
      <w:r>
        <w:t xml:space="preserve">Asynchronous Events</w:t>
      </w:r>
    </w:p>
    <w:p>
      <w:pPr>
        <w:pStyle w:val="BodyText"/>
      </w:pPr>
      <w:r>
        <w:t xml:space="preserve">Subscriptions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Long-Running Operations</w:t>
      </w:r>
    </w:p>
    <w:p>
      <w:pPr>
        <w:pStyle w:val="BodyText"/>
      </w:pPr>
      <w:r>
        <w:t xml:space="preserve">Streaming</w:t>
      </w:r>
    </w:p>
    <w:p>
      <w:pPr>
        <w:pStyle w:val="BodyText"/>
      </w:pPr>
      <w:r>
        <w:t xml:space="preserve">Event Replay</w:t>
      </w:r>
    </w:p>
    <w:p>
      <w:pPr>
        <w:pStyle w:val="BodyText"/>
      </w:pPr>
      <w:r>
        <w:t xml:space="preserve">External systems MAY subscribe to canonical events through governed interfaces.</w:t>
      </w:r>
    </w:p>
    <w:p>
      <w:r>
        <w:pict>
          <v:rect style="width:0;height:1.5pt" o:hralign="center" o:hrstd="t" o:hr="t"/>
        </w:pict>
      </w:r>
    </w:p>
    <w:bookmarkEnd w:id="30"/>
    <w:bookmarkStart w:id="31" w:name="api-categories"/>
    <w:p>
      <w:pPr>
        <w:pStyle w:val="Heading1"/>
      </w:pPr>
      <w:r>
        <w:t xml:space="preserve">10. API Categories</w:t>
      </w:r>
    </w:p>
    <w:p>
      <w:pPr>
        <w:pStyle w:val="FirstParagraph"/>
      </w:pPr>
      <w:r>
        <w:t xml:space="preserve">Canonical API categories include:</w:t>
      </w:r>
    </w:p>
    <w:p>
      <w:pPr>
        <w:pStyle w:val="BodyText"/>
      </w:pPr>
      <w:r>
        <w:t xml:space="preserve">Knowledge APIs</w:t>
      </w:r>
    </w:p>
    <w:p>
      <w:pPr>
        <w:pStyle w:val="BodyText"/>
      </w:pPr>
      <w:r>
        <w:t xml:space="preserve">Asset APIs</w:t>
      </w:r>
    </w:p>
    <w:p>
      <w:pPr>
        <w:pStyle w:val="BodyText"/>
      </w:pPr>
      <w:r>
        <w:t xml:space="preserve">Workflow APIs</w:t>
      </w:r>
    </w:p>
    <w:p>
      <w:pPr>
        <w:pStyle w:val="BodyText"/>
      </w:pPr>
      <w:r>
        <w:t xml:space="preserve">Capability APIs</w:t>
      </w:r>
    </w:p>
    <w:p>
      <w:pPr>
        <w:pStyle w:val="BodyText"/>
      </w:pPr>
      <w:r>
        <w:t xml:space="preserve">Publishing APIs</w:t>
      </w:r>
    </w:p>
    <w:p>
      <w:pPr>
        <w:pStyle w:val="BodyText"/>
      </w:pPr>
      <w:r>
        <w:t xml:space="preserve">Search APIs</w:t>
      </w:r>
    </w:p>
    <w:p>
      <w:pPr>
        <w:pStyle w:val="BodyText"/>
      </w:pPr>
      <w:r>
        <w:t xml:space="preserve">Governance APIs</w:t>
      </w:r>
    </w:p>
    <w:p>
      <w:pPr>
        <w:pStyle w:val="BodyText"/>
      </w:pPr>
      <w:r>
        <w:t xml:space="preserve">Identity APIs</w:t>
      </w:r>
    </w:p>
    <w:p>
      <w:pPr>
        <w:pStyle w:val="BodyText"/>
      </w:pPr>
      <w:r>
        <w:t xml:space="preserve">Administration APIs</w:t>
      </w:r>
    </w:p>
    <w:p>
      <w:pPr>
        <w:pStyle w:val="BodyText"/>
      </w:pPr>
      <w:r>
        <w:t xml:space="preserve">Connector APIs</w:t>
      </w:r>
    </w:p>
    <w:p>
      <w:pPr>
        <w:pStyle w:val="BodyText"/>
      </w:pPr>
      <w:r>
        <w:t xml:space="preserve">Future API families SHALL extend this specification.</w:t>
      </w:r>
    </w:p>
    <w:p>
      <w:r>
        <w:pict>
          <v:rect style="width:0;height:1.5pt" o:hralign="center" o:hrstd="t" o:hr="t"/>
        </w:pict>
      </w:r>
    </w:p>
    <w:bookmarkEnd w:id="31"/>
    <w:bookmarkStart w:id="32" w:name="workflow-interaction"/>
    <w:p>
      <w:pPr>
        <w:pStyle w:val="Heading1"/>
      </w:pPr>
      <w:r>
        <w:t xml:space="preserve">11. Workflow Interaction</w:t>
      </w:r>
    </w:p>
    <w:p>
      <w:pPr>
        <w:pStyle w:val="FirstParagraph"/>
      </w:pPr>
      <w:r>
        <w:t xml:space="preserve">APIs SHALL invoke business workflows rather than internal implementations.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Start Lecture Preservation Workflow</w:t>
      </w:r>
    </w:p>
    <w:p>
      <w:pPr>
        <w:pStyle w:val="BodyText"/>
      </w:pPr>
      <w:r>
        <w:t xml:space="preserve">rather than</w:t>
      </w:r>
    </w:p>
    <w:p>
      <w:pPr>
        <w:pStyle w:val="BodyText"/>
      </w:pPr>
      <w:r>
        <w:t xml:space="preserve">Invoke Transcript Service</w:t>
      </w:r>
    </w:p>
    <w:p>
      <w:pPr>
        <w:pStyle w:val="BodyText"/>
      </w:pPr>
      <w:r>
        <w:t xml:space="preserve">Workflow execution remains internal to KMOS.</w:t>
      </w:r>
    </w:p>
    <w:p>
      <w:r>
        <w:pict>
          <v:rect style="width:0;height:1.5pt" o:hralign="center" o:hrstd="t" o:hr="t"/>
        </w:pict>
      </w:r>
    </w:p>
    <w:bookmarkEnd w:id="32"/>
    <w:bookmarkStart w:id="33" w:name="capability-discovery"/>
    <w:p>
      <w:pPr>
        <w:pStyle w:val="Heading1"/>
      </w:pPr>
      <w:r>
        <w:t xml:space="preserve">12. Capability Discovery</w:t>
      </w:r>
    </w:p>
    <w:p>
      <w:pPr>
        <w:pStyle w:val="FirstParagraph"/>
      </w:pPr>
      <w:r>
        <w:t xml:space="preserve">External systems MAY discover Capabilities.</w:t>
      </w:r>
    </w:p>
    <w:p>
      <w:pPr>
        <w:pStyle w:val="BodyText"/>
      </w:pPr>
      <w:r>
        <w:t xml:space="preserve">Discovery SHALL expose:</w:t>
      </w:r>
    </w:p>
    <w:p>
      <w:pPr>
        <w:pStyle w:val="BodyText"/>
      </w:pPr>
      <w:r>
        <w:t xml:space="preserve">Business Name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Supported Inputs</w:t>
      </w:r>
    </w:p>
    <w:p>
      <w:pPr>
        <w:pStyle w:val="BodyText"/>
      </w:pPr>
      <w:r>
        <w:t xml:space="preserve">Supported Outputs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Certification</w:t>
      </w:r>
    </w:p>
    <w:p>
      <w:pPr>
        <w:pStyle w:val="BodyText"/>
      </w:pPr>
      <w:r>
        <w:t xml:space="preserve">Operational Status</w:t>
      </w:r>
    </w:p>
    <w:p>
      <w:pPr>
        <w:pStyle w:val="BodyText"/>
      </w:pPr>
      <w:r>
        <w:t xml:space="preserve">Capabilities SHALL NOT expose internal implementation details.</w:t>
      </w:r>
    </w:p>
    <w:p>
      <w:r>
        <w:pict>
          <v:rect style="width:0;height:1.5pt" o:hralign="center" o:hrstd="t" o:hr="t"/>
        </w:pict>
      </w:r>
    </w:p>
    <w:bookmarkEnd w:id="33"/>
    <w:bookmarkStart w:id="34" w:name="search"/>
    <w:p>
      <w:pPr>
        <w:pStyle w:val="Heading1"/>
      </w:pPr>
      <w:r>
        <w:t xml:space="preserve">13. Search</w:t>
      </w:r>
    </w:p>
    <w:p>
      <w:pPr>
        <w:pStyle w:val="FirstParagraph"/>
      </w:pPr>
      <w:r>
        <w:t xml:space="preserve">Search SHALL operate on canonical business concepts.</w:t>
      </w:r>
    </w:p>
    <w:p>
      <w:pPr>
        <w:pStyle w:val="BodyText"/>
      </w:pPr>
      <w:r>
        <w:t xml:space="preserve">Supported search dimensions include: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People</w:t>
      </w:r>
    </w:p>
    <w:p>
      <w:pPr>
        <w:pStyle w:val="BodyText"/>
      </w:pPr>
      <w:r>
        <w:t xml:space="preserve">Organizations</w:t>
      </w:r>
    </w:p>
    <w:p>
      <w:pPr>
        <w:pStyle w:val="BodyText"/>
      </w:pPr>
      <w:r>
        <w:t xml:space="preserve">Topics</w:t>
      </w:r>
    </w:p>
    <w:p>
      <w:pPr>
        <w:pStyle w:val="BodyText"/>
      </w:pPr>
      <w:r>
        <w:t xml:space="preserve">Publications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Collections</w:t>
      </w:r>
    </w:p>
    <w:p>
      <w:pPr>
        <w:pStyle w:val="BodyText"/>
      </w:pPr>
      <w:r>
        <w:t xml:space="preserve">Search implementation remains internal.</w:t>
      </w:r>
    </w:p>
    <w:p>
      <w:r>
        <w:pict>
          <v:rect style="width:0;height:1.5pt" o:hralign="center" o:hrstd="t" o:hr="t"/>
        </w:pict>
      </w:r>
    </w:p>
    <w:bookmarkEnd w:id="34"/>
    <w:bookmarkStart w:id="35" w:name="authentication"/>
    <w:p>
      <w:pPr>
        <w:pStyle w:val="Heading1"/>
      </w:pPr>
      <w:r>
        <w:t xml:space="preserve">14. Authentication</w:t>
      </w:r>
    </w:p>
    <w:p>
      <w:pPr>
        <w:pStyle w:val="FirstParagraph"/>
      </w:pPr>
      <w:r>
        <w:t xml:space="preserve">Every API SHALL require authenticated identity unless explicitly designated public.</w:t>
      </w:r>
    </w:p>
    <w:p>
      <w:pPr>
        <w:pStyle w:val="BodyText"/>
      </w:pPr>
      <w:r>
        <w:t xml:space="preserve">Supported identity categories include:</w:t>
      </w:r>
    </w:p>
    <w:p>
      <w:pPr>
        <w:pStyle w:val="BodyText"/>
      </w:pPr>
      <w:r>
        <w:t xml:space="preserve">Human Users</w:t>
      </w:r>
    </w:p>
    <w:p>
      <w:pPr>
        <w:pStyle w:val="BodyText"/>
      </w:pPr>
      <w:r>
        <w:t xml:space="preserve">Applications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Extensions</w:t>
      </w:r>
    </w:p>
    <w:p>
      <w:pPr>
        <w:pStyle w:val="BodyText"/>
      </w:pPr>
      <w:r>
        <w:t xml:space="preserve">Connectors</w:t>
      </w:r>
    </w:p>
    <w:p>
      <w:pPr>
        <w:pStyle w:val="BodyText"/>
      </w:pPr>
      <w:r>
        <w:t xml:space="preserve">AI Workers</w:t>
      </w:r>
    </w:p>
    <w:p>
      <w:pPr>
        <w:pStyle w:val="BodyText"/>
      </w:pPr>
      <w:r>
        <w:t xml:space="preserve">Authentication mechanisms remain implementation independent.</w:t>
      </w:r>
    </w:p>
    <w:p>
      <w:r>
        <w:pict>
          <v:rect style="width:0;height:1.5pt" o:hralign="center" o:hrstd="t" o:hr="t"/>
        </w:pict>
      </w:r>
    </w:p>
    <w:bookmarkEnd w:id="35"/>
    <w:bookmarkStart w:id="36" w:name="authorization"/>
    <w:p>
      <w:pPr>
        <w:pStyle w:val="Heading1"/>
      </w:pPr>
      <w:r>
        <w:t xml:space="preserve">15. Authorization</w:t>
      </w:r>
    </w:p>
    <w:p>
      <w:pPr>
        <w:pStyle w:val="FirstParagraph"/>
      </w:pPr>
      <w:r>
        <w:t xml:space="preserve">Authorization SHALL be policy-driven.</w:t>
      </w:r>
    </w:p>
    <w:p>
      <w:pPr>
        <w:pStyle w:val="BodyText"/>
      </w:pPr>
      <w:r>
        <w:t xml:space="preserve">Authorization MAY consider: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Organization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Knowledge Classification</w:t>
      </w:r>
    </w:p>
    <w:p>
      <w:pPr>
        <w:pStyle w:val="BodyText"/>
      </w:pPr>
      <w:r>
        <w:t xml:space="preserve">Asset Classification</w:t>
      </w:r>
    </w:p>
    <w:p>
      <w:pPr>
        <w:pStyle w:val="BodyText"/>
      </w:pPr>
      <w:r>
        <w:t xml:space="preserve">Workflow State</w:t>
      </w:r>
    </w:p>
    <w:p>
      <w:pPr>
        <w:pStyle w:val="BodyText"/>
      </w:pPr>
      <w:r>
        <w:t xml:space="preserve">Approval Status</w:t>
      </w:r>
    </w:p>
    <w:p>
      <w:pPr>
        <w:pStyle w:val="BodyText"/>
      </w:pPr>
      <w:r>
        <w:t xml:space="preserve">Security SHALL remain external to business logic.</w:t>
      </w:r>
    </w:p>
    <w:p>
      <w:r>
        <w:pict>
          <v:rect style="width:0;height:1.5pt" o:hralign="center" o:hrstd="t" o:hr="t"/>
        </w:pict>
      </w:r>
    </w:p>
    <w:bookmarkEnd w:id="36"/>
    <w:bookmarkStart w:id="37" w:name="versioning"/>
    <w:p>
      <w:pPr>
        <w:pStyle w:val="Heading1"/>
      </w:pPr>
      <w:r>
        <w:t xml:space="preserve">16. Versioning</w:t>
      </w:r>
    </w:p>
    <w:p>
      <w:pPr>
        <w:pStyle w:val="FirstParagraph"/>
      </w:pPr>
      <w:r>
        <w:t xml:space="preserve">Business contracts SHALL use semantic versioning.</w:t>
      </w:r>
    </w:p>
    <w:p>
      <w:pPr>
        <w:pStyle w:val="BodyText"/>
      </w:pPr>
      <w:r>
        <w:t xml:space="preserve">Major Versions</w:t>
      </w:r>
    </w:p>
    <w:p>
      <w:pPr>
        <w:pStyle w:val="BodyText"/>
      </w:pPr>
      <w:r>
        <w:t xml:space="preserve">Breaking contract changes.</w:t>
      </w:r>
    </w:p>
    <w:p>
      <w:pPr>
        <w:pStyle w:val="BodyText"/>
      </w:pPr>
      <w:r>
        <w:t xml:space="preserve">Minor Versions</w:t>
      </w:r>
    </w:p>
    <w:p>
      <w:pPr>
        <w:pStyle w:val="BodyText"/>
      </w:pPr>
      <w:r>
        <w:t xml:space="preserve">Backward-compatible additions.</w:t>
      </w:r>
    </w:p>
    <w:p>
      <w:pPr>
        <w:pStyle w:val="BodyText"/>
      </w:pPr>
      <w:r>
        <w:t xml:space="preserve">Patch Versions</w:t>
      </w:r>
    </w:p>
    <w:p>
      <w:pPr>
        <w:pStyle w:val="BodyText"/>
      </w:pPr>
      <w:r>
        <w:t xml:space="preserve">Documentation and operational improvements.</w:t>
      </w:r>
    </w:p>
    <w:p>
      <w:pPr>
        <w:pStyle w:val="BodyText"/>
      </w:pPr>
      <w:r>
        <w:t xml:space="preserve">Deprecated versions SHALL publish lifecycle events.</w:t>
      </w:r>
    </w:p>
    <w:p>
      <w:r>
        <w:pict>
          <v:rect style="width:0;height:1.5pt" o:hralign="center" o:hrstd="t" o:hr="t"/>
        </w:pict>
      </w:r>
    </w:p>
    <w:bookmarkEnd w:id="37"/>
    <w:bookmarkStart w:id="38" w:name="error-model"/>
    <w:p>
      <w:pPr>
        <w:pStyle w:val="Heading1"/>
      </w:pPr>
      <w:r>
        <w:t xml:space="preserve">17. Error Model</w:t>
      </w:r>
    </w:p>
    <w:p>
      <w:pPr>
        <w:pStyle w:val="FirstParagraph"/>
      </w:pPr>
      <w:r>
        <w:t xml:space="preserve">Errors SHALL be canonical business responses.</w:t>
      </w:r>
    </w:p>
    <w:p>
      <w:pPr>
        <w:pStyle w:val="BodyText"/>
      </w:pPr>
      <w:r>
        <w:t xml:space="preserve">Categories include: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Policy</w:t>
      </w:r>
    </w:p>
    <w:p>
      <w:pPr>
        <w:pStyle w:val="BodyText"/>
      </w:pPr>
      <w:r>
        <w:t xml:space="preserve">Business Rule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Resource Availability</w:t>
      </w:r>
    </w:p>
    <w:p>
      <w:pPr>
        <w:pStyle w:val="BodyText"/>
      </w:pPr>
      <w:r>
        <w:t xml:space="preserve">Infrastructure</w:t>
      </w:r>
    </w:p>
    <w:p>
      <w:pPr>
        <w:pStyle w:val="BodyText"/>
      </w:pPr>
      <w:r>
        <w:t xml:space="preserve">Errors SHALL distinguish business failures from operational failures.</w:t>
      </w:r>
    </w:p>
    <w:p>
      <w:r>
        <w:pict>
          <v:rect style="width:0;height:1.5pt" o:hralign="center" o:hrstd="t" o:hr="t"/>
        </w:pict>
      </w:r>
    </w:p>
    <w:bookmarkEnd w:id="38"/>
    <w:bookmarkStart w:id="39" w:name="integration-patterns"/>
    <w:p>
      <w:pPr>
        <w:pStyle w:val="Heading1"/>
      </w:pPr>
      <w:r>
        <w:t xml:space="preserve">18. Integration Patterns</w:t>
      </w:r>
    </w:p>
    <w:p>
      <w:pPr>
        <w:pStyle w:val="FirstParagraph"/>
      </w:pPr>
      <w:r>
        <w:t xml:space="preserve">Supported patterns include:</w:t>
      </w:r>
    </w:p>
    <w:p>
      <w:pPr>
        <w:pStyle w:val="BodyText"/>
      </w:pPr>
      <w:r>
        <w:t xml:space="preserve">Synchronous APIs</w:t>
      </w:r>
    </w:p>
    <w:p>
      <w:pPr>
        <w:pStyle w:val="BodyText"/>
      </w:pPr>
      <w:r>
        <w:t xml:space="preserve">Asynchronous Messaging</w:t>
      </w:r>
    </w:p>
    <w:p>
      <w:pPr>
        <w:pStyle w:val="BodyText"/>
      </w:pPr>
      <w:r>
        <w:t xml:space="preserve">Event Subscriptions</w:t>
      </w:r>
    </w:p>
    <w:p>
      <w:pPr>
        <w:pStyle w:val="BodyText"/>
      </w:pPr>
      <w:r>
        <w:t xml:space="preserve">Bulk Import</w:t>
      </w:r>
    </w:p>
    <w:p>
      <w:pPr>
        <w:pStyle w:val="BodyText"/>
      </w:pPr>
      <w:r>
        <w:t xml:space="preserve">Bulk Export</w:t>
      </w:r>
    </w:p>
    <w:p>
      <w:pPr>
        <w:pStyle w:val="BodyText"/>
      </w:pPr>
      <w:r>
        <w:t xml:space="preserve">Streaming</w:t>
      </w:r>
    </w:p>
    <w:p>
      <w:pPr>
        <w:pStyle w:val="BodyText"/>
      </w:pPr>
      <w:r>
        <w:t xml:space="preserve">Connector Integration</w:t>
      </w:r>
    </w:p>
    <w:p>
      <w:pPr>
        <w:pStyle w:val="BodyText"/>
      </w:pPr>
      <w:r>
        <w:t xml:space="preserve">Offline Synchronization</w:t>
      </w:r>
    </w:p>
    <w:p>
      <w:pPr>
        <w:pStyle w:val="BodyText"/>
      </w:pPr>
      <w:r>
        <w:t xml:space="preserve">Federation</w:t>
      </w:r>
    </w:p>
    <w:p>
      <w:pPr>
        <w:pStyle w:val="BodyText"/>
      </w:pPr>
      <w:r>
        <w:t xml:space="preserve">Pattern selection SHALL preserve canonical business contracts.</w:t>
      </w:r>
    </w:p>
    <w:p>
      <w:r>
        <w:pict>
          <v:rect style="width:0;height:1.5pt" o:hralign="center" o:hrstd="t" o:hr="t"/>
        </w:pict>
      </w:r>
    </w:p>
    <w:bookmarkEnd w:id="39"/>
    <w:bookmarkStart w:id="40" w:name="observability"/>
    <w:p>
      <w:pPr>
        <w:pStyle w:val="Heading1"/>
      </w:pPr>
      <w:r>
        <w:t xml:space="preserve">19. Observability</w:t>
      </w:r>
    </w:p>
    <w:p>
      <w:pPr>
        <w:pStyle w:val="FirstParagraph"/>
      </w:pPr>
      <w:r>
        <w:t xml:space="preserve">Every API SHALL publish:</w:t>
      </w:r>
    </w:p>
    <w:p>
      <w:pPr>
        <w:pStyle w:val="BodyText"/>
      </w:pPr>
      <w:r>
        <w:t xml:space="preserve">Request Metrics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Error Rates</w:t>
      </w:r>
    </w:p>
    <w:p>
      <w:pPr>
        <w:pStyle w:val="BodyText"/>
      </w:pPr>
      <w:r>
        <w:t xml:space="preserve">Business Events</w:t>
      </w:r>
    </w:p>
    <w:p>
      <w:pPr>
        <w:pStyle w:val="BodyText"/>
      </w:pPr>
      <w:r>
        <w:t xml:space="preserve">Audit Records</w:t>
      </w:r>
    </w:p>
    <w:p>
      <w:pPr>
        <w:pStyle w:val="BodyText"/>
      </w:pPr>
      <w:r>
        <w:t xml:space="preserve">Security Events</w:t>
      </w:r>
    </w:p>
    <w:p>
      <w:pPr>
        <w:pStyle w:val="BodyText"/>
      </w:pPr>
      <w:r>
        <w:t xml:space="preserve">Version Information</w:t>
      </w:r>
    </w:p>
    <w:p>
      <w:pPr>
        <w:pStyle w:val="BodyText"/>
      </w:pPr>
      <w:r>
        <w:t xml:space="preserve">Operational Health</w:t>
      </w:r>
    </w:p>
    <w:p>
      <w:pPr>
        <w:pStyle w:val="BodyText"/>
      </w:pPr>
      <w:r>
        <w:t xml:space="preserve">Observability SHALL integrate with platform governance.</w:t>
      </w:r>
    </w:p>
    <w:p>
      <w:r>
        <w:pict>
          <v:rect style="width:0;height:1.5pt" o:hralign="center" o:hrstd="t" o:hr="t"/>
        </w:pict>
      </w:r>
    </w:p>
    <w:bookmarkEnd w:id="40"/>
    <w:bookmarkStart w:id="41" w:name="security"/>
    <w:p>
      <w:pPr>
        <w:pStyle w:val="Heading1"/>
      </w:pPr>
      <w:r>
        <w:t xml:space="preserve">20. Security</w:t>
      </w:r>
    </w:p>
    <w:p>
      <w:pPr>
        <w:pStyle w:val="FirstParagraph"/>
      </w:pPr>
      <w:r>
        <w:t xml:space="preserve">Every API SHALL support:</w:t>
      </w:r>
    </w:p>
    <w:p>
      <w:pPr>
        <w:pStyle w:val="BodyText"/>
      </w:pPr>
      <w:r>
        <w:t xml:space="preserve">Encrypted Communication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Threat Detection</w:t>
      </w:r>
    </w:p>
    <w:p>
      <w:pPr>
        <w:pStyle w:val="BodyText"/>
      </w:pPr>
      <w:r>
        <w:t xml:space="preserve">Policy Enforcement</w:t>
      </w:r>
    </w:p>
    <w:p>
      <w:pPr>
        <w:pStyle w:val="BodyText"/>
      </w:pPr>
      <w:r>
        <w:t xml:space="preserve">Input Validation</w:t>
      </w:r>
    </w:p>
    <w:p>
      <w:pPr>
        <w:pStyle w:val="BodyText"/>
      </w:pPr>
      <w:r>
        <w:t xml:space="preserve">Security SHALL remain configurable.</w:t>
      </w:r>
    </w:p>
    <w:p>
      <w:r>
        <w:pict>
          <v:rect style="width:0;height:1.5pt" o:hralign="center" o:hrstd="t" o:hr="t"/>
        </w:pict>
      </w:r>
    </w:p>
    <w:bookmarkEnd w:id="41"/>
    <w:bookmarkStart w:id="42" w:name="documentation"/>
    <w:p>
      <w:pPr>
        <w:pStyle w:val="Heading1"/>
      </w:pPr>
      <w:r>
        <w:t xml:space="preserve">21. Documentation</w:t>
      </w:r>
    </w:p>
    <w:p>
      <w:pPr>
        <w:pStyle w:val="FirstParagraph"/>
      </w:pPr>
      <w:r>
        <w:t xml:space="preserve">Every API SHALL publish machine-readable documentation.</w:t>
      </w:r>
    </w:p>
    <w:p>
      <w:pPr>
        <w:pStyle w:val="BodyText"/>
      </w:pPr>
      <w:r>
        <w:t xml:space="preserve">Documentation SHALL include:</w:t>
      </w:r>
    </w:p>
    <w:p>
      <w:pPr>
        <w:pStyle w:val="BodyText"/>
      </w:pPr>
      <w:r>
        <w:t xml:space="preserve">Business Purpose</w:t>
      </w:r>
    </w:p>
    <w:p>
      <w:pPr>
        <w:pStyle w:val="BodyText"/>
      </w:pPr>
      <w:r>
        <w:t xml:space="preserve">Canonical Resources</w:t>
      </w:r>
    </w:p>
    <w:p>
      <w:pPr>
        <w:pStyle w:val="BodyText"/>
      </w:pPr>
      <w:r>
        <w:t xml:space="preserve">Contracts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Version History</w:t>
      </w:r>
    </w:p>
    <w:p>
      <w:pPr>
        <w:pStyle w:val="BodyText"/>
      </w:pPr>
      <w:r>
        <w:t xml:space="preserve">Security Requirements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Error Conditions</w:t>
      </w:r>
    </w:p>
    <w:p>
      <w:pPr>
        <w:pStyle w:val="BodyText"/>
      </w:pPr>
      <w:r>
        <w:t xml:space="preserve">Compatibility Notes</w:t>
      </w:r>
    </w:p>
    <w:p>
      <w:pPr>
        <w:pStyle w:val="BodyText"/>
      </w:pPr>
      <w:r>
        <w:t xml:space="preserve">Documentation SHALL remain synchronized with implementation.</w:t>
      </w:r>
    </w:p>
    <w:p>
      <w:r>
        <w:pict>
          <v:rect style="width:0;height:1.5pt" o:hralign="center" o:hrstd="t" o:hr="t"/>
        </w:pict>
      </w:r>
    </w:p>
    <w:bookmarkEnd w:id="42"/>
    <w:bookmarkStart w:id="43" w:name="external-connectors"/>
    <w:p>
      <w:pPr>
        <w:pStyle w:val="Heading1"/>
      </w:pPr>
      <w:r>
        <w:t xml:space="preserve">22. External Connectors</w:t>
      </w:r>
    </w:p>
    <w:p>
      <w:pPr>
        <w:pStyle w:val="FirstParagraph"/>
      </w:pPr>
      <w:r>
        <w:t xml:space="preserve">External systems integrate through Connectors.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Content Management Systems</w:t>
      </w:r>
    </w:p>
    <w:p>
      <w:pPr>
        <w:pStyle w:val="BodyText"/>
      </w:pPr>
      <w:r>
        <w:t xml:space="preserve">Publishing Platforms</w:t>
      </w:r>
    </w:p>
    <w:p>
      <w:pPr>
        <w:pStyle w:val="BodyText"/>
      </w:pPr>
      <w:r>
        <w:t xml:space="preserve">Cloud Storage</w:t>
      </w:r>
    </w:p>
    <w:p>
      <w:pPr>
        <w:pStyle w:val="BodyText"/>
      </w:pPr>
      <w:r>
        <w:t xml:space="preserve">Learning Platforms</w:t>
      </w:r>
    </w:p>
    <w:p>
      <w:pPr>
        <w:pStyle w:val="BodyText"/>
      </w:pPr>
      <w:r>
        <w:t xml:space="preserve">Identity Providers</w:t>
      </w:r>
    </w:p>
    <w:p>
      <w:pPr>
        <w:pStyle w:val="BodyText"/>
      </w:pPr>
      <w:r>
        <w:t xml:space="preserve">Enterprise Systems</w:t>
      </w:r>
    </w:p>
    <w:p>
      <w:pPr>
        <w:pStyle w:val="BodyText"/>
      </w:pPr>
      <w:r>
        <w:t xml:space="preserve">Research Systems</w:t>
      </w:r>
    </w:p>
    <w:p>
      <w:pPr>
        <w:pStyle w:val="BodyText"/>
      </w:pPr>
      <w:r>
        <w:t xml:space="preserve">AI Platforms</w:t>
      </w:r>
    </w:p>
    <w:p>
      <w:pPr>
        <w:pStyle w:val="BodyText"/>
      </w:pPr>
      <w:r>
        <w:t xml:space="preserve">Connectors SHALL translate external protocols into canonical KMOS objects and events.</w:t>
      </w:r>
    </w:p>
    <w:p>
      <w:r>
        <w:pict>
          <v:rect style="width:0;height:1.5pt" o:hralign="center" o:hrstd="t" o:hr="t"/>
        </w:pict>
      </w:r>
    </w:p>
    <w:bookmarkEnd w:id="43"/>
    <w:bookmarkStart w:id="44" w:name="governance"/>
    <w:p>
      <w:pPr>
        <w:pStyle w:val="Heading1"/>
      </w:pPr>
      <w:r>
        <w:t xml:space="preserve">23. Governance</w:t>
      </w:r>
    </w:p>
    <w:p>
      <w:pPr>
        <w:pStyle w:val="FirstParagraph"/>
      </w:pPr>
      <w:r>
        <w:t xml:space="preserve">Every API interaction SHALL participate in governance.</w:t>
      </w:r>
    </w:p>
    <w:p>
      <w:pPr>
        <w:pStyle w:val="BodyText"/>
      </w:pPr>
      <w:r>
        <w:t xml:space="preserve">Governance records include: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Audit Trail</w:t>
      </w:r>
    </w:p>
    <w:p>
      <w:pPr>
        <w:pStyle w:val="BodyText"/>
      </w:pPr>
      <w:r>
        <w:t xml:space="preserve">Institutional accountability extends to external integrations.</w:t>
      </w:r>
    </w:p>
    <w:p>
      <w:r>
        <w:pict>
          <v:rect style="width:0;height:1.5pt" o:hralign="center" o:hrstd="t" o:hr="t"/>
        </w:pict>
      </w:r>
    </w:p>
    <w:bookmarkEnd w:id="44"/>
    <w:bookmarkStart w:id="45" w:name="conformance"/>
    <w:p>
      <w:pPr>
        <w:pStyle w:val="Heading1"/>
      </w:pPr>
      <w:r>
        <w:t xml:space="preserve">24. Conformance</w:t>
      </w:r>
    </w:p>
    <w:p>
      <w:pPr>
        <w:pStyle w:val="FirstParagraph"/>
      </w:pPr>
      <w:r>
        <w:t xml:space="preserve">An implementation claiming compliance with KMOS-0180 SHALL:</w:t>
      </w:r>
    </w:p>
    <w:p>
      <w:pPr>
        <w:pStyle w:val="BodyText"/>
      </w:pPr>
      <w:r>
        <w:t xml:space="preserve">Expose canonical business resources.</w:t>
      </w:r>
    </w:p>
    <w:p>
      <w:pPr>
        <w:pStyle w:val="BodyText"/>
      </w:pPr>
      <w:r>
        <w:t xml:space="preserve">Use canonical identifiers.</w:t>
      </w:r>
    </w:p>
    <w:p>
      <w:pPr>
        <w:pStyle w:val="BodyText"/>
      </w:pPr>
      <w:r>
        <w:t xml:space="preserve">Support versioned business contracts.</w:t>
      </w:r>
    </w:p>
    <w:p>
      <w:pPr>
        <w:pStyle w:val="BodyText"/>
      </w:pPr>
      <w:r>
        <w:t xml:space="preserve">Support authentication.</w:t>
      </w:r>
    </w:p>
    <w:p>
      <w:pPr>
        <w:pStyle w:val="BodyText"/>
      </w:pPr>
      <w:r>
        <w:t xml:space="preserve">Support authorization.</w:t>
      </w:r>
    </w:p>
    <w:p>
      <w:pPr>
        <w:pStyle w:val="BodyText"/>
      </w:pPr>
      <w:r>
        <w:t xml:space="preserve">Publish machine-readable documentation.</w:t>
      </w:r>
    </w:p>
    <w:p>
      <w:pPr>
        <w:pStyle w:val="BodyText"/>
      </w:pPr>
      <w:r>
        <w:t xml:space="preserve">Publish canonical events.</w:t>
      </w:r>
    </w:p>
    <w:p>
      <w:pPr>
        <w:pStyle w:val="BodyText"/>
      </w:pPr>
      <w:r>
        <w:t xml:space="preserve">Support observability.</w:t>
      </w:r>
    </w:p>
    <w:p>
      <w:pPr>
        <w:pStyle w:val="BodyText"/>
      </w:pPr>
      <w:r>
        <w:t xml:space="preserve">Support governance.</w:t>
      </w:r>
    </w:p>
    <w:p>
      <w:pPr>
        <w:pStyle w:val="BodyText"/>
      </w:pPr>
      <w:r>
        <w:t xml:space="preserve">Remain implementation independent.</w:t>
      </w:r>
    </w:p>
    <w:p>
      <w:pPr>
        <w:pStyle w:val="BodyText"/>
      </w:pPr>
      <w:r>
        <w:t xml:space="preserve">Partial implementations SHALL declare unsupported capabilities.</w:t>
      </w:r>
    </w:p>
    <w:p>
      <w:r>
        <w:pict>
          <v:rect style="width:0;height:1.5pt" o:hralign="center" o:hrstd="t" o:hr="t"/>
        </w:pict>
      </w:r>
    </w:p>
    <w:bookmarkEnd w:id="45"/>
    <w:bookmarkStart w:id="46" w:name="relationship-to-previous-specifications"/>
    <w:p>
      <w:pPr>
        <w:pStyle w:val="Heading1"/>
      </w:pPr>
      <w:r>
        <w:t xml:space="preserve">25. Relationship to Previous Specifications</w:t>
      </w:r>
    </w:p>
    <w:p>
      <w:pPr>
        <w:pStyle w:val="FirstParagraph"/>
      </w:pPr>
      <w:r>
        <w:t xml:space="preserve">KMOS-0100 defined Canonical Objects.</w:t>
      </w:r>
    </w:p>
    <w:p>
      <w:pPr>
        <w:pStyle w:val="BodyText"/>
      </w:pPr>
      <w:r>
        <w:t xml:space="preserve">KMOS-0110 defined Canonical Events.</w:t>
      </w:r>
    </w:p>
    <w:p>
      <w:pPr>
        <w:pStyle w:val="BodyText"/>
      </w:pPr>
      <w:r>
        <w:t xml:space="preserve">KMOS-0120 defined Capability Contracts.</w:t>
      </w:r>
    </w:p>
    <w:p>
      <w:pPr>
        <w:pStyle w:val="BodyText"/>
      </w:pPr>
      <w:r>
        <w:t xml:space="preserve">KMOS-0130 defined Knowledge Objects.</w:t>
      </w:r>
    </w:p>
    <w:p>
      <w:pPr>
        <w:pStyle w:val="BodyText"/>
      </w:pPr>
      <w:r>
        <w:t xml:space="preserve">KMOS-0140 defined Asset Metadata.</w:t>
      </w:r>
    </w:p>
    <w:p>
      <w:pPr>
        <w:pStyle w:val="BodyText"/>
      </w:pPr>
      <w:r>
        <w:t xml:space="preserve">KMOS-0150 defined the Workflow Definition Language.</w:t>
      </w:r>
    </w:p>
    <w:p>
      <w:pPr>
        <w:pStyle w:val="BodyText"/>
      </w:pPr>
      <w:r>
        <w:t xml:space="preserve">KMOS-0160 defined the Capability Development Kit.</w:t>
      </w:r>
    </w:p>
    <w:p>
      <w:pPr>
        <w:pStyle w:val="BodyText"/>
      </w:pPr>
      <w:r>
        <w:t xml:space="preserve">KMOS-0170 defined the Extension Framework.</w:t>
      </w:r>
    </w:p>
    <w:p>
      <w:pPr>
        <w:pStyle w:val="BodyText"/>
      </w:pPr>
      <w:r>
        <w:t xml:space="preserve">KMOS-0180 defines how the platform communicates with external systems while preserving canonical business semantics.</w:t>
      </w:r>
    </w:p>
    <w:p>
      <w:r>
        <w:pict>
          <v:rect style="width:0;height:1.5pt" o:hralign="center" o:hrstd="t" o:hr="t"/>
        </w:pict>
      </w:r>
    </w:p>
    <w:bookmarkEnd w:id="46"/>
    <w:bookmarkStart w:id="47" w:name="architectural-consequences"/>
    <w:p>
      <w:pPr>
        <w:pStyle w:val="Heading1"/>
      </w:pPr>
      <w:r>
        <w:t xml:space="preserve">26. Architectural Consequences</w:t>
      </w:r>
    </w:p>
    <w:p>
      <w:pPr>
        <w:pStyle w:val="FirstParagraph"/>
      </w:pPr>
      <w:r>
        <w:t xml:space="preserve">Because every integration follows canonical contracts:</w:t>
      </w:r>
    </w:p>
    <w:p>
      <w:pPr>
        <w:pStyle w:val="BodyText"/>
      </w:pPr>
      <w:r>
        <w:t xml:space="preserve">Applications remain replaceable.</w:t>
      </w:r>
    </w:p>
    <w:p>
      <w:pPr>
        <w:pStyle w:val="BodyText"/>
      </w:pPr>
      <w:r>
        <w:t xml:space="preserve">Infrastructure remains interchangeable.</w:t>
      </w:r>
    </w:p>
    <w:p>
      <w:pPr>
        <w:pStyle w:val="BodyText"/>
      </w:pPr>
      <w:r>
        <w:t xml:space="preserve">External systems remain loosely coupled.</w:t>
      </w:r>
    </w:p>
    <w:p>
      <w:pPr>
        <w:pStyle w:val="BodyText"/>
      </w:pPr>
      <w:r>
        <w:t xml:space="preserve">Capabilities evolve independently.</w:t>
      </w:r>
    </w:p>
    <w:p>
      <w:pPr>
        <w:pStyle w:val="BodyText"/>
      </w:pPr>
      <w:r>
        <w:t xml:space="preserve">Knowledge remains portable.</w:t>
      </w:r>
    </w:p>
    <w:p>
      <w:pPr>
        <w:pStyle w:val="BodyText"/>
      </w:pPr>
      <w:r>
        <w:t xml:space="preserve">Governance remains comprehensive.</w:t>
      </w:r>
    </w:p>
    <w:p>
      <w:pPr>
        <w:pStyle w:val="BodyText"/>
      </w:pPr>
      <w:r>
        <w:t xml:space="preserve">Technology changes no longer affect external business integrations.</w:t>
      </w:r>
    </w:p>
    <w:p>
      <w:pPr>
        <w:pStyle w:val="BodyText"/>
      </w:pPr>
      <w:r>
        <w:t xml:space="preserve">The API becomes a stable institutional contract rather than an implementation interface.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e-integration-example"/>
    <w:p>
      <w:pPr>
        <w:pStyle w:val="Heading1"/>
      </w:pPr>
      <w:r>
        <w:t xml:space="preserve">27. Reference Integration Example</w:t>
      </w:r>
    </w:p>
    <w:p>
      <w:pPr>
        <w:pStyle w:val="FirstParagraph"/>
      </w:pPr>
      <w:r>
        <w:t xml:space="preserve">An external educational platform requests the preservation of a newly recorded lecture.</w:t>
      </w:r>
    </w:p>
    <w:p>
      <w:pPr>
        <w:pStyle w:val="BodyText"/>
      </w:pPr>
      <w:r>
        <w:t xml:space="preserve">The interaction proceeds through canonical business operations:</w:t>
      </w:r>
    </w:p>
    <w:p>
      <w:pPr>
        <w:pStyle w:val="BodyText"/>
      </w:pPr>
      <w:r>
        <w:t xml:space="preserve">Request Lecture Preservation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Register Source Asset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Start Preservation Workflow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Receive Workflow Identifier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Subscribe to Workflow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Receive TranscriptGenerated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Receive KnowledgeUpdated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Receive PublicationReleased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Retrieve Published Assets</w:t>
      </w:r>
    </w:p>
    <w:p>
      <w:pPr>
        <w:pStyle w:val="BodyText"/>
      </w:pPr>
      <w:r>
        <w:t xml:space="preserve">The external platform never interacts directly with transcription engines, rendering services, storage systems, or AI models. It communicates exclusively through canonical business contracts and events.</w:t>
      </w:r>
    </w:p>
    <w:p>
      <w:r>
        <w:pict>
          <v:rect style="width:0;height:1.5pt" o:hralign="center" o:hrstd="t" o:hr="t"/>
        </w:pict>
      </w:r>
    </w:p>
    <w:bookmarkEnd w:id="48"/>
    <w:bookmarkStart w:id="49" w:name="future-api-specifications"/>
    <w:p>
      <w:pPr>
        <w:pStyle w:val="Heading1"/>
      </w:pPr>
      <w:r>
        <w:t xml:space="preserve">28. Future API Specifications</w:t>
      </w:r>
    </w:p>
    <w:p>
      <w:pPr>
        <w:pStyle w:val="FirstParagraph"/>
      </w:pPr>
      <w:r>
        <w:t xml:space="preserve">This specification defines the API &amp; Integration Standard.</w:t>
      </w:r>
    </w:p>
    <w:p>
      <w:pPr>
        <w:pStyle w:val="BodyText"/>
      </w:pPr>
      <w:r>
        <w:t xml:space="preserve">Future specifications SHALL extend this framework.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KMOS-1810 REST API Profile</w:t>
      </w:r>
    </w:p>
    <w:p>
      <w:pPr>
        <w:pStyle w:val="BodyText"/>
      </w:pPr>
      <w:r>
        <w:t xml:space="preserve">KMOS-1820 GraphQL API Profile</w:t>
      </w:r>
    </w:p>
    <w:p>
      <w:pPr>
        <w:pStyle w:val="BodyText"/>
      </w:pPr>
      <w:r>
        <w:t xml:space="preserve">KMOS-1830 Event Streaming Profile</w:t>
      </w:r>
    </w:p>
    <w:p>
      <w:pPr>
        <w:pStyle w:val="BodyText"/>
      </w:pPr>
      <w:r>
        <w:t xml:space="preserve">KMOS-1840 Webhook Specification</w:t>
      </w:r>
    </w:p>
    <w:p>
      <w:pPr>
        <w:pStyle w:val="BodyText"/>
      </w:pPr>
      <w:r>
        <w:t xml:space="preserve">KMOS-1850 Federation Protocol</w:t>
      </w:r>
    </w:p>
    <w:p>
      <w:pPr>
        <w:pStyle w:val="BodyText"/>
      </w:pPr>
      <w:r>
        <w:t xml:space="preserve">KMOS-1860 Connector SDK</w:t>
      </w:r>
    </w:p>
    <w:p>
      <w:pPr>
        <w:pStyle w:val="BodyText"/>
      </w:pPr>
      <w:r>
        <w:t xml:space="preserve">KMOS-1870 Authentication Profile</w:t>
      </w:r>
    </w:p>
    <w:p>
      <w:pPr>
        <w:pStyle w:val="BodyText"/>
      </w:pPr>
      <w:r>
        <w:t xml:space="preserve">KMOS-1880 Public Knowledge API</w:t>
      </w:r>
    </w:p>
    <w:p>
      <w:pPr>
        <w:pStyle w:val="BodyText"/>
      </w:pPr>
      <w:r>
        <w:t xml:space="preserve">KMOS-1890 Administrative API</w:t>
      </w:r>
    </w:p>
    <w:p>
      <w:pPr>
        <w:pStyle w:val="BodyText"/>
      </w:pPr>
      <w:r>
        <w:t xml:space="preserve">Each SHALL preserve the canonical business semantics established by this specification.</w:t>
      </w:r>
    </w:p>
    <w:p>
      <w:r>
        <w:pict>
          <v:rect style="width:0;height:1.5pt" o:hralign="center" o:hrstd="t" o:hr="t"/>
        </w:pict>
      </w:r>
    </w:p>
    <w:bookmarkEnd w:id="49"/>
    <w:bookmarkStart w:id="50" w:name="next-specification"/>
    <w:p>
      <w:pPr>
        <w:pStyle w:val="Heading1"/>
      </w:pPr>
      <w:r>
        <w:t xml:space="preserve">29. Next Specification</w:t>
      </w:r>
    </w:p>
    <w:p>
      <w:pPr>
        <w:pStyle w:val="FirstParagraph"/>
      </w:pPr>
      <w:r>
        <w:t xml:space="preserve">KMOS-0190 defines the</w:t>
      </w:r>
      <w:r>
        <w:t xml:space="preserve"> </w:t>
      </w:r>
      <w:r>
        <w:rPr>
          <w:b/>
          <w:bCs/>
        </w:rPr>
        <w:t xml:space="preserve">Security &amp; Trust Architecture</w:t>
      </w:r>
      <w:r>
        <w:t xml:space="preserve">.</w:t>
      </w:r>
    </w:p>
    <w:p>
      <w:pPr>
        <w:pStyle w:val="BodyText"/>
      </w:pPr>
      <w:r>
        <w:t xml:space="preserve">If:</w:t>
      </w:r>
    </w:p>
    <w:p>
      <w:pPr>
        <w:pStyle w:val="Compact"/>
        <w:numPr>
          <w:ilvl w:val="0"/>
          <w:numId w:val="1002"/>
        </w:numPr>
      </w:pPr>
      <w:r>
        <w:t xml:space="preserve">KMOS-0180 defines how KMOS communicates with the outside world,</w:t>
      </w:r>
    </w:p>
    <w:p>
      <w:pPr>
        <w:pStyle w:val="FirstParagraph"/>
      </w:pPr>
      <w:r>
        <w:t xml:space="preserve">then KMOS-0190 defines how KMOS protects institutional knowledge, digital evidence, workflows, capabilities, identities, and integrations while maintaining transparency, governance, and long-term trust.</w:t>
      </w:r>
    </w:p>
    <w:p>
      <w:pPr>
        <w:pStyle w:val="BodyText"/>
      </w:pPr>
      <w:r>
        <w:t xml:space="preserve">The Security &amp; Trust Architecture completes the Engineering Foundation by ensuring that every canonical object, event, capability, workflow, asset, and integration operates within a secure, governed, and verifiable environment.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2026-06-30T09:04:57Z</dcterms:created>
  <dcterms:modified xsi:type="dcterms:W3CDTF">2026-06-30T09:04:57Z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