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90"/>
    <w:p>
      <w:pPr>
        <w:pStyle w:val="Heading1"/>
      </w:pPr>
      <w:r>
        <w:t xml:space="preserve">KMOS-0190</w:t>
      </w:r>
    </w:p>
    <w:bookmarkEnd w:id="20"/>
    <w:bookmarkStart w:id="21" w:name="security-trust-architecture"/>
    <w:p>
      <w:pPr>
        <w:pStyle w:val="Heading1"/>
      </w:pPr>
      <w:r>
        <w:t xml:space="preserve">Security &amp; Trust Architecture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Security &amp; Trust Architecture of the Knowledge &amp; Media Operating System (KMOS).</w:t>
      </w:r>
    </w:p>
    <w:p>
      <w:pPr>
        <w:pStyle w:val="BodyText"/>
      </w:pPr>
      <w:r>
        <w:t xml:space="preserve">The objective of this specification is to ensure that institutional knowledge, digital evidence, workflows, capabilities, assets, identities, and integrations remain trustworthy throughout their lifecycle.</w:t>
      </w:r>
    </w:p>
    <w:p>
      <w:pPr>
        <w:pStyle w:val="BodyText"/>
      </w:pPr>
      <w:r>
        <w:t xml:space="preserve">Security protects systems.</w:t>
      </w:r>
    </w:p>
    <w:p>
      <w:pPr>
        <w:pStyle w:val="BodyText"/>
      </w:pPr>
      <w:r>
        <w:t xml:space="preserve">Trust protects institutional knowledge.</w:t>
      </w:r>
    </w:p>
    <w:p>
      <w:pPr>
        <w:pStyle w:val="BodyText"/>
      </w:pPr>
      <w:r>
        <w:t xml:space="preserve">KMOS requires both.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1"/>
        </w:numPr>
      </w:pPr>
      <w:r>
        <w:t xml:space="preserve">Identity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Authorization</w:t>
      </w:r>
    </w:p>
    <w:p>
      <w:pPr>
        <w:pStyle w:val="Compact"/>
        <w:numPr>
          <w:ilvl w:val="0"/>
          <w:numId w:val="1001"/>
        </w:numPr>
      </w:pPr>
      <w:r>
        <w:t xml:space="preserve">Trust Model</w:t>
      </w:r>
    </w:p>
    <w:p>
      <w:pPr>
        <w:pStyle w:val="Compact"/>
        <w:numPr>
          <w:ilvl w:val="0"/>
          <w:numId w:val="1001"/>
        </w:numPr>
      </w:pPr>
      <w:r>
        <w:t xml:space="preserve">Security Architecture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Data Protection</w:t>
      </w:r>
    </w:p>
    <w:p>
      <w:pPr>
        <w:pStyle w:val="Compact"/>
        <w:numPr>
          <w:ilvl w:val="0"/>
          <w:numId w:val="1001"/>
        </w:numPr>
      </w:pPr>
      <w:r>
        <w:t xml:space="preserve">Operational Security</w:t>
      </w:r>
    </w:p>
    <w:p>
      <w:pPr>
        <w:pStyle w:val="Compact"/>
        <w:numPr>
          <w:ilvl w:val="0"/>
          <w:numId w:val="1001"/>
        </w:numPr>
      </w:pPr>
      <w:r>
        <w:t xml:space="preserve">Capability Security</w:t>
      </w:r>
    </w:p>
    <w:p>
      <w:pPr>
        <w:pStyle w:val="Compact"/>
        <w:numPr>
          <w:ilvl w:val="0"/>
          <w:numId w:val="1001"/>
        </w:numPr>
      </w:pPr>
      <w:r>
        <w:t xml:space="preserve">Extension Security</w:t>
      </w:r>
    </w:p>
    <w:p>
      <w:pPr>
        <w:pStyle w:val="Compact"/>
        <w:numPr>
          <w:ilvl w:val="0"/>
          <w:numId w:val="1001"/>
        </w:numPr>
      </w:pPr>
      <w:r>
        <w:t xml:space="preserve">API Security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Compliance</w:t>
      </w:r>
    </w:p>
    <w:p>
      <w:pPr>
        <w:pStyle w:val="Compact"/>
        <w:numPr>
          <w:ilvl w:val="0"/>
          <w:numId w:val="1001"/>
        </w:numPr>
      </w:pPr>
      <w:r>
        <w:t xml:space="preserve">Conformance</w:t>
      </w:r>
    </w:p>
    <w:p>
      <w:pPr>
        <w:pStyle w:val="FirstParagraph"/>
      </w:pPr>
      <w:r>
        <w:t xml:space="preserve">This specification does not prescribe specific cryptographic algorithms or commercial security products.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philosophy"/>
    <w:p>
      <w:pPr>
        <w:pStyle w:val="Heading1"/>
      </w:pPr>
      <w:r>
        <w:t xml:space="preserve">3. Architectural Philosophy</w:t>
      </w:r>
    </w:p>
    <w:p>
      <w:pPr>
        <w:pStyle w:val="FirstParagraph"/>
      </w:pPr>
      <w:r>
        <w:t xml:space="preserve">Trust is established through evidence.</w:t>
      </w:r>
    </w:p>
    <w:p>
      <w:pPr>
        <w:pStyle w:val="BodyText"/>
      </w:pPr>
      <w:r>
        <w:t xml:space="preserve">Security is established through verification.</w:t>
      </w:r>
    </w:p>
    <w:p>
      <w:pPr>
        <w:pStyle w:val="BodyText"/>
      </w:pPr>
      <w:r>
        <w:t xml:space="preserve">Governance is established through accountability.</w:t>
      </w:r>
    </w:p>
    <w:p>
      <w:pPr>
        <w:pStyle w:val="BodyText"/>
      </w:pPr>
      <w:r>
        <w:t xml:space="preserve">Every action performed within KMOS SHALL be:</w:t>
      </w:r>
    </w:p>
    <w:p>
      <w:pPr>
        <w:pStyle w:val="BodyText"/>
      </w:pPr>
      <w:r>
        <w:t xml:space="preserve">Identifiable</w:t>
      </w:r>
    </w:p>
    <w:p>
      <w:pPr>
        <w:pStyle w:val="BodyText"/>
      </w:pPr>
      <w:r>
        <w:t xml:space="preserve">Traceable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Explainable</w:t>
      </w:r>
    </w:p>
    <w:p>
      <w:pPr>
        <w:pStyle w:val="BodyText"/>
      </w:pPr>
      <w:r>
        <w:t xml:space="preserve">Reproducible</w:t>
      </w:r>
    </w:p>
    <w:p>
      <w:pPr>
        <w:pStyle w:val="BodyText"/>
      </w:pPr>
      <w:r>
        <w:t xml:space="preserve">Trust SHALL emerge from architecture rather than assumption.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principles"/>
    <w:p>
      <w:pPr>
        <w:pStyle w:val="Heading1"/>
      </w:pPr>
      <w:r>
        <w:t xml:space="preserve">4. Security Principles</w:t>
      </w:r>
    </w:p>
    <w:p>
      <w:pPr>
        <w:pStyle w:val="FirstParagraph"/>
      </w:pPr>
      <w:r>
        <w:t xml:space="preserve">The platform SHALL follow these principles.</w:t>
      </w:r>
    </w:p>
    <w:p>
      <w:pPr>
        <w:pStyle w:val="BodyText"/>
      </w:pPr>
      <w:r>
        <w:t xml:space="preserve">Least Privilege</w:t>
      </w:r>
    </w:p>
    <w:p>
      <w:pPr>
        <w:pStyle w:val="BodyText"/>
      </w:pPr>
      <w:r>
        <w:t xml:space="preserve">Defense in Depth</w:t>
      </w:r>
    </w:p>
    <w:p>
      <w:pPr>
        <w:pStyle w:val="BodyText"/>
      </w:pPr>
      <w:r>
        <w:t xml:space="preserve">Zero Trust</w:t>
      </w:r>
    </w:p>
    <w:p>
      <w:pPr>
        <w:pStyle w:val="BodyText"/>
      </w:pPr>
      <w:r>
        <w:t xml:space="preserve">Explicit Authorization</w:t>
      </w:r>
    </w:p>
    <w:p>
      <w:pPr>
        <w:pStyle w:val="BodyText"/>
      </w:pPr>
      <w:r>
        <w:t xml:space="preserve">Immutable Audit</w:t>
      </w:r>
    </w:p>
    <w:p>
      <w:pPr>
        <w:pStyle w:val="BodyText"/>
      </w:pPr>
      <w:r>
        <w:t xml:space="preserve">Secure by Default</w:t>
      </w:r>
    </w:p>
    <w:p>
      <w:pPr>
        <w:pStyle w:val="BodyText"/>
      </w:pPr>
      <w:r>
        <w:t xml:space="preserve">Privacy by Design</w:t>
      </w:r>
    </w:p>
    <w:p>
      <w:pPr>
        <w:pStyle w:val="BodyText"/>
      </w:pPr>
      <w:r>
        <w:t xml:space="preserve">Governance First</w:t>
      </w:r>
    </w:p>
    <w:p>
      <w:pPr>
        <w:pStyle w:val="BodyText"/>
      </w:pPr>
      <w:r>
        <w:t xml:space="preserve">Technology Independence</w:t>
      </w:r>
    </w:p>
    <w:p>
      <w:pPr>
        <w:pStyle w:val="BodyText"/>
      </w:pPr>
      <w:r>
        <w:t xml:space="preserve">Institutional Accountability</w:t>
      </w:r>
    </w:p>
    <w:p>
      <w:pPr>
        <w:pStyle w:val="BodyText"/>
      </w:pPr>
      <w:r>
        <w:t xml:space="preserve">Every component SHALL participate in security.</w:t>
      </w:r>
    </w:p>
    <w:p>
      <w:r>
        <w:pict>
          <v:rect style="width:0;height:1.5pt" o:hralign="center" o:hrstd="t" o:hr="t"/>
        </w:pict>
      </w:r>
    </w:p>
    <w:bookmarkEnd w:id="25"/>
    <w:bookmarkStart w:id="26" w:name="trust-domains"/>
    <w:p>
      <w:pPr>
        <w:pStyle w:val="Heading1"/>
      </w:pPr>
      <w:r>
        <w:t xml:space="preserve">5. Trust Domains</w:t>
      </w:r>
    </w:p>
    <w:p>
      <w:pPr>
        <w:pStyle w:val="FirstParagraph"/>
      </w:pPr>
      <w:r>
        <w:t xml:space="preserve">KMOS recognizes multiple trust domains.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Extensions</w:t>
      </w:r>
    </w:p>
    <w:p>
      <w:pPr>
        <w:pStyle w:val="BodyText"/>
      </w:pPr>
      <w:r>
        <w:t xml:space="preserve">Connectors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Each domain SHALL maintain independent trust boundaries.</w:t>
      </w:r>
    </w:p>
    <w:p>
      <w:r>
        <w:pict>
          <v:rect style="width:0;height:1.5pt" o:hralign="center" o:hrstd="t" o:hr="t"/>
        </w:pict>
      </w:r>
    </w:p>
    <w:bookmarkEnd w:id="26"/>
    <w:bookmarkStart w:id="27" w:name="identity"/>
    <w:p>
      <w:pPr>
        <w:pStyle w:val="Heading1"/>
      </w:pPr>
      <w:r>
        <w:t xml:space="preserve">6. Identity</w:t>
      </w:r>
    </w:p>
    <w:p>
      <w:pPr>
        <w:pStyle w:val="FirstParagraph"/>
      </w:pPr>
      <w:r>
        <w:t xml:space="preserve">Every participating entity SHALL possess a canonical identity.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Extensions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Connectors</w:t>
      </w:r>
    </w:p>
    <w:p>
      <w:pPr>
        <w:pStyle w:val="BodyText"/>
      </w:pPr>
      <w:r>
        <w:t xml:space="preserve">AI Workers</w:t>
      </w:r>
    </w:p>
    <w:p>
      <w:pPr>
        <w:pStyle w:val="BodyText"/>
      </w:pPr>
      <w:r>
        <w:t xml:space="preserve">Automation Accounts</w:t>
      </w:r>
    </w:p>
    <w:p>
      <w:pPr>
        <w:pStyle w:val="BodyText"/>
      </w:pPr>
      <w:r>
        <w:t xml:space="preserve">Anonymous entities SHALL NOT participate in governed operations.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ion"/>
    <w:p>
      <w:pPr>
        <w:pStyle w:val="Heading1"/>
      </w:pPr>
      <w:r>
        <w:t xml:space="preserve">7. Authentication</w:t>
      </w:r>
    </w:p>
    <w:p>
      <w:pPr>
        <w:pStyle w:val="FirstParagraph"/>
      </w:pPr>
      <w:r>
        <w:t xml:space="preserve">Authentication SHALL verify identity.</w:t>
      </w:r>
    </w:p>
    <w:p>
      <w:pPr>
        <w:pStyle w:val="BodyText"/>
      </w:pPr>
      <w:r>
        <w:t xml:space="preserve">Supported categories include:</w:t>
      </w:r>
    </w:p>
    <w:p>
      <w:pPr>
        <w:pStyle w:val="BodyText"/>
      </w:pPr>
      <w:r>
        <w:t xml:space="preserve">Human Authentication</w:t>
      </w:r>
    </w:p>
    <w:p>
      <w:pPr>
        <w:pStyle w:val="BodyText"/>
      </w:pPr>
      <w:r>
        <w:t xml:space="preserve">Application Authentication</w:t>
      </w:r>
    </w:p>
    <w:p>
      <w:pPr>
        <w:pStyle w:val="BodyText"/>
      </w:pPr>
      <w:r>
        <w:t xml:space="preserve">Service Authentication</w:t>
      </w:r>
    </w:p>
    <w:p>
      <w:pPr>
        <w:pStyle w:val="BodyText"/>
      </w:pPr>
      <w:r>
        <w:t xml:space="preserve">Capability Authentication</w:t>
      </w:r>
    </w:p>
    <w:p>
      <w:pPr>
        <w:pStyle w:val="BodyText"/>
      </w:pPr>
      <w:r>
        <w:t xml:space="preserve">Connector Authentication</w:t>
      </w:r>
    </w:p>
    <w:p>
      <w:pPr>
        <w:pStyle w:val="BodyText"/>
      </w:pPr>
      <w:r>
        <w:t xml:space="preserve">Federated Authentication</w:t>
      </w:r>
    </w:p>
    <w:p>
      <w:pPr>
        <w:pStyle w:val="BodyText"/>
      </w:pPr>
      <w:r>
        <w:t xml:space="preserve">Authentication mechanisms remain implementation independent.</w:t>
      </w:r>
    </w:p>
    <w:p>
      <w:r>
        <w:pict>
          <v:rect style="width:0;height:1.5pt" o:hralign="center" o:hrstd="t" o:hr="t"/>
        </w:pict>
      </w:r>
    </w:p>
    <w:bookmarkEnd w:id="28"/>
    <w:bookmarkStart w:id="29" w:name="authorization"/>
    <w:p>
      <w:pPr>
        <w:pStyle w:val="Heading1"/>
      </w:pPr>
      <w:r>
        <w:t xml:space="preserve">8. Authorization</w:t>
      </w:r>
    </w:p>
    <w:p>
      <w:pPr>
        <w:pStyle w:val="FirstParagraph"/>
      </w:pPr>
      <w:r>
        <w:t xml:space="preserve">Authorization SHALL determine permitted actions.</w:t>
      </w:r>
    </w:p>
    <w:p>
      <w:pPr>
        <w:pStyle w:val="BodyText"/>
      </w:pPr>
      <w:r>
        <w:t xml:space="preserve">Authorization SHALL evaluate: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Knowledge Classification</w:t>
      </w:r>
    </w:p>
    <w:p>
      <w:pPr>
        <w:pStyle w:val="BodyText"/>
      </w:pPr>
      <w:r>
        <w:t xml:space="preserve">Asset Classification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Approval Status</w:t>
      </w:r>
    </w:p>
    <w:p>
      <w:pPr>
        <w:pStyle w:val="BodyText"/>
      </w:pPr>
      <w:r>
        <w:t xml:space="preserve">Authorization SHALL remain policy-driven.</w:t>
      </w:r>
    </w:p>
    <w:p>
      <w:r>
        <w:pict>
          <v:rect style="width:0;height:1.5pt" o:hralign="center" o:hrstd="t" o:hr="t"/>
        </w:pict>
      </w:r>
    </w:p>
    <w:bookmarkEnd w:id="29"/>
    <w:bookmarkStart w:id="30" w:name="trust-model"/>
    <w:p>
      <w:pPr>
        <w:pStyle w:val="Heading1"/>
      </w:pPr>
      <w:r>
        <w:t xml:space="preserve">9. Trust Model</w:t>
      </w:r>
    </w:p>
    <w:p>
      <w:pPr>
        <w:pStyle w:val="FirstParagraph"/>
      </w:pPr>
      <w:r>
        <w:t xml:space="preserve">Trust within KMOS is cumulative.</w:t>
      </w:r>
    </w:p>
    <w:p>
      <w:pPr>
        <w:pStyle w:val="BodyText"/>
      </w:pPr>
      <w:r>
        <w:t xml:space="preserve">Institutional trust derives from:</w:t>
      </w:r>
    </w:p>
    <w:p>
      <w:pPr>
        <w:pStyle w:val="BodyText"/>
      </w:pPr>
      <w:r>
        <w:t xml:space="preserve">Verified Identity</w:t>
      </w:r>
    </w:p>
    <w:p>
      <w:pPr>
        <w:pStyle w:val="BodyText"/>
      </w:pPr>
      <w:r>
        <w:t xml:space="preserve">Approved Knowledge</w:t>
      </w:r>
    </w:p>
    <w:p>
      <w:pPr>
        <w:pStyle w:val="BodyText"/>
      </w:pPr>
      <w:r>
        <w:t xml:space="preserve">Governed Assets</w:t>
      </w:r>
    </w:p>
    <w:p>
      <w:pPr>
        <w:pStyle w:val="BodyText"/>
      </w:pPr>
      <w:r>
        <w:t xml:space="preserve">Certified Capabilities</w:t>
      </w:r>
    </w:p>
    <w:p>
      <w:pPr>
        <w:pStyle w:val="BodyText"/>
      </w:pPr>
      <w:r>
        <w:t xml:space="preserve">Observable Workflows</w:t>
      </w:r>
    </w:p>
    <w:p>
      <w:pPr>
        <w:pStyle w:val="BodyText"/>
      </w:pPr>
      <w:r>
        <w:t xml:space="preserve">Immutable Events</w:t>
      </w:r>
    </w:p>
    <w:p>
      <w:pPr>
        <w:pStyle w:val="BodyText"/>
      </w:pPr>
      <w:r>
        <w:t xml:space="preserve">Auditable History</w:t>
      </w:r>
    </w:p>
    <w:p>
      <w:pPr>
        <w:pStyle w:val="BodyText"/>
      </w:pPr>
      <w:r>
        <w:t xml:space="preserve">Human Oversight</w:t>
      </w:r>
    </w:p>
    <w:p>
      <w:pPr>
        <w:pStyle w:val="BodyText"/>
      </w:pPr>
      <w:r>
        <w:t xml:space="preserve">No single component establishes trust independently.</w:t>
      </w:r>
    </w:p>
    <w:p>
      <w:r>
        <w:pict>
          <v:rect style="width:0;height:1.5pt" o:hralign="center" o:hrstd="t" o:hr="t"/>
        </w:pict>
      </w:r>
    </w:p>
    <w:bookmarkEnd w:id="30"/>
    <w:bookmarkStart w:id="31" w:name="knowledge-security"/>
    <w:p>
      <w:pPr>
        <w:pStyle w:val="Heading1"/>
      </w:pPr>
      <w:r>
        <w:t xml:space="preserve">10. Knowledge Security</w:t>
      </w:r>
    </w:p>
    <w:p>
      <w:pPr>
        <w:pStyle w:val="FirstParagraph"/>
      </w:pPr>
      <w:r>
        <w:t xml:space="preserve">Knowledge Objects SHALL support:</w:t>
      </w:r>
    </w:p>
    <w:p>
      <w:pPr>
        <w:pStyle w:val="BodyText"/>
      </w:pPr>
      <w:r>
        <w:t xml:space="preserve">Ownership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Version Control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Access Policies</w:t>
      </w:r>
    </w:p>
    <w:p>
      <w:pPr>
        <w:pStyle w:val="BodyText"/>
      </w:pPr>
      <w:r>
        <w:t xml:space="preserve">Knowledge SHALL remain protected without compromising institutional preservation.</w:t>
      </w:r>
    </w:p>
    <w:p>
      <w:r>
        <w:pict>
          <v:rect style="width:0;height:1.5pt" o:hralign="center" o:hrstd="t" o:hr="t"/>
        </w:pict>
      </w:r>
    </w:p>
    <w:bookmarkEnd w:id="31"/>
    <w:bookmarkStart w:id="32" w:name="asset-security"/>
    <w:p>
      <w:pPr>
        <w:pStyle w:val="Heading1"/>
      </w:pPr>
      <w:r>
        <w:t xml:space="preserve">11. Asset Security</w:t>
      </w:r>
    </w:p>
    <w:p>
      <w:pPr>
        <w:pStyle w:val="FirstParagraph"/>
      </w:pPr>
      <w:r>
        <w:t xml:space="preserve">Assets SHALL support: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Integrity Verification</w:t>
      </w:r>
    </w:p>
    <w:p>
      <w:pPr>
        <w:pStyle w:val="BodyText"/>
      </w:pPr>
      <w:r>
        <w:t xml:space="preserve">Access Control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Archival Protection</w:t>
      </w:r>
    </w:p>
    <w:p>
      <w:pPr>
        <w:pStyle w:val="BodyText"/>
      </w:pPr>
      <w:r>
        <w:t xml:space="preserve">Replication</w:t>
      </w:r>
    </w:p>
    <w:p>
      <w:pPr>
        <w:pStyle w:val="BodyText"/>
      </w:pPr>
      <w:r>
        <w:t xml:space="preserve">Checksum Validation</w:t>
      </w:r>
    </w:p>
    <w:p>
      <w:pPr>
        <w:pStyle w:val="BodyText"/>
      </w:pPr>
      <w:r>
        <w:t xml:space="preserve">Chain of Custody</w:t>
      </w:r>
    </w:p>
    <w:p>
      <w:pPr>
        <w:pStyle w:val="BodyText"/>
      </w:pPr>
      <w:r>
        <w:t xml:space="preserve">Asset security SHALL preserve evidentiary value.</w:t>
      </w:r>
    </w:p>
    <w:p>
      <w:r>
        <w:pict>
          <v:rect style="width:0;height:1.5pt" o:hralign="center" o:hrstd="t" o:hr="t"/>
        </w:pict>
      </w:r>
    </w:p>
    <w:bookmarkEnd w:id="32"/>
    <w:bookmarkStart w:id="33" w:name="capability-security"/>
    <w:p>
      <w:pPr>
        <w:pStyle w:val="Heading1"/>
      </w:pPr>
      <w:r>
        <w:t xml:space="preserve">12. Capability Security</w:t>
      </w:r>
    </w:p>
    <w:p>
      <w:pPr>
        <w:pStyle w:val="FirstParagraph"/>
      </w:pPr>
      <w:r>
        <w:t xml:space="preserve">Every Capability SHALL:</w:t>
      </w:r>
    </w:p>
    <w:p>
      <w:pPr>
        <w:pStyle w:val="BodyText"/>
      </w:pPr>
      <w:r>
        <w:t xml:space="preserve">Authenticate</w:t>
      </w:r>
    </w:p>
    <w:p>
      <w:pPr>
        <w:pStyle w:val="BodyText"/>
      </w:pPr>
      <w:r>
        <w:t xml:space="preserve">Authorize</w:t>
      </w:r>
    </w:p>
    <w:p>
      <w:pPr>
        <w:pStyle w:val="BodyText"/>
      </w:pPr>
      <w:r>
        <w:t xml:space="preserve">Validate Inputs</w:t>
      </w:r>
    </w:p>
    <w:p>
      <w:pPr>
        <w:pStyle w:val="BodyText"/>
      </w:pPr>
      <w:r>
        <w:t xml:space="preserve">Protect Secrets</w:t>
      </w:r>
    </w:p>
    <w:p>
      <w:pPr>
        <w:pStyle w:val="BodyText"/>
      </w:pPr>
      <w:r>
        <w:t xml:space="preserve">Generate Audit Records</w:t>
      </w:r>
    </w:p>
    <w:p>
      <w:pPr>
        <w:pStyle w:val="BodyText"/>
      </w:pPr>
      <w:r>
        <w:t xml:space="preserve">Support Policy Enforcement</w:t>
      </w:r>
    </w:p>
    <w:p>
      <w:pPr>
        <w:pStyle w:val="BodyText"/>
      </w:pPr>
      <w:r>
        <w:t xml:space="preserve">Publish Security Events</w:t>
      </w:r>
    </w:p>
    <w:p>
      <w:pPr>
        <w:pStyle w:val="BodyText"/>
      </w:pPr>
      <w:r>
        <w:t xml:space="preserve">Capabilities SHALL remain independently securable.</w:t>
      </w:r>
    </w:p>
    <w:p>
      <w:r>
        <w:pict>
          <v:rect style="width:0;height:1.5pt" o:hralign="center" o:hrstd="t" o:hr="t"/>
        </w:pict>
      </w:r>
    </w:p>
    <w:bookmarkEnd w:id="33"/>
    <w:bookmarkStart w:id="34" w:name="workflow-security"/>
    <w:p>
      <w:pPr>
        <w:pStyle w:val="Heading1"/>
      </w:pPr>
      <w:r>
        <w:t xml:space="preserve">13. Workflow Security</w:t>
      </w:r>
    </w:p>
    <w:p>
      <w:pPr>
        <w:pStyle w:val="FirstParagraph"/>
      </w:pPr>
      <w:r>
        <w:t xml:space="preserve">Workflow execution SHALL enforce:</w:t>
      </w:r>
    </w:p>
    <w:p>
      <w:pPr>
        <w:pStyle w:val="BodyText"/>
      </w:pPr>
      <w:r>
        <w:t xml:space="preserve">Identity Verification</w:t>
      </w:r>
    </w:p>
    <w:p>
      <w:pPr>
        <w:pStyle w:val="BodyText"/>
      </w:pPr>
      <w:r>
        <w:t xml:space="preserve">Approval Requirements</w:t>
      </w:r>
    </w:p>
    <w:p>
      <w:pPr>
        <w:pStyle w:val="BodyText"/>
      </w:pPr>
      <w:r>
        <w:t xml:space="preserve">Policy Evaluation</w:t>
      </w:r>
    </w:p>
    <w:p>
      <w:pPr>
        <w:pStyle w:val="BodyText"/>
      </w:pPr>
      <w:r>
        <w:t xml:space="preserve">Execution Authorization</w:t>
      </w:r>
    </w:p>
    <w:p>
      <w:pPr>
        <w:pStyle w:val="BodyText"/>
      </w:pPr>
      <w:r>
        <w:t xml:space="preserve">Separation of Duties</w:t>
      </w:r>
    </w:p>
    <w:p>
      <w:pPr>
        <w:pStyle w:val="BodyText"/>
      </w:pPr>
      <w:r>
        <w:t xml:space="preserve">Audit Recording</w:t>
      </w:r>
    </w:p>
    <w:p>
      <w:pPr>
        <w:pStyle w:val="BodyText"/>
      </w:pPr>
      <w:r>
        <w:t xml:space="preserve">Long-running workflows SHALL preserve security context throughout execution.</w:t>
      </w:r>
    </w:p>
    <w:p>
      <w:r>
        <w:pict>
          <v:rect style="width:0;height:1.5pt" o:hralign="center" o:hrstd="t" o:hr="t"/>
        </w:pict>
      </w:r>
    </w:p>
    <w:bookmarkEnd w:id="34"/>
    <w:bookmarkStart w:id="35" w:name="event-security"/>
    <w:p>
      <w:pPr>
        <w:pStyle w:val="Heading1"/>
      </w:pPr>
      <w:r>
        <w:t xml:space="preserve">14. Event Security</w:t>
      </w:r>
    </w:p>
    <w:p>
      <w:pPr>
        <w:pStyle w:val="FirstParagraph"/>
      </w:pPr>
      <w:r>
        <w:t xml:space="preserve">Canonical events SHALL support:</w:t>
      </w:r>
    </w:p>
    <w:p>
      <w:pPr>
        <w:pStyle w:val="BodyText"/>
      </w:pPr>
      <w:r>
        <w:t xml:space="preserve">Integrity</w:t>
      </w:r>
    </w:p>
    <w:p>
      <w:pPr>
        <w:pStyle w:val="BodyText"/>
      </w:pPr>
      <w:r>
        <w:t xml:space="preserve">Authenticity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Replay Protection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Events SHALL never lose traceability.</w:t>
      </w:r>
    </w:p>
    <w:p>
      <w:r>
        <w:pict>
          <v:rect style="width:0;height:1.5pt" o:hralign="center" o:hrstd="t" o:hr="t"/>
        </w:pict>
      </w:r>
    </w:p>
    <w:bookmarkEnd w:id="35"/>
    <w:bookmarkStart w:id="36" w:name="extension-security"/>
    <w:p>
      <w:pPr>
        <w:pStyle w:val="Heading1"/>
      </w:pPr>
      <w:r>
        <w:t xml:space="preserve">15. Extension Security</w:t>
      </w:r>
    </w:p>
    <w:p>
      <w:pPr>
        <w:pStyle w:val="FirstParagraph"/>
      </w:pPr>
      <w:r>
        <w:t xml:space="preserve">Extensions SHALL declare: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External Dependencies</w:t>
      </w:r>
    </w:p>
    <w:p>
      <w:pPr>
        <w:pStyle w:val="BodyText"/>
      </w:pPr>
      <w:r>
        <w:t xml:space="preserve">Security Requirements</w:t>
      </w:r>
    </w:p>
    <w:p>
      <w:pPr>
        <w:pStyle w:val="BodyText"/>
      </w:pPr>
      <w:r>
        <w:t xml:space="preserve">Required Policies</w:t>
      </w:r>
    </w:p>
    <w:p>
      <w:pPr>
        <w:pStyle w:val="BodyText"/>
      </w:pPr>
      <w:r>
        <w:t xml:space="preserve">Publisher Identity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Unsigned or unverified Extensions SHALL be explicitly identified.</w:t>
      </w:r>
    </w:p>
    <w:p>
      <w:r>
        <w:pict>
          <v:rect style="width:0;height:1.5pt" o:hralign="center" o:hrstd="t" o:hr="t"/>
        </w:pict>
      </w:r>
    </w:p>
    <w:bookmarkEnd w:id="36"/>
    <w:bookmarkStart w:id="37" w:name="api-security"/>
    <w:p>
      <w:pPr>
        <w:pStyle w:val="Heading1"/>
      </w:pPr>
      <w:r>
        <w:t xml:space="preserve">16. API Security</w:t>
      </w:r>
    </w:p>
    <w:p>
      <w:pPr>
        <w:pStyle w:val="FirstParagraph"/>
      </w:pPr>
      <w:r>
        <w:t xml:space="preserve">Every external interface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Threat Detection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Security SHALL remain consistent across all API technologies.</w:t>
      </w:r>
    </w:p>
    <w:p>
      <w:r>
        <w:pict>
          <v:rect style="width:0;height:1.5pt" o:hralign="center" o:hrstd="t" o:hr="t"/>
        </w:pict>
      </w:r>
    </w:p>
    <w:bookmarkEnd w:id="37"/>
    <w:bookmarkStart w:id="38" w:name="data-protection"/>
    <w:p>
      <w:pPr>
        <w:pStyle w:val="Heading1"/>
      </w:pPr>
      <w:r>
        <w:t xml:space="preserve">17. Data Protection</w:t>
      </w:r>
    </w:p>
    <w:p>
      <w:pPr>
        <w:pStyle w:val="FirstParagraph"/>
      </w:pPr>
      <w:r>
        <w:t xml:space="preserve">KMOS SHALL protect: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Operational Logs</w:t>
      </w:r>
    </w:p>
    <w:p>
      <w:pPr>
        <w:pStyle w:val="BodyText"/>
      </w:pPr>
      <w:r>
        <w:t xml:space="preserve">Audit Records</w:t>
      </w:r>
    </w:p>
    <w:p>
      <w:pPr>
        <w:pStyle w:val="BodyText"/>
      </w:pPr>
      <w:r>
        <w:t xml:space="preserve">Backups</w:t>
      </w:r>
    </w:p>
    <w:p>
      <w:pPr>
        <w:pStyle w:val="BodyText"/>
      </w:pPr>
      <w:r>
        <w:t xml:space="preserve">Protection mechanisms remain implementation independent.</w:t>
      </w:r>
    </w:p>
    <w:p>
      <w:r>
        <w:pict>
          <v:rect style="width:0;height:1.5pt" o:hralign="center" o:hrstd="t" o:hr="t"/>
        </w:pict>
      </w:r>
    </w:p>
    <w:bookmarkEnd w:id="38"/>
    <w:bookmarkStart w:id="39" w:name="audit-architecture"/>
    <w:p>
      <w:pPr>
        <w:pStyle w:val="Heading1"/>
      </w:pPr>
      <w:r>
        <w:t xml:space="preserve">18. Audit Architecture</w:t>
      </w:r>
    </w:p>
    <w:p>
      <w:pPr>
        <w:pStyle w:val="FirstParagraph"/>
      </w:pPr>
      <w:r>
        <w:t xml:space="preserve">Every governed action SHALL produce audit records.</w:t>
      </w:r>
    </w:p>
    <w:p>
      <w:pPr>
        <w:pStyle w:val="BodyText"/>
      </w:pPr>
      <w:r>
        <w:t xml:space="preserve">Audit records SHALL include: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Operation</w:t>
      </w:r>
    </w:p>
    <w:p>
      <w:pPr>
        <w:pStyle w:val="BodyText"/>
      </w:pPr>
      <w:r>
        <w:t xml:space="preserve">Knowledge References</w:t>
      </w:r>
    </w:p>
    <w:p>
      <w:pPr>
        <w:pStyle w:val="BodyText"/>
      </w:pPr>
      <w:r>
        <w:t xml:space="preserve">Asset References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Outcome</w:t>
      </w:r>
    </w:p>
    <w:p>
      <w:pPr>
        <w:pStyle w:val="BodyText"/>
      </w:pPr>
      <w:r>
        <w:t xml:space="preserve">Audit records SHALL remain immutable.</w:t>
      </w:r>
    </w:p>
    <w:p>
      <w:r>
        <w:pict>
          <v:rect style="width:0;height:1.5pt" o:hralign="center" o:hrstd="t" o:hr="t"/>
        </w:pict>
      </w:r>
    </w:p>
    <w:bookmarkEnd w:id="39"/>
    <w:bookmarkStart w:id="40" w:name="compliance"/>
    <w:p>
      <w:pPr>
        <w:pStyle w:val="Heading1"/>
      </w:pPr>
      <w:r>
        <w:t xml:space="preserve">19. Compliance</w:t>
      </w:r>
    </w:p>
    <w:p>
      <w:pPr>
        <w:pStyle w:val="FirstParagraph"/>
      </w:pPr>
      <w:r>
        <w:t xml:space="preserve">The platform SHALL support compliance frameworks through policy.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Institutional Policies</w:t>
      </w:r>
    </w:p>
    <w:p>
      <w:pPr>
        <w:pStyle w:val="BodyText"/>
      </w:pPr>
      <w:r>
        <w:t xml:space="preserve">Legal Requirements</w:t>
      </w:r>
    </w:p>
    <w:p>
      <w:pPr>
        <w:pStyle w:val="BodyText"/>
      </w:pPr>
      <w:r>
        <w:t xml:space="preserve">Archival Standards</w:t>
      </w:r>
    </w:p>
    <w:p>
      <w:pPr>
        <w:pStyle w:val="BodyText"/>
      </w:pPr>
      <w:r>
        <w:t xml:space="preserve">Privacy Regulations</w:t>
      </w:r>
    </w:p>
    <w:p>
      <w:pPr>
        <w:pStyle w:val="BodyText"/>
      </w:pPr>
      <w:r>
        <w:t xml:space="preserve">Industry Standards</w:t>
      </w:r>
    </w:p>
    <w:p>
      <w:pPr>
        <w:pStyle w:val="BodyText"/>
      </w:pPr>
      <w:r>
        <w:t xml:space="preserve">Compliance SHALL remain configurable rather than hardcoded.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-observability"/>
    <w:p>
      <w:pPr>
        <w:pStyle w:val="Heading1"/>
      </w:pPr>
      <w:r>
        <w:t xml:space="preserve">20. Security Observability</w:t>
      </w:r>
    </w:p>
    <w:p>
      <w:pPr>
        <w:pStyle w:val="FirstParagraph"/>
      </w:pPr>
      <w:r>
        <w:t xml:space="preserve">Every platform component SHALL publish:</w:t>
      </w:r>
    </w:p>
    <w:p>
      <w:pPr>
        <w:pStyle w:val="BodyText"/>
      </w:pPr>
      <w:r>
        <w:t xml:space="preserve">Security Events</w:t>
      </w:r>
    </w:p>
    <w:p>
      <w:pPr>
        <w:pStyle w:val="BodyText"/>
      </w:pPr>
      <w:r>
        <w:t xml:space="preserve">Authentication Events</w:t>
      </w:r>
    </w:p>
    <w:p>
      <w:pPr>
        <w:pStyle w:val="BodyText"/>
      </w:pPr>
      <w:r>
        <w:t xml:space="preserve">Authorization Failures</w:t>
      </w:r>
    </w:p>
    <w:p>
      <w:pPr>
        <w:pStyle w:val="BodyText"/>
      </w:pPr>
      <w:r>
        <w:t xml:space="preserve">Policy Violations</w:t>
      </w:r>
    </w:p>
    <w:p>
      <w:pPr>
        <w:pStyle w:val="BodyText"/>
      </w:pPr>
      <w:r>
        <w:t xml:space="preserve">Configuration Changes</w:t>
      </w:r>
    </w:p>
    <w:p>
      <w:pPr>
        <w:pStyle w:val="BodyText"/>
      </w:pPr>
      <w:r>
        <w:t xml:space="preserve">Operational Alerts</w:t>
      </w:r>
    </w:p>
    <w:p>
      <w:pPr>
        <w:pStyle w:val="BodyText"/>
      </w:pPr>
      <w:r>
        <w:t xml:space="preserve">Audit Metrics</w:t>
      </w:r>
    </w:p>
    <w:p>
      <w:pPr>
        <w:pStyle w:val="BodyText"/>
      </w:pPr>
      <w:r>
        <w:t xml:space="preserve">Threat Indicators</w:t>
      </w:r>
    </w:p>
    <w:p>
      <w:pPr>
        <w:pStyle w:val="BodyText"/>
      </w:pPr>
      <w:r>
        <w:t xml:space="preserve">Security becomes observable.</w:t>
      </w:r>
    </w:p>
    <w:p>
      <w:r>
        <w:pict>
          <v:rect style="width:0;height:1.5pt" o:hralign="center" o:hrstd="t" o:hr="t"/>
        </w:pict>
      </w:r>
    </w:p>
    <w:bookmarkEnd w:id="41"/>
    <w:bookmarkStart w:id="42" w:name="incident-management"/>
    <w:p>
      <w:pPr>
        <w:pStyle w:val="Heading1"/>
      </w:pPr>
      <w:r>
        <w:t xml:space="preserve">21. Incident Management</w:t>
      </w:r>
    </w:p>
    <w:p>
      <w:pPr>
        <w:pStyle w:val="FirstParagraph"/>
      </w:pPr>
      <w:r>
        <w:t xml:space="preserve">The architecture SHALL support:</w:t>
      </w:r>
    </w:p>
    <w:p>
      <w:pPr>
        <w:pStyle w:val="BodyText"/>
      </w:pPr>
      <w:r>
        <w:t xml:space="preserve">Detection</w:t>
      </w:r>
    </w:p>
    <w:p>
      <w:pPr>
        <w:pStyle w:val="BodyText"/>
      </w:pPr>
      <w:r>
        <w:t xml:space="preserve">Investigation</w:t>
      </w:r>
    </w:p>
    <w:p>
      <w:pPr>
        <w:pStyle w:val="BodyText"/>
      </w:pPr>
      <w:r>
        <w:t xml:space="preserve">Containment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Notification</w:t>
      </w:r>
    </w:p>
    <w:p>
      <w:pPr>
        <w:pStyle w:val="BodyText"/>
      </w:pPr>
      <w:r>
        <w:t xml:space="preserve">Post-Incident Review</w:t>
      </w:r>
    </w:p>
    <w:p>
      <w:pPr>
        <w:pStyle w:val="BodyText"/>
      </w:pPr>
      <w:r>
        <w:t xml:space="preserve">Incident workflows SHALL preserve institutional evidence.</w:t>
      </w:r>
    </w:p>
    <w:p>
      <w:r>
        <w:pict>
          <v:rect style="width:0;height:1.5pt" o:hralign="center" o:hrstd="t" o:hr="t"/>
        </w:pict>
      </w:r>
    </w:p>
    <w:bookmarkEnd w:id="42"/>
    <w:bookmarkStart w:id="43" w:name="disaster-recovery"/>
    <w:p>
      <w:pPr>
        <w:pStyle w:val="Heading1"/>
      </w:pPr>
      <w:r>
        <w:t xml:space="preserve">22. Disaster Recovery</w:t>
      </w:r>
    </w:p>
    <w:p>
      <w:pPr>
        <w:pStyle w:val="FirstParagraph"/>
      </w:pPr>
      <w:r>
        <w:t xml:space="preserve">Recovery SHALL preserve: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Extension Registry</w:t>
      </w:r>
    </w:p>
    <w:p>
      <w:pPr>
        <w:pStyle w:val="BodyText"/>
      </w:pPr>
      <w:r>
        <w:t xml:space="preserve">Governance Records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Recovery SHALL maintain institutional trust.</w:t>
      </w:r>
    </w:p>
    <w:p>
      <w:r>
        <w:pict>
          <v:rect style="width:0;height:1.5pt" o:hralign="center" o:hrstd="t" o:hr="t"/>
        </w:pict>
      </w:r>
    </w:p>
    <w:bookmarkEnd w:id="43"/>
    <w:bookmarkStart w:id="44" w:name="privacy"/>
    <w:p>
      <w:pPr>
        <w:pStyle w:val="Heading1"/>
      </w:pPr>
      <w:r>
        <w:t xml:space="preserve">23. Privacy</w:t>
      </w:r>
    </w:p>
    <w:p>
      <w:pPr>
        <w:pStyle w:val="FirstParagraph"/>
      </w:pPr>
      <w:r>
        <w:t xml:space="preserve">Privacy SHALL be governed through policy.</w:t>
      </w:r>
    </w:p>
    <w:p>
      <w:pPr>
        <w:pStyle w:val="BodyText"/>
      </w:pPr>
      <w:r>
        <w:t xml:space="preserve">Requirements include:</w:t>
      </w:r>
    </w:p>
    <w:p>
      <w:pPr>
        <w:pStyle w:val="BodyText"/>
      </w:pPr>
      <w:r>
        <w:t xml:space="preserve">Data Minimization</w:t>
      </w:r>
    </w:p>
    <w:p>
      <w:pPr>
        <w:pStyle w:val="BodyText"/>
      </w:pPr>
      <w:r>
        <w:t xml:space="preserve">Purpose Limitation</w:t>
      </w:r>
    </w:p>
    <w:p>
      <w:pPr>
        <w:pStyle w:val="BodyText"/>
      </w:pPr>
      <w:r>
        <w:t xml:space="preserve">Retention Control</w:t>
      </w:r>
    </w:p>
    <w:p>
      <w:pPr>
        <w:pStyle w:val="BodyText"/>
      </w:pPr>
      <w:r>
        <w:t xml:space="preserve">Access Control</w:t>
      </w:r>
    </w:p>
    <w:p>
      <w:pPr>
        <w:pStyle w:val="BodyText"/>
      </w:pPr>
      <w:r>
        <w:t xml:space="preserve">Consent where applicable</w:t>
      </w:r>
    </w:p>
    <w:p>
      <w:pPr>
        <w:pStyle w:val="BodyText"/>
      </w:pPr>
      <w:r>
        <w:t xml:space="preserve">Export Control</w:t>
      </w:r>
    </w:p>
    <w:p>
      <w:pPr>
        <w:pStyle w:val="BodyText"/>
      </w:pPr>
      <w:r>
        <w:t xml:space="preserve">Deletion Policies</w:t>
      </w:r>
    </w:p>
    <w:p>
      <w:pPr>
        <w:pStyle w:val="BodyText"/>
      </w:pPr>
      <w:r>
        <w:t xml:space="preserve">Privacy SHALL coexist with institutional preservation requirements.</w:t>
      </w:r>
    </w:p>
    <w:p>
      <w:r>
        <w:pict>
          <v:rect style="width:0;height:1.5pt" o:hralign="center" o:hrstd="t" o:hr="t"/>
        </w:pict>
      </w:r>
    </w:p>
    <w:bookmarkEnd w:id="44"/>
    <w:bookmarkStart w:id="45" w:name="governance-integration"/>
    <w:p>
      <w:pPr>
        <w:pStyle w:val="Heading1"/>
      </w:pPr>
      <w:r>
        <w:t xml:space="preserve">24. Governance Integration</w:t>
      </w:r>
    </w:p>
    <w:p>
      <w:pPr>
        <w:pStyle w:val="FirstParagraph"/>
      </w:pPr>
      <w:r>
        <w:t xml:space="preserve">Security SHALL integrate with governance.</w:t>
      </w:r>
    </w:p>
    <w:p>
      <w:pPr>
        <w:pStyle w:val="BodyText"/>
      </w:pPr>
      <w:r>
        <w:t xml:space="preserve">Security decisions SHALL produce: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Audit Records</w:t>
      </w:r>
    </w:p>
    <w:p>
      <w:pPr>
        <w:pStyle w:val="BodyText"/>
      </w:pPr>
      <w:r>
        <w:t xml:space="preserve">Policy Evaluations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Compliance Records</w:t>
      </w:r>
    </w:p>
    <w:p>
      <w:pPr>
        <w:pStyle w:val="BodyText"/>
      </w:pPr>
      <w:r>
        <w:t xml:space="preserve">Security becomes part of institutional memory.</w:t>
      </w:r>
    </w:p>
    <w:p>
      <w:r>
        <w:pict>
          <v:rect style="width:0;height:1.5pt" o:hralign="center" o:hrstd="t" o:hr="t"/>
        </w:pict>
      </w:r>
    </w:p>
    <w:bookmarkEnd w:id="45"/>
    <w:bookmarkStart w:id="46" w:name="conformance"/>
    <w:p>
      <w:pPr>
        <w:pStyle w:val="Heading1"/>
      </w:pPr>
      <w:r>
        <w:t xml:space="preserve">25. Conformance</w:t>
      </w:r>
    </w:p>
    <w:p>
      <w:pPr>
        <w:pStyle w:val="FirstParagraph"/>
      </w:pPr>
      <w:r>
        <w:t xml:space="preserve">An implementation claiming compliance with KMOS-0190 SHALL:</w:t>
      </w:r>
    </w:p>
    <w:p>
      <w:pPr>
        <w:pStyle w:val="BodyText"/>
      </w:pPr>
      <w:r>
        <w:t xml:space="preserve">Implement canonical identity.</w:t>
      </w:r>
    </w:p>
    <w:p>
      <w:pPr>
        <w:pStyle w:val="BodyText"/>
      </w:pPr>
      <w:r>
        <w:t xml:space="preserve">Support authentication.</w:t>
      </w:r>
    </w:p>
    <w:p>
      <w:pPr>
        <w:pStyle w:val="BodyText"/>
      </w:pPr>
      <w:r>
        <w:t xml:space="preserve">Support authorization.</w:t>
      </w:r>
    </w:p>
    <w:p>
      <w:pPr>
        <w:pStyle w:val="BodyText"/>
      </w:pPr>
      <w:r>
        <w:t xml:space="preserve">Maintain immutable audit records.</w:t>
      </w:r>
    </w:p>
    <w:p>
      <w:pPr>
        <w:pStyle w:val="BodyText"/>
      </w:pPr>
      <w:r>
        <w:t xml:space="preserve">Protect Knowledge Objects.</w:t>
      </w:r>
    </w:p>
    <w:p>
      <w:pPr>
        <w:pStyle w:val="BodyText"/>
      </w:pPr>
      <w:r>
        <w:t xml:space="preserve">Protect Assets.</w:t>
      </w:r>
    </w:p>
    <w:p>
      <w:pPr>
        <w:pStyle w:val="BodyText"/>
      </w:pPr>
      <w:r>
        <w:t xml:space="preserve">Secure Capabilities.</w:t>
      </w:r>
    </w:p>
    <w:p>
      <w:pPr>
        <w:pStyle w:val="BodyText"/>
      </w:pPr>
      <w:r>
        <w:t xml:space="preserve">Secure Extensions.</w:t>
      </w:r>
    </w:p>
    <w:p>
      <w:pPr>
        <w:pStyle w:val="BodyText"/>
      </w:pPr>
      <w:r>
        <w:t xml:space="preserve">Secure APIs.</w:t>
      </w:r>
    </w:p>
    <w:p>
      <w:pPr>
        <w:pStyle w:val="BodyText"/>
      </w:pPr>
      <w:r>
        <w:t xml:space="preserve">Publish security events.</w:t>
      </w:r>
    </w:p>
    <w:p>
      <w:pPr>
        <w:pStyle w:val="BodyText"/>
      </w:pPr>
      <w:r>
        <w:t xml:space="preserve">Support governance.</w:t>
      </w:r>
    </w:p>
    <w:p>
      <w:pPr>
        <w:pStyle w:val="BodyText"/>
      </w:pPr>
      <w:r>
        <w:t xml:space="preserve">Support disaster recovery.</w:t>
      </w:r>
    </w:p>
    <w:p>
      <w:pPr>
        <w:pStyle w:val="BodyText"/>
      </w:pPr>
      <w:r>
        <w:t xml:space="preserve">Support observability.</w:t>
      </w:r>
    </w:p>
    <w:p>
      <w:pPr>
        <w:pStyle w:val="BodyText"/>
      </w:pPr>
      <w:r>
        <w:t xml:space="preserve">Remain implementation independent.</w:t>
      </w:r>
    </w:p>
    <w:p>
      <w:pPr>
        <w:pStyle w:val="BodyText"/>
      </w:pPr>
      <w:r>
        <w:t xml:space="preserve">Partial implementations SHALL declare unsupported requirements.</w:t>
      </w:r>
    </w:p>
    <w:p>
      <w:r>
        <w:pict>
          <v:rect style="width:0;height:1.5pt" o:hralign="center" o:hrstd="t" o:hr="t"/>
        </w:pict>
      </w:r>
    </w:p>
    <w:bookmarkEnd w:id="46"/>
    <w:bookmarkStart w:id="47" w:name="relationship-to-previous-specifications"/>
    <w:p>
      <w:pPr>
        <w:pStyle w:val="Heading1"/>
      </w:pPr>
      <w:r>
        <w:t xml:space="preserve">26. Relationship to Previous Specifications</w:t>
      </w:r>
    </w:p>
    <w:p>
      <w:pPr>
        <w:pStyle w:val="FirstParagraph"/>
      </w:pPr>
      <w:r>
        <w:t xml:space="preserve">KMOS-0100 defined Canonical Objects.</w:t>
      </w:r>
    </w:p>
    <w:p>
      <w:pPr>
        <w:pStyle w:val="BodyText"/>
      </w:pPr>
      <w:r>
        <w:t xml:space="preserve">KMOS-0110 defined Canonical Events.</w:t>
      </w:r>
    </w:p>
    <w:p>
      <w:pPr>
        <w:pStyle w:val="BodyText"/>
      </w:pPr>
      <w:r>
        <w:t xml:space="preserve">KMOS-0120 defined Capability Contracts.</w:t>
      </w:r>
    </w:p>
    <w:p>
      <w:pPr>
        <w:pStyle w:val="BodyText"/>
      </w:pPr>
      <w:r>
        <w:t xml:space="preserve">KMOS-0130 defined Knowledge Objects.</w:t>
      </w:r>
    </w:p>
    <w:p>
      <w:pPr>
        <w:pStyle w:val="BodyText"/>
      </w:pPr>
      <w:r>
        <w:t xml:space="preserve">KMOS-0140 defined Asset Metadata.</w:t>
      </w:r>
    </w:p>
    <w:p>
      <w:pPr>
        <w:pStyle w:val="BodyText"/>
      </w:pPr>
      <w:r>
        <w:t xml:space="preserve">KMOS-0150 defined the Workflow Definition Language.</w:t>
      </w:r>
    </w:p>
    <w:p>
      <w:pPr>
        <w:pStyle w:val="BodyText"/>
      </w:pPr>
      <w:r>
        <w:t xml:space="preserve">KMOS-0160 defined the Capability Development Kit.</w:t>
      </w:r>
    </w:p>
    <w:p>
      <w:pPr>
        <w:pStyle w:val="BodyText"/>
      </w:pPr>
      <w:r>
        <w:t xml:space="preserve">KMOS-0170 defined the Extension Framework.</w:t>
      </w:r>
    </w:p>
    <w:p>
      <w:pPr>
        <w:pStyle w:val="BodyText"/>
      </w:pPr>
      <w:r>
        <w:t xml:space="preserve">KMOS-0180 defined the API &amp; Integration Standard.</w:t>
      </w:r>
    </w:p>
    <w:p>
      <w:pPr>
        <w:pStyle w:val="BodyText"/>
      </w:pPr>
      <w:r>
        <w:t xml:space="preserve">KMOS-0190 establishes the trust model that governs every component within the KMOS ecosystem.</w:t>
      </w:r>
    </w:p>
    <w:p>
      <w:r>
        <w:pict>
          <v:rect style="width:0;height:1.5pt" o:hralign="center" o:hrstd="t" o:hr="t"/>
        </w:pict>
      </w:r>
    </w:p>
    <w:bookmarkEnd w:id="47"/>
    <w:bookmarkStart w:id="48" w:name="architectural-consequences"/>
    <w:p>
      <w:pPr>
        <w:pStyle w:val="Heading1"/>
      </w:pPr>
      <w:r>
        <w:t xml:space="preserve">27. Architectural Consequences</w:t>
      </w:r>
    </w:p>
    <w:p>
      <w:pPr>
        <w:pStyle w:val="FirstParagraph"/>
      </w:pPr>
      <w:r>
        <w:t xml:space="preserve">Because trust is embedded throughout the architecture:</w:t>
      </w:r>
    </w:p>
    <w:p>
      <w:pPr>
        <w:pStyle w:val="BodyText"/>
      </w:pPr>
      <w:r>
        <w:t xml:space="preserve">Knowledge becomes verifiable.</w:t>
      </w:r>
    </w:p>
    <w:p>
      <w:pPr>
        <w:pStyle w:val="BodyText"/>
      </w:pPr>
      <w:r>
        <w:t xml:space="preserve">Assets become evidentiary.</w:t>
      </w:r>
    </w:p>
    <w:p>
      <w:pPr>
        <w:pStyle w:val="BodyText"/>
      </w:pPr>
      <w:r>
        <w:t xml:space="preserve">Capabilities become certifiable.</w:t>
      </w:r>
    </w:p>
    <w:p>
      <w:pPr>
        <w:pStyle w:val="BodyText"/>
      </w:pPr>
      <w:r>
        <w:t xml:space="preserve">Extensions become trustworthy.</w:t>
      </w:r>
    </w:p>
    <w:p>
      <w:pPr>
        <w:pStyle w:val="BodyText"/>
      </w:pPr>
      <w:r>
        <w:t xml:space="preserve">Applications become replaceable.</w:t>
      </w:r>
    </w:p>
    <w:p>
      <w:pPr>
        <w:pStyle w:val="BodyText"/>
      </w:pPr>
      <w:r>
        <w:t xml:space="preserve">APIs become dependable.</w:t>
      </w:r>
    </w:p>
    <w:p>
      <w:pPr>
        <w:pStyle w:val="BodyText"/>
      </w:pPr>
      <w:r>
        <w:t xml:space="preserve">Institutional memory becomes defensible.</w:t>
      </w:r>
    </w:p>
    <w:p>
      <w:pPr>
        <w:pStyle w:val="BodyText"/>
      </w:pPr>
      <w:r>
        <w:t xml:space="preserve">Technology evolves without compromising trust.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e-trust-flow"/>
    <w:p>
      <w:pPr>
        <w:pStyle w:val="Heading1"/>
      </w:pPr>
      <w:r>
        <w:t xml:space="preserve">28. Reference Trust Flow</w:t>
      </w:r>
    </w:p>
    <w:p>
      <w:pPr>
        <w:pStyle w:val="FirstParagraph"/>
      </w:pPr>
      <w:r>
        <w:t xml:space="preserve">A new lecture is submitted to KMOS.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Authenticated 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Authorized Workflow Initiation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Asset Registration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Canonical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Editorial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 Preservation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Immutable Audit Trail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Institutional Memory Updated</w:t>
      </w:r>
    </w:p>
    <w:p>
      <w:pPr>
        <w:pStyle w:val="BodyText"/>
      </w:pPr>
      <w:r>
        <w:t xml:space="preserve">Every stage contributes evidence supporting institutional trust.</w:t>
      </w:r>
    </w:p>
    <w:p>
      <w:r>
        <w:pict>
          <v:rect style="width:0;height:1.5pt" o:hralign="center" o:hrstd="t" o:hr="t"/>
        </w:pict>
      </w:r>
    </w:p>
    <w:bookmarkEnd w:id="49"/>
    <w:bookmarkStart w:id="50" w:name="future-security-specifications"/>
    <w:p>
      <w:pPr>
        <w:pStyle w:val="Heading1"/>
      </w:pPr>
      <w:r>
        <w:t xml:space="preserve">29. Future Security Specifications</w:t>
      </w:r>
    </w:p>
    <w:p>
      <w:pPr>
        <w:pStyle w:val="FirstParagraph"/>
      </w:pPr>
      <w:r>
        <w:t xml:space="preserve">This specification establishes the Security &amp; Trust Architecture.</w:t>
      </w:r>
    </w:p>
    <w:p>
      <w:pPr>
        <w:pStyle w:val="BodyText"/>
      </w:pPr>
      <w:r>
        <w:t xml:space="preserve">Future specifications SHALL extend this framework.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KMOS-1910 Identity &amp; Access Management</w:t>
      </w:r>
    </w:p>
    <w:p>
      <w:pPr>
        <w:pStyle w:val="BodyText"/>
      </w:pPr>
      <w:r>
        <w:t xml:space="preserve">KMOS-1920 Cryptographic Standards</w:t>
      </w:r>
    </w:p>
    <w:p>
      <w:pPr>
        <w:pStyle w:val="BodyText"/>
      </w:pPr>
      <w:r>
        <w:t xml:space="preserve">KMOS-1930 Audit &amp; Compliance Framework</w:t>
      </w:r>
    </w:p>
    <w:p>
      <w:pPr>
        <w:pStyle w:val="BodyText"/>
      </w:pPr>
      <w:r>
        <w:t xml:space="preserve">KMOS-1940 Security Event Catalog</w:t>
      </w:r>
    </w:p>
    <w:p>
      <w:pPr>
        <w:pStyle w:val="BodyText"/>
      </w:pPr>
      <w:r>
        <w:t xml:space="preserve">KMOS-1950 Privacy Framework</w:t>
      </w:r>
    </w:p>
    <w:p>
      <w:pPr>
        <w:pStyle w:val="BodyText"/>
      </w:pPr>
      <w:r>
        <w:t xml:space="preserve">KMOS-1960 Operational Security</w:t>
      </w:r>
    </w:p>
    <w:p>
      <w:pPr>
        <w:pStyle w:val="BodyText"/>
      </w:pPr>
      <w:r>
        <w:t xml:space="preserve">KMOS-1970 Extension Security Profile</w:t>
      </w:r>
    </w:p>
    <w:p>
      <w:pPr>
        <w:pStyle w:val="BodyText"/>
      </w:pPr>
      <w:r>
        <w:t xml:space="preserve">KMOS-1980 Federated Trust Model</w:t>
      </w:r>
    </w:p>
    <w:p>
      <w:pPr>
        <w:pStyle w:val="BodyText"/>
      </w:pPr>
      <w:r>
        <w:t xml:space="preserve">KMOS-1990 Certification &amp; Accreditation Program</w:t>
      </w:r>
    </w:p>
    <w:p>
      <w:pPr>
        <w:pStyle w:val="BodyText"/>
      </w:pPr>
      <w:r>
        <w:t xml:space="preserve">Each SHALL preserve compatibility with this specification while providing implementation guidance for specific security domains.</w:t>
      </w:r>
    </w:p>
    <w:p>
      <w:r>
        <w:pict>
          <v:rect style="width:0;height:1.5pt" o:hralign="center" o:hrstd="t" o:hr="t"/>
        </w:pict>
      </w:r>
    </w:p>
    <w:bookmarkEnd w:id="50"/>
    <w:bookmarkStart w:id="51" w:name="completion-of-the-engineering-foundation"/>
    <w:p>
      <w:pPr>
        <w:pStyle w:val="Heading1"/>
      </w:pPr>
      <w:r>
        <w:t xml:space="preserve">30. Completion of the Engineering Foundation</w:t>
      </w:r>
    </w:p>
    <w:p>
      <w:pPr>
        <w:pStyle w:val="FirstParagraph"/>
      </w:pPr>
      <w:r>
        <w:t xml:space="preserve">KMOS-0100 through KMOS-0190 collectively define the Engineering Foundation of the Knowledge &amp; Media Operating System.</w:t>
      </w:r>
    </w:p>
    <w:p>
      <w:pPr>
        <w:pStyle w:val="BodyText"/>
      </w:pPr>
      <w:r>
        <w:t xml:space="preserve">Together they establish:</w:t>
      </w:r>
    </w:p>
    <w:p>
      <w:pPr>
        <w:pStyle w:val="Compact"/>
        <w:numPr>
          <w:ilvl w:val="0"/>
          <w:numId w:val="1002"/>
        </w:numPr>
      </w:pPr>
      <w:r>
        <w:t xml:space="preserve">Canonical Business Objects</w:t>
      </w:r>
    </w:p>
    <w:p>
      <w:pPr>
        <w:pStyle w:val="Compact"/>
        <w:numPr>
          <w:ilvl w:val="0"/>
          <w:numId w:val="1002"/>
        </w:numPr>
      </w:pPr>
      <w:r>
        <w:t xml:space="preserve">Canonical Events</w:t>
      </w:r>
    </w:p>
    <w:p>
      <w:pPr>
        <w:pStyle w:val="Compact"/>
        <w:numPr>
          <w:ilvl w:val="0"/>
          <w:numId w:val="1002"/>
        </w:numPr>
      </w:pPr>
      <w:r>
        <w:t xml:space="preserve">Capability Contracts</w:t>
      </w:r>
    </w:p>
    <w:p>
      <w:pPr>
        <w:pStyle w:val="Compact"/>
        <w:numPr>
          <w:ilvl w:val="0"/>
          <w:numId w:val="1002"/>
        </w:numPr>
      </w:pPr>
      <w:r>
        <w:t xml:space="preserve">Knowledge Object Schema</w:t>
      </w:r>
    </w:p>
    <w:p>
      <w:pPr>
        <w:pStyle w:val="Compact"/>
        <w:numPr>
          <w:ilvl w:val="0"/>
          <w:numId w:val="1002"/>
        </w:numPr>
      </w:pPr>
      <w:r>
        <w:t xml:space="preserve">Asset Metadata &amp; Lineage</w:t>
      </w:r>
    </w:p>
    <w:p>
      <w:pPr>
        <w:pStyle w:val="Compact"/>
        <w:numPr>
          <w:ilvl w:val="0"/>
          <w:numId w:val="1002"/>
        </w:numPr>
      </w:pPr>
      <w:r>
        <w:t xml:space="preserve">Workflow Definition Language</w:t>
      </w:r>
    </w:p>
    <w:p>
      <w:pPr>
        <w:pStyle w:val="Compact"/>
        <w:numPr>
          <w:ilvl w:val="0"/>
          <w:numId w:val="1002"/>
        </w:numPr>
      </w:pPr>
      <w:r>
        <w:t xml:space="preserve">Capability Development Kit</w:t>
      </w:r>
    </w:p>
    <w:p>
      <w:pPr>
        <w:pStyle w:val="Compact"/>
        <w:numPr>
          <w:ilvl w:val="0"/>
          <w:numId w:val="1002"/>
        </w:numPr>
      </w:pPr>
      <w:r>
        <w:t xml:space="preserve">Plugin &amp; Extension Framework</w:t>
      </w:r>
    </w:p>
    <w:p>
      <w:pPr>
        <w:pStyle w:val="Compact"/>
        <w:numPr>
          <w:ilvl w:val="0"/>
          <w:numId w:val="1002"/>
        </w:numPr>
      </w:pPr>
      <w:r>
        <w:t xml:space="preserve">API &amp; Integration Standard</w:t>
      </w:r>
    </w:p>
    <w:p>
      <w:pPr>
        <w:pStyle w:val="Compact"/>
        <w:numPr>
          <w:ilvl w:val="0"/>
          <w:numId w:val="1002"/>
        </w:numPr>
      </w:pPr>
      <w:r>
        <w:t xml:space="preserve">Security &amp; Trust Architecture</w:t>
      </w:r>
    </w:p>
    <w:p>
      <w:pPr>
        <w:pStyle w:val="FirstParagraph"/>
      </w:pPr>
      <w:r>
        <w:t xml:space="preserve">These specifications provide a complete, implementation-independent engineering model for building interoperable KMOS platforms.</w:t>
      </w:r>
    </w:p>
    <w:p>
      <w:pPr>
        <w:pStyle w:val="BodyText"/>
      </w:pPr>
      <w:r>
        <w:t xml:space="preserve">Subsequent specification series transition from platform standards to domain-specific implementations, reference profiles, deployment architectures, and operational guidance.</w:t>
      </w:r>
    </w:p>
    <w:p>
      <w:pPr>
        <w:pStyle w:val="BodyText"/>
      </w:pPr>
      <w:r>
        <w:t xml:space="preserve">The Engineering Foundation ensures that every future KMOS implementation, regardless of technology choices, preserves the same principles of knowledge permanence, evidence integrity, event-driven communication, capability composition, governance, and institutional trust.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2026-06-30T09:05:17Z</dcterms:created>
  <dcterms:modified xsi:type="dcterms:W3CDTF">2026-06-30T09:05:17Z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